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90" w:rsidRPr="009F5650" w:rsidRDefault="00952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378"/>
        <w:gridCol w:w="7277"/>
        <w:gridCol w:w="11"/>
      </w:tblGrid>
      <w:tr w:rsidR="00C1505A" w:rsidRPr="009F5650" w:rsidTr="00397DA5">
        <w:trPr>
          <w:trHeight w:val="1129"/>
        </w:trPr>
        <w:tc>
          <w:tcPr>
            <w:tcW w:w="7366" w:type="dxa"/>
            <w:vMerge w:val="restart"/>
          </w:tcPr>
          <w:p w:rsidR="00C1505A" w:rsidRDefault="00825FD0" w:rsidP="00825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nnotation_href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C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охране труда (иное уполномоченное лицо) выясняет обстоятельства и причины получения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работником</w:t>
            </w:r>
            <w:r w:rsidRPr="00CC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микротравмы в течение 3 календарных дней после получения соответствующей информации. Он может продлить время расследования не более чем на 2 календарных дня, если есть причины, объективно препятствующие завершению в установленный срок рассмотрения обстоятельств и причин, которые привели к получению сотрудником микротравмы. К числу таких причин, в частности, относится отсутствие объяснения пострадавшего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</w:t>
            </w:r>
            <w:r w:rsidRPr="00CC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tgtFrame="_top" w:history="1">
              <w:r w:rsidRPr="00825F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8 Рекомендаций</w:t>
              </w:r>
            </w:hyperlink>
            <w:r w:rsidRPr="00CC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25FD0" w:rsidRPr="00825FD0" w:rsidRDefault="00825FD0" w:rsidP="00825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Пострадавший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  <w:r w:rsidRPr="008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право </w:t>
            </w:r>
            <w:r w:rsidRPr="0082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tgtFrame="_top" w:history="1">
              <w:r w:rsidRPr="00825F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9 Рекомендаций</w:t>
              </w:r>
            </w:hyperlink>
            <w:r w:rsidRPr="0082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825FD0" w:rsidRPr="00825FD0" w:rsidRDefault="00825FD0" w:rsidP="00825FD0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  <w:r w:rsidRPr="008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 или через своих представителей (включая представителей профсоюза) участвовать в рассмотрении обстоятельств и причин, которые привели к получению им микротравмы;</w:t>
            </w:r>
          </w:p>
          <w:p w:rsidR="00825FD0" w:rsidRPr="00825FD0" w:rsidRDefault="00825FD0" w:rsidP="00825FD0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  <w:r w:rsidRPr="0082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результатами такого рассмотрения.</w:t>
            </w:r>
          </w:p>
          <w:p w:rsidR="00825FD0" w:rsidRPr="009F5650" w:rsidRDefault="00825FD0" w:rsidP="00825FD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</w:tcPr>
          <w:p w:rsidR="00C1505A" w:rsidRPr="009F5650" w:rsidRDefault="00C1505A" w:rsidP="009F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2"/>
          </w:tcPr>
          <w:p w:rsidR="00C1505A" w:rsidRPr="009F5650" w:rsidRDefault="00FA0D33" w:rsidP="009F56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3A5A62" w:themeColor="accent5" w:themeShade="80"/>
                <w:sz w:val="24"/>
                <w:szCs w:val="24"/>
              </w:rPr>
            </w:pPr>
            <w:r w:rsidRPr="009F5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C09869E" wp14:editId="747E4066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0</wp:posOffset>
                  </wp:positionV>
                  <wp:extent cx="6191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268" y="20988"/>
                      <wp:lineTo x="2126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505A" w:rsidRPr="009F5650" w:rsidRDefault="00C1505A" w:rsidP="009F5650">
            <w:pPr>
              <w:jc w:val="center"/>
              <w:rPr>
                <w:rFonts w:ascii="Times New Roman" w:hAnsi="Times New Roman" w:cs="Times New Roman"/>
                <w:color w:val="3A5A62" w:themeColor="accent5" w:themeShade="80"/>
                <w:sz w:val="24"/>
                <w:szCs w:val="24"/>
              </w:rPr>
            </w:pPr>
          </w:p>
        </w:tc>
      </w:tr>
      <w:tr w:rsidR="00FA0D33" w:rsidRPr="002A0FAC" w:rsidTr="00397DA5">
        <w:trPr>
          <w:gridAfter w:val="1"/>
          <w:wAfter w:w="11" w:type="dxa"/>
        </w:trPr>
        <w:tc>
          <w:tcPr>
            <w:tcW w:w="7366" w:type="dxa"/>
            <w:vMerge/>
          </w:tcPr>
          <w:p w:rsidR="00FA0D33" w:rsidRDefault="00FA0D33" w:rsidP="009F5650">
            <w:pPr>
              <w:pStyle w:val="a9"/>
              <w:ind w:left="0"/>
              <w:jc w:val="both"/>
            </w:pPr>
          </w:p>
        </w:tc>
        <w:tc>
          <w:tcPr>
            <w:tcW w:w="378" w:type="dxa"/>
          </w:tcPr>
          <w:p w:rsidR="00FA0D33" w:rsidRDefault="00FA0D33" w:rsidP="009F5650"/>
        </w:tc>
        <w:tc>
          <w:tcPr>
            <w:tcW w:w="7277" w:type="dxa"/>
            <w:vMerge w:val="restart"/>
          </w:tcPr>
          <w:p w:rsidR="00FA0D33" w:rsidRPr="00FA0D33" w:rsidRDefault="00FA0D33" w:rsidP="009F56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FA0D33" w:rsidRPr="004B2CE2" w:rsidRDefault="00FA0D33" w:rsidP="009F56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4B2C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Администрация Нефтеюганского района</w:t>
            </w:r>
          </w:p>
          <w:p w:rsidR="00FA0D33" w:rsidRPr="002A0FAC" w:rsidRDefault="00FA0D33" w:rsidP="009F5650">
            <w:pPr>
              <w:jc w:val="center"/>
              <w:rPr>
                <w:color w:val="3A5A62" w:themeColor="accent5" w:themeShade="80"/>
              </w:rPr>
            </w:pPr>
            <w:r w:rsidRPr="004B2C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отдел социально-трудовых отношений</w:t>
            </w:r>
          </w:p>
        </w:tc>
      </w:tr>
      <w:tr w:rsidR="00FA0D33" w:rsidRPr="002A0FAC" w:rsidTr="00397DA5">
        <w:trPr>
          <w:gridAfter w:val="1"/>
          <w:wAfter w:w="11" w:type="dxa"/>
        </w:trPr>
        <w:tc>
          <w:tcPr>
            <w:tcW w:w="7366" w:type="dxa"/>
            <w:vMerge/>
          </w:tcPr>
          <w:p w:rsidR="00FA0D33" w:rsidRDefault="00FA0D33" w:rsidP="009F5650"/>
        </w:tc>
        <w:tc>
          <w:tcPr>
            <w:tcW w:w="378" w:type="dxa"/>
          </w:tcPr>
          <w:p w:rsidR="00FA0D33" w:rsidRDefault="00FA0D33" w:rsidP="009F5650">
            <w:pPr>
              <w:jc w:val="center"/>
            </w:pPr>
          </w:p>
        </w:tc>
        <w:tc>
          <w:tcPr>
            <w:tcW w:w="7277" w:type="dxa"/>
            <w:vMerge/>
          </w:tcPr>
          <w:p w:rsidR="00FA0D33" w:rsidRPr="002A0FAC" w:rsidRDefault="00FA0D33" w:rsidP="009F5650">
            <w:pPr>
              <w:jc w:val="center"/>
              <w:rPr>
                <w:color w:val="3A5A62" w:themeColor="accent5" w:themeShade="80"/>
              </w:rPr>
            </w:pPr>
          </w:p>
        </w:tc>
      </w:tr>
      <w:tr w:rsidR="00FA0D33" w:rsidRPr="002A0FAC" w:rsidTr="00397DA5">
        <w:trPr>
          <w:gridAfter w:val="1"/>
          <w:wAfter w:w="11" w:type="dxa"/>
        </w:trPr>
        <w:tc>
          <w:tcPr>
            <w:tcW w:w="7366" w:type="dxa"/>
            <w:vMerge/>
          </w:tcPr>
          <w:p w:rsidR="00FA0D33" w:rsidRDefault="00FA0D33" w:rsidP="009F5650"/>
        </w:tc>
        <w:tc>
          <w:tcPr>
            <w:tcW w:w="378" w:type="dxa"/>
          </w:tcPr>
          <w:p w:rsidR="00FA0D33" w:rsidRDefault="00FA0D33" w:rsidP="009F5650"/>
        </w:tc>
        <w:tc>
          <w:tcPr>
            <w:tcW w:w="7277" w:type="dxa"/>
            <w:vMerge/>
          </w:tcPr>
          <w:p w:rsidR="00FA0D33" w:rsidRPr="002A0FAC" w:rsidRDefault="00FA0D33" w:rsidP="009F5650">
            <w:pPr>
              <w:rPr>
                <w:color w:val="3A5A62" w:themeColor="accent5" w:themeShade="80"/>
              </w:rPr>
            </w:pPr>
          </w:p>
        </w:tc>
      </w:tr>
      <w:tr w:rsidR="002A0FAC" w:rsidRPr="002A0FAC" w:rsidTr="00397DA5">
        <w:trPr>
          <w:gridAfter w:val="1"/>
          <w:wAfter w:w="11" w:type="dxa"/>
          <w:trHeight w:val="138"/>
        </w:trPr>
        <w:tc>
          <w:tcPr>
            <w:tcW w:w="7366" w:type="dxa"/>
            <w:vMerge/>
          </w:tcPr>
          <w:p w:rsidR="00C1505A" w:rsidRDefault="00C1505A" w:rsidP="009F5650"/>
        </w:tc>
        <w:tc>
          <w:tcPr>
            <w:tcW w:w="378" w:type="dxa"/>
          </w:tcPr>
          <w:p w:rsidR="00C1505A" w:rsidRDefault="00C1505A" w:rsidP="009F5650"/>
        </w:tc>
        <w:tc>
          <w:tcPr>
            <w:tcW w:w="7277" w:type="dxa"/>
          </w:tcPr>
          <w:p w:rsidR="00C1505A" w:rsidRPr="003F5E07" w:rsidRDefault="00C1505A" w:rsidP="009F5650">
            <w:pPr>
              <w:pStyle w:val="a4"/>
              <w:spacing w:before="0" w:beforeAutospacing="0" w:after="0" w:afterAutospacing="0"/>
              <w:rPr>
                <w:b/>
                <w:bCs/>
                <w:color w:val="3A5A62" w:themeColor="accent5" w:themeShade="80"/>
                <w:sz w:val="28"/>
                <w:szCs w:val="28"/>
              </w:rPr>
            </w:pPr>
          </w:p>
        </w:tc>
      </w:tr>
      <w:tr w:rsidR="002A0FAC" w:rsidRPr="002A0FAC" w:rsidTr="00397DA5">
        <w:trPr>
          <w:gridAfter w:val="1"/>
          <w:wAfter w:w="11" w:type="dxa"/>
        </w:trPr>
        <w:tc>
          <w:tcPr>
            <w:tcW w:w="7366" w:type="dxa"/>
            <w:vMerge/>
          </w:tcPr>
          <w:p w:rsidR="00C1505A" w:rsidRDefault="00C1505A" w:rsidP="009F5650"/>
        </w:tc>
        <w:tc>
          <w:tcPr>
            <w:tcW w:w="378" w:type="dxa"/>
          </w:tcPr>
          <w:p w:rsidR="00C1505A" w:rsidRDefault="00C1505A" w:rsidP="009F5650"/>
        </w:tc>
        <w:tc>
          <w:tcPr>
            <w:tcW w:w="7277" w:type="dxa"/>
          </w:tcPr>
          <w:p w:rsidR="00FA0D33" w:rsidRDefault="00FA0D33" w:rsidP="009F56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4440C6" w:rsidRDefault="004440C6" w:rsidP="009F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17C10" w:rsidRPr="00417C10" w:rsidRDefault="00417C10" w:rsidP="009F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Учет </w:t>
            </w:r>
          </w:p>
          <w:p w:rsidR="00417C10" w:rsidRPr="00417C10" w:rsidRDefault="00417C10" w:rsidP="009F56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микроповреждений (микротравм) работников</w:t>
            </w:r>
          </w:p>
          <w:p w:rsidR="00C1505A" w:rsidRPr="002A0FAC" w:rsidRDefault="00C1505A" w:rsidP="009F5650">
            <w:pPr>
              <w:jc w:val="center"/>
              <w:rPr>
                <w:color w:val="3A5A62" w:themeColor="accent5" w:themeShade="80"/>
              </w:rPr>
            </w:pPr>
          </w:p>
        </w:tc>
      </w:tr>
      <w:tr w:rsidR="00C1505A" w:rsidTr="00397DA5">
        <w:trPr>
          <w:gridAfter w:val="1"/>
          <w:wAfter w:w="11" w:type="dxa"/>
          <w:trHeight w:val="4396"/>
        </w:trPr>
        <w:tc>
          <w:tcPr>
            <w:tcW w:w="7366" w:type="dxa"/>
            <w:vMerge/>
          </w:tcPr>
          <w:p w:rsidR="00C1505A" w:rsidRDefault="00C1505A" w:rsidP="009F5650"/>
        </w:tc>
        <w:tc>
          <w:tcPr>
            <w:tcW w:w="378" w:type="dxa"/>
          </w:tcPr>
          <w:p w:rsidR="00C1505A" w:rsidRPr="0059564F" w:rsidRDefault="00C1505A" w:rsidP="009F565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277" w:type="dxa"/>
          </w:tcPr>
          <w:p w:rsidR="00C1505A" w:rsidRPr="0059564F" w:rsidRDefault="00AB0C4A" w:rsidP="00485F8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66675</wp:posOffset>
                  </wp:positionV>
                  <wp:extent cx="4571365" cy="2628900"/>
                  <wp:effectExtent l="0" t="0" r="635" b="0"/>
                  <wp:wrapTight wrapText="bothSides">
                    <wp:wrapPolygon edited="0">
                      <wp:start x="21600" y="21600"/>
                      <wp:lineTo x="21600" y="157"/>
                      <wp:lineTo x="87" y="157"/>
                      <wp:lineTo x="87" y="21600"/>
                      <wp:lineTo x="21600" y="21600"/>
                    </wp:wrapPolygon>
                  </wp:wrapTight>
                  <wp:docPr id="2" name="Рисунок 2" descr="https://www.anocpia.ru/images/topnews/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nocpia.ru/images/topnews/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7136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6385" w:rsidTr="00397DA5">
        <w:trPr>
          <w:gridAfter w:val="1"/>
          <w:wAfter w:w="11" w:type="dxa"/>
          <w:trHeight w:val="1102"/>
        </w:trPr>
        <w:tc>
          <w:tcPr>
            <w:tcW w:w="7366" w:type="dxa"/>
          </w:tcPr>
          <w:p w:rsidR="001D6385" w:rsidRDefault="001D6385" w:rsidP="009F5650">
            <w:pPr>
              <w:pStyle w:val="a4"/>
              <w:spacing w:before="0" w:beforeAutospacing="0" w:after="0" w:afterAutospacing="0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281C02">
              <w:rPr>
                <w:rStyle w:val="a8"/>
                <w:b w:val="0"/>
                <w:sz w:val="22"/>
                <w:szCs w:val="22"/>
              </w:rPr>
              <w:t>Отдел социально - трудовых отношений</w:t>
            </w:r>
          </w:p>
          <w:p w:rsidR="001D6385" w:rsidRPr="00281C02" w:rsidRDefault="001D6385" w:rsidP="009F5650">
            <w:pPr>
              <w:pStyle w:val="a4"/>
              <w:spacing w:before="0" w:beforeAutospacing="0" w:after="0" w:afterAutospacing="0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281C02">
              <w:rPr>
                <w:rStyle w:val="a8"/>
                <w:b w:val="0"/>
                <w:sz w:val="22"/>
                <w:szCs w:val="22"/>
              </w:rPr>
              <w:t>администрации Нефтеюганского района</w:t>
            </w:r>
          </w:p>
          <w:p w:rsidR="001D6385" w:rsidRPr="00281C02" w:rsidRDefault="001D6385" w:rsidP="009F5650">
            <w:pPr>
              <w:pStyle w:val="a4"/>
              <w:spacing w:before="0" w:beforeAutospacing="0" w:after="0" w:afterAutospacing="0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281C02">
              <w:rPr>
                <w:rStyle w:val="a8"/>
                <w:b w:val="0"/>
                <w:sz w:val="22"/>
                <w:szCs w:val="22"/>
              </w:rPr>
              <w:t>628300, г. Нефтеюганск, ул. Нефтяников, стр.8, кабинет 107,</w:t>
            </w:r>
          </w:p>
          <w:p w:rsidR="001D6385" w:rsidRPr="00281C02" w:rsidRDefault="001D6385" w:rsidP="009F5650">
            <w:pPr>
              <w:pStyle w:val="a4"/>
              <w:spacing w:before="0" w:beforeAutospacing="0" w:after="0" w:afterAutospacing="0"/>
              <w:jc w:val="center"/>
              <w:rPr>
                <w:rStyle w:val="a8"/>
                <w:b w:val="0"/>
                <w:sz w:val="22"/>
                <w:szCs w:val="22"/>
                <w:lang w:val="en-US"/>
              </w:rPr>
            </w:pPr>
            <w:r w:rsidRPr="00281C02">
              <w:rPr>
                <w:rStyle w:val="a8"/>
                <w:b w:val="0"/>
                <w:sz w:val="22"/>
                <w:szCs w:val="22"/>
              </w:rPr>
              <w:t>тел</w:t>
            </w:r>
            <w:r w:rsidRPr="00281C02">
              <w:rPr>
                <w:rStyle w:val="a8"/>
                <w:b w:val="0"/>
                <w:sz w:val="22"/>
                <w:szCs w:val="22"/>
                <w:lang w:val="en-US"/>
              </w:rPr>
              <w:t>. 238-014, 225-561</w:t>
            </w:r>
          </w:p>
          <w:p w:rsidR="001D6385" w:rsidRPr="00281C02" w:rsidRDefault="001D6385" w:rsidP="009F5650">
            <w:pPr>
              <w:jc w:val="center"/>
              <w:rPr>
                <w:b/>
                <w:lang w:val="en-US"/>
              </w:rPr>
            </w:pPr>
            <w:r w:rsidRPr="00281C02">
              <w:rPr>
                <w:rStyle w:val="a8"/>
                <w:rFonts w:ascii="Times New Roman" w:hAnsi="Times New Roman" w:cs="Times New Roman"/>
                <w:b w:val="0"/>
                <w:lang w:val="en-US"/>
              </w:rPr>
              <w:t xml:space="preserve">E-mail: </w:t>
            </w:r>
            <w:hyperlink r:id="rId11" w:history="1">
              <w:r w:rsidRPr="00281C02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ot@admoil.ru</w:t>
              </w:r>
            </w:hyperlink>
          </w:p>
        </w:tc>
        <w:tc>
          <w:tcPr>
            <w:tcW w:w="378" w:type="dxa"/>
          </w:tcPr>
          <w:p w:rsidR="001D6385" w:rsidRPr="0068671D" w:rsidRDefault="001D6385" w:rsidP="009F5650">
            <w:pPr>
              <w:jc w:val="center"/>
              <w:rPr>
                <w:lang w:val="en-US"/>
              </w:rPr>
            </w:pPr>
          </w:p>
        </w:tc>
        <w:tc>
          <w:tcPr>
            <w:tcW w:w="7277" w:type="dxa"/>
          </w:tcPr>
          <w:p w:rsidR="001D6385" w:rsidRPr="00D755DD" w:rsidRDefault="001D6385" w:rsidP="009F5650">
            <w:pPr>
              <w:rPr>
                <w:rFonts w:ascii="Times New Roman" w:hAnsi="Times New Roman" w:cs="Times New Roman"/>
                <w:lang w:val="en-US"/>
              </w:rPr>
            </w:pPr>
          </w:p>
          <w:p w:rsidR="00FA0D33" w:rsidRPr="00417C10" w:rsidRDefault="00FA0D33" w:rsidP="009F5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0D33" w:rsidRPr="00417C10" w:rsidRDefault="00FA0D33" w:rsidP="009F5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D6385" w:rsidRDefault="001D6385" w:rsidP="009F5650">
            <w:pPr>
              <w:jc w:val="center"/>
            </w:pPr>
            <w:r w:rsidRPr="001D670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440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705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1C608B" w:rsidRDefault="001C608B"/>
    <w:tbl>
      <w:tblPr>
        <w:tblStyle w:val="a3"/>
        <w:tblpPr w:leftFromText="180" w:rightFromText="180" w:vertAnchor="text" w:horzAnchor="margin" w:tblpY="289"/>
        <w:tblW w:w="1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426"/>
        <w:gridCol w:w="7300"/>
      </w:tblGrid>
      <w:tr w:rsidR="00BA1742" w:rsidRPr="00941903" w:rsidTr="00397DA5">
        <w:trPr>
          <w:trHeight w:val="9351"/>
        </w:trPr>
        <w:tc>
          <w:tcPr>
            <w:tcW w:w="7366" w:type="dxa"/>
          </w:tcPr>
          <w:p w:rsidR="004440C6" w:rsidRPr="00941903" w:rsidRDefault="00C63218" w:rsidP="009419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BA1742" w:rsidRPr="0094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0A2" w:rsidRPr="00941903">
              <w:rPr>
                <w:rFonts w:ascii="Times New Roman" w:hAnsi="Times New Roman" w:cs="Times New Roman"/>
                <w:sz w:val="24"/>
                <w:szCs w:val="24"/>
              </w:rPr>
              <w:t xml:space="preserve"> Микроповреждение (микротравма) – это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(ст. 226 ТК РФ). </w:t>
            </w:r>
          </w:p>
          <w:p w:rsidR="004B2D9A" w:rsidRDefault="004B2D9A" w:rsidP="004B2D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91E97" w:rsidRPr="0094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Минтруда России от 15.09.2021 № 632н утверждены </w:t>
            </w:r>
            <w:hyperlink r:id="rId12" w:tgtFrame="_top" w:history="1">
              <w:r w:rsidR="00891E97" w:rsidRPr="00941903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="00891E97" w:rsidRPr="0094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учету микроповреждений (микротравм) работников</w:t>
            </w:r>
            <w:r w:rsidR="00952D90" w:rsidRPr="0094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Рекомендации)</w:t>
            </w:r>
            <w:r w:rsidR="00891E97" w:rsidRPr="0094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4B2D9A" w:rsidRPr="004B2D9A" w:rsidRDefault="004B2D9A" w:rsidP="004B2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микроповреждений (микротравм) работников позволит работодателю повысить эффективность:</w:t>
            </w:r>
          </w:p>
          <w:p w:rsidR="004B2D9A" w:rsidRPr="004B2D9A" w:rsidRDefault="00E42EBD" w:rsidP="00E42E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3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2D9A" w:rsidRP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рисков;</w:t>
            </w:r>
          </w:p>
          <w:p w:rsidR="004B2D9A" w:rsidRDefault="003F1BE0" w:rsidP="00E42E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D9A" w:rsidRP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A3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улучшения условий </w:t>
            </w:r>
            <w:r w:rsidR="004B2D9A" w:rsidRP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охраны труда.</w:t>
            </w:r>
          </w:p>
          <w:p w:rsidR="003343F9" w:rsidRPr="003343F9" w:rsidRDefault="003F1BE0" w:rsidP="00712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="003343F9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Рекомендациях приведен примерный перечень мероприятий, направленных на организацию учета и рассмотрения обстоятельств и причин, которые привели к возникновению микроповреждений (микротравм) работников (</w:t>
            </w:r>
            <w:hyperlink r:id="rId13" w:tgtFrame="_top" w:history="1">
              <w:r w:rsidR="003343F9" w:rsidRPr="00712D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3 Рекомендаций</w:t>
              </w:r>
            </w:hyperlink>
            <w:r w:rsidR="003343F9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343F9" w:rsidRPr="003343F9" w:rsidRDefault="00712D5D" w:rsidP="00712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343F9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Работодателю рекомендуется:</w:t>
            </w:r>
          </w:p>
          <w:p w:rsidR="00712D5D" w:rsidRDefault="00712D5D" w:rsidP="00712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343F9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утвердить локальным нормативным актом порядок учета микроповреждений (микротравм) работников с учетом особенностей организационной структуры, специфики, характера производственной деятельности с учетом мнения представительного органа работников (при его наличии);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F1BE0" w:rsidRDefault="00712D5D" w:rsidP="003F1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</w:t>
            </w:r>
            <w:r w:rsidR="003F1BE0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BE0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микроповреждений (микротравм) работников;</w:t>
            </w:r>
            <w:r w:rsidR="003F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F1BE0" w:rsidRPr="003343F9" w:rsidRDefault="003F1BE0" w:rsidP="003F1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проинформировать работников о действиях при получении микроповреждения (микротравмы);</w:t>
            </w:r>
          </w:p>
          <w:p w:rsidR="00325A5C" w:rsidRPr="002818C4" w:rsidRDefault="003F1BE0" w:rsidP="00712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организовать рассмотрение обстоятельств, выявление причин, приводящих к микроповреждениям (микротравмам) работников.</w:t>
            </w:r>
          </w:p>
        </w:tc>
        <w:tc>
          <w:tcPr>
            <w:tcW w:w="426" w:type="dxa"/>
          </w:tcPr>
          <w:p w:rsidR="00EC31BF" w:rsidRPr="00941903" w:rsidRDefault="004B2D9A" w:rsidP="00941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</w:tcPr>
          <w:p w:rsidR="002818C4" w:rsidRPr="003343F9" w:rsidRDefault="00772A33" w:rsidP="00772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12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фиксации результатов рассмотрения используется один из следующих документов:</w:t>
            </w:r>
          </w:p>
          <w:p w:rsidR="002818C4" w:rsidRPr="003343F9" w:rsidRDefault="00772A33" w:rsidP="00772A33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рассмотрении обстоятельств и причин, которые привели к возникновению микроповре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(микротравмы) работника (</w:t>
            </w:r>
            <w:hyperlink r:id="rId14" w:tgtFrame="_top" w:history="1">
              <w:r w:rsidR="002818C4" w:rsidRPr="00772A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</w:t>
              </w:r>
              <w:r w:rsidRPr="00772A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="002818C4" w:rsidRPr="00772A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1</w:t>
              </w:r>
            </w:hyperlink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Рекомендациям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18C4" w:rsidRPr="003343F9" w:rsidRDefault="00772A33" w:rsidP="00772A33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другой документ, определенный работодателем (например, это может быть акт или протокол). </w:t>
            </w:r>
          </w:p>
          <w:p w:rsidR="002818C4" w:rsidRPr="003343F9" w:rsidRDefault="00772A33" w:rsidP="00772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обеспечить доступность в организации (структурных подразделениях) бланка справки (другого документа) в электронном виде или на бумажном носителе;</w:t>
            </w:r>
          </w:p>
          <w:p w:rsidR="00772A33" w:rsidRPr="003343F9" w:rsidRDefault="00772A33" w:rsidP="00772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организовать регистрацию микроповреждений (микротравм).</w:t>
            </w:r>
          </w:p>
          <w:p w:rsidR="002818C4" w:rsidRPr="003343F9" w:rsidRDefault="00772A33" w:rsidP="00772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регистрации полученных работниками микротравм используется один из следующих документов:</w:t>
            </w:r>
          </w:p>
          <w:p w:rsidR="002818C4" w:rsidRPr="003343F9" w:rsidRDefault="00772A33" w:rsidP="00772A33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микроповре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(микротравм) работников (</w:t>
            </w:r>
            <w:hyperlink r:id="rId15" w:tgtFrame="_top" w:history="1">
              <w:r w:rsidR="002818C4" w:rsidRPr="00772A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</w:t>
              </w:r>
              <w:r w:rsidRPr="00772A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="002818C4" w:rsidRPr="00772A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2</w:t>
              </w:r>
            </w:hyperlink>
            <w:r w:rsidR="002818C4" w:rsidRPr="0077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Рекомендациям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18C4" w:rsidRPr="003343F9" w:rsidRDefault="00772A33" w:rsidP="00772A33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документ, определенный работодателем (например, это может быть книга учета микроповреж</w:t>
            </w:r>
            <w:r w:rsidR="0028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(микротравм) работников);</w:t>
            </w:r>
          </w:p>
          <w:p w:rsidR="00772A33" w:rsidRDefault="00772A33" w:rsidP="00844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установить место и сроки хранения справки и журнала или других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определенных работодателем.       </w:t>
            </w:r>
          </w:p>
          <w:p w:rsidR="002818C4" w:rsidRPr="003343F9" w:rsidRDefault="00772A33" w:rsidP="00772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Рекомендованный срок хранения справки и журнала составляет не менее 1 года.</w:t>
            </w:r>
          </w:p>
          <w:p w:rsidR="00A30CA8" w:rsidRDefault="00772A33" w:rsidP="00772A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818C4" w:rsidRPr="003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документы, связанные с регистрацией микротравм и расследованием причин их возникновения (справку, журнал, другие документы), работодатель может в электронном виде. При этом используется электронная подпись или любой другой способ в соответствии с законодательством РФ, который позволяет </w:t>
            </w:r>
            <w:r w:rsidRPr="0028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идентифицировать личность работника, составившего справку и ведущего журнал (п. 4 Рекомендаций).</w:t>
            </w:r>
            <w:r w:rsidR="00325A5C" w:rsidRPr="00325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0CA8" w:rsidRDefault="00A30CA8" w:rsidP="00772A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31BF" w:rsidRPr="00941903" w:rsidRDefault="00325A5C" w:rsidP="00772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32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      </w:r>
          </w:p>
        </w:tc>
      </w:tr>
    </w:tbl>
    <w:p w:rsidR="001C608B" w:rsidRDefault="001C608B" w:rsidP="00C63218">
      <w:pPr>
        <w:jc w:val="both"/>
      </w:pPr>
    </w:p>
    <w:p w:rsidR="00D311EC" w:rsidRDefault="00D311EC" w:rsidP="00D755DD"/>
    <w:sectPr w:rsidR="00D311EC" w:rsidSect="008C7717">
      <w:pgSz w:w="16838" w:h="11906" w:orient="landscape"/>
      <w:pgMar w:top="567" w:right="816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32" w:rsidRDefault="00F87832" w:rsidP="00E64E95">
      <w:pPr>
        <w:spacing w:after="0" w:line="240" w:lineRule="auto"/>
      </w:pPr>
      <w:r>
        <w:separator/>
      </w:r>
    </w:p>
  </w:endnote>
  <w:endnote w:type="continuationSeparator" w:id="0">
    <w:p w:rsidR="00F87832" w:rsidRDefault="00F87832" w:rsidP="00E6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32" w:rsidRDefault="00F87832" w:rsidP="00E64E95">
      <w:pPr>
        <w:spacing w:after="0" w:line="240" w:lineRule="auto"/>
      </w:pPr>
      <w:r>
        <w:separator/>
      </w:r>
    </w:p>
  </w:footnote>
  <w:footnote w:type="continuationSeparator" w:id="0">
    <w:p w:rsidR="00F87832" w:rsidRDefault="00F87832" w:rsidP="00E6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A4E"/>
    <w:multiLevelType w:val="multilevel"/>
    <w:tmpl w:val="547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6371"/>
    <w:multiLevelType w:val="multilevel"/>
    <w:tmpl w:val="569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6ADC"/>
    <w:multiLevelType w:val="multilevel"/>
    <w:tmpl w:val="ACD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42C4D"/>
    <w:multiLevelType w:val="multilevel"/>
    <w:tmpl w:val="7C90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578C9"/>
    <w:multiLevelType w:val="multilevel"/>
    <w:tmpl w:val="0CBA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A1EB5"/>
    <w:multiLevelType w:val="hybridMultilevel"/>
    <w:tmpl w:val="798A0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F5BAC"/>
    <w:multiLevelType w:val="multilevel"/>
    <w:tmpl w:val="236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F3084"/>
    <w:multiLevelType w:val="multilevel"/>
    <w:tmpl w:val="E1E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40211"/>
    <w:multiLevelType w:val="hybridMultilevel"/>
    <w:tmpl w:val="F2DA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C50A3"/>
    <w:multiLevelType w:val="multilevel"/>
    <w:tmpl w:val="A71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B266F"/>
    <w:multiLevelType w:val="multilevel"/>
    <w:tmpl w:val="3D8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630C4"/>
    <w:multiLevelType w:val="multilevel"/>
    <w:tmpl w:val="2CA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872C3"/>
    <w:multiLevelType w:val="multilevel"/>
    <w:tmpl w:val="EFE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B418B"/>
    <w:multiLevelType w:val="multilevel"/>
    <w:tmpl w:val="5B7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C6236"/>
    <w:multiLevelType w:val="hybridMultilevel"/>
    <w:tmpl w:val="F9AE2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90CE8"/>
    <w:multiLevelType w:val="multilevel"/>
    <w:tmpl w:val="AF5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906EE"/>
    <w:multiLevelType w:val="multilevel"/>
    <w:tmpl w:val="FE32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AC"/>
    <w:rsid w:val="00031BAD"/>
    <w:rsid w:val="000507B5"/>
    <w:rsid w:val="00072300"/>
    <w:rsid w:val="000B63EB"/>
    <w:rsid w:val="000C5676"/>
    <w:rsid w:val="00101366"/>
    <w:rsid w:val="001238B4"/>
    <w:rsid w:val="001457A2"/>
    <w:rsid w:val="00146205"/>
    <w:rsid w:val="001C608B"/>
    <w:rsid w:val="001D2800"/>
    <w:rsid w:val="001D6385"/>
    <w:rsid w:val="0022711D"/>
    <w:rsid w:val="002343E8"/>
    <w:rsid w:val="0026789C"/>
    <w:rsid w:val="002818C4"/>
    <w:rsid w:val="00281C02"/>
    <w:rsid w:val="002A0FAC"/>
    <w:rsid w:val="002D3D54"/>
    <w:rsid w:val="002E363B"/>
    <w:rsid w:val="00324901"/>
    <w:rsid w:val="00325A5C"/>
    <w:rsid w:val="003343F9"/>
    <w:rsid w:val="00344983"/>
    <w:rsid w:val="00362363"/>
    <w:rsid w:val="003758DB"/>
    <w:rsid w:val="003804F8"/>
    <w:rsid w:val="00384C61"/>
    <w:rsid w:val="00397DA5"/>
    <w:rsid w:val="003D2530"/>
    <w:rsid w:val="003F1BE0"/>
    <w:rsid w:val="003F5E07"/>
    <w:rsid w:val="00417C10"/>
    <w:rsid w:val="004273C9"/>
    <w:rsid w:val="004440C6"/>
    <w:rsid w:val="004770B7"/>
    <w:rsid w:val="00485F82"/>
    <w:rsid w:val="004B2CE2"/>
    <w:rsid w:val="004B2D9A"/>
    <w:rsid w:val="004D347B"/>
    <w:rsid w:val="004F240B"/>
    <w:rsid w:val="004F7A2E"/>
    <w:rsid w:val="005024F4"/>
    <w:rsid w:val="0059564F"/>
    <w:rsid w:val="00616820"/>
    <w:rsid w:val="006548FF"/>
    <w:rsid w:val="0068671D"/>
    <w:rsid w:val="006E4603"/>
    <w:rsid w:val="00712D5D"/>
    <w:rsid w:val="00715EC0"/>
    <w:rsid w:val="00730964"/>
    <w:rsid w:val="007334C9"/>
    <w:rsid w:val="00743897"/>
    <w:rsid w:val="0075005C"/>
    <w:rsid w:val="00763073"/>
    <w:rsid w:val="00772A33"/>
    <w:rsid w:val="00792B34"/>
    <w:rsid w:val="007F2DAC"/>
    <w:rsid w:val="00825FD0"/>
    <w:rsid w:val="008444F8"/>
    <w:rsid w:val="00871DE0"/>
    <w:rsid w:val="008744E0"/>
    <w:rsid w:val="00891E97"/>
    <w:rsid w:val="008A7FB2"/>
    <w:rsid w:val="008C7717"/>
    <w:rsid w:val="008E7277"/>
    <w:rsid w:val="008F00C2"/>
    <w:rsid w:val="00900B7F"/>
    <w:rsid w:val="00941903"/>
    <w:rsid w:val="00952D90"/>
    <w:rsid w:val="00971C92"/>
    <w:rsid w:val="009B0A82"/>
    <w:rsid w:val="009C2963"/>
    <w:rsid w:val="009F5650"/>
    <w:rsid w:val="00A30CA8"/>
    <w:rsid w:val="00A83435"/>
    <w:rsid w:val="00A842D9"/>
    <w:rsid w:val="00AB0C4A"/>
    <w:rsid w:val="00AC3703"/>
    <w:rsid w:val="00AC6BC9"/>
    <w:rsid w:val="00AE4541"/>
    <w:rsid w:val="00B053A3"/>
    <w:rsid w:val="00B24CCC"/>
    <w:rsid w:val="00B64288"/>
    <w:rsid w:val="00BA1742"/>
    <w:rsid w:val="00BA2E6D"/>
    <w:rsid w:val="00C13EE1"/>
    <w:rsid w:val="00C1505A"/>
    <w:rsid w:val="00C33DDC"/>
    <w:rsid w:val="00C34A4A"/>
    <w:rsid w:val="00C42F3A"/>
    <w:rsid w:val="00C63218"/>
    <w:rsid w:val="00C87D2C"/>
    <w:rsid w:val="00CA210A"/>
    <w:rsid w:val="00CF7F99"/>
    <w:rsid w:val="00D311EC"/>
    <w:rsid w:val="00D755DD"/>
    <w:rsid w:val="00D85D25"/>
    <w:rsid w:val="00E42EBD"/>
    <w:rsid w:val="00E5076D"/>
    <w:rsid w:val="00E64E95"/>
    <w:rsid w:val="00EC31BF"/>
    <w:rsid w:val="00F310A2"/>
    <w:rsid w:val="00F516BC"/>
    <w:rsid w:val="00F76FF9"/>
    <w:rsid w:val="00F87832"/>
    <w:rsid w:val="00F96764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538F1-1DBF-4A51-85E7-6B25B45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7A2"/>
    <w:rPr>
      <w:rFonts w:ascii="Tahoma" w:hAnsi="Tahoma" w:cs="Tahoma"/>
      <w:sz w:val="16"/>
      <w:szCs w:val="16"/>
    </w:rPr>
  </w:style>
  <w:style w:type="character" w:styleId="a7">
    <w:name w:val="Hyperlink"/>
    <w:rsid w:val="001457A2"/>
    <w:rPr>
      <w:color w:val="0000FF"/>
      <w:u w:val="single"/>
    </w:rPr>
  </w:style>
  <w:style w:type="character" w:styleId="a8">
    <w:name w:val="Strong"/>
    <w:qFormat/>
    <w:rsid w:val="001457A2"/>
    <w:rPr>
      <w:b/>
      <w:bCs/>
    </w:rPr>
  </w:style>
  <w:style w:type="paragraph" w:styleId="a9">
    <w:name w:val="List Paragraph"/>
    <w:basedOn w:val="a"/>
    <w:uiPriority w:val="34"/>
    <w:qFormat/>
    <w:rsid w:val="0076307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E6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64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4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898">
          <w:marLeft w:val="0"/>
          <w:marRight w:val="0"/>
          <w:marTop w:val="570"/>
          <w:marBottom w:val="48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403283867/hdoc/1009" TargetMode="External"/><Relationship Id="rId13" Type="http://schemas.openxmlformats.org/officeDocument/2006/relationships/hyperlink" Target="https://its.1c.ru/db/garant/content/403283867/hdoc/1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403283867/hdoc/1008" TargetMode="External"/><Relationship Id="rId12" Type="http://schemas.openxmlformats.org/officeDocument/2006/relationships/hyperlink" Target="https://its.1c.ru/db/garant/content/403283867/hdoc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@admo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s.1c.ru/db/garant/content/403283867/hdoc/1200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its.1c.ru/db/garant/content/403283867/hdoc/11000" TargetMode="Externa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Ирина Викторовна</dc:creator>
  <cp:keywords/>
  <dc:description/>
  <cp:lastModifiedBy>Кытманова Дина Михайлова</cp:lastModifiedBy>
  <cp:revision>24</cp:revision>
  <cp:lastPrinted>2022-03-04T05:27:00Z</cp:lastPrinted>
  <dcterms:created xsi:type="dcterms:W3CDTF">2022-03-02T11:08:00Z</dcterms:created>
  <dcterms:modified xsi:type="dcterms:W3CDTF">2022-03-04T06:36:00Z</dcterms:modified>
</cp:coreProperties>
</file>