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D" w:rsidRPr="000F508D" w:rsidRDefault="000F508D" w:rsidP="000F508D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F50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BF5E4" wp14:editId="4A951A32">
            <wp:extent cx="595630" cy="71247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8D" w:rsidRP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08D">
        <w:rPr>
          <w:rFonts w:ascii="Times New Roman" w:eastAsia="Calibri" w:hAnsi="Times New Roman" w:cs="Times New Roman"/>
          <w:sz w:val="28"/>
          <w:szCs w:val="28"/>
        </w:rPr>
        <w:t>Администрация Нефтеюганского района</w:t>
      </w:r>
    </w:p>
    <w:p w:rsidR="000F508D" w:rsidRP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08D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0F508D" w:rsidRP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08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0F508D" w:rsidRPr="000F508D" w:rsidRDefault="000F508D" w:rsidP="000F508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508D" w:rsidRDefault="000F508D" w:rsidP="000F508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08D" w:rsidRPr="000F508D" w:rsidRDefault="000F508D" w:rsidP="000F508D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50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Правоприменение</w:t>
      </w:r>
      <w:proofErr w:type="spellEnd"/>
      <w:r w:rsidRPr="000F50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0F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от 28.12.2013 N 426-ФЗ </w:t>
      </w:r>
    </w:p>
    <w:p w:rsidR="000F508D" w:rsidRPr="000F508D" w:rsidRDefault="000F508D" w:rsidP="000F508D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 специальной оценке условий труда" в вопросах и ответах</w:t>
      </w:r>
    </w:p>
    <w:p w:rsidR="000F508D" w:rsidRPr="000F508D" w:rsidRDefault="000F508D" w:rsidP="000F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8D" w:rsidRPr="000F508D" w:rsidRDefault="000F508D" w:rsidP="000F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8D" w:rsidRPr="000F508D" w:rsidRDefault="000F508D" w:rsidP="000F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8D" w:rsidRPr="000F508D" w:rsidRDefault="000F508D" w:rsidP="000F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8D" w:rsidRPr="000F508D" w:rsidRDefault="000F508D" w:rsidP="000F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8D" w:rsidRPr="000F508D" w:rsidRDefault="000F508D" w:rsidP="000F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8D" w:rsidRPr="000F508D" w:rsidRDefault="000F508D" w:rsidP="000F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8D" w:rsidRDefault="000F508D" w:rsidP="000F508D">
      <w:pPr>
        <w:rPr>
          <w:rFonts w:ascii="Times New Roman" w:hAnsi="Times New Roman" w:cs="Times New Roman"/>
          <w:b/>
          <w:sz w:val="28"/>
          <w:szCs w:val="28"/>
        </w:rPr>
      </w:pPr>
    </w:p>
    <w:p w:rsidR="000F508D" w:rsidRPr="000F508D" w:rsidRDefault="000F508D" w:rsidP="000F508D">
      <w:pPr>
        <w:rPr>
          <w:rFonts w:ascii="Times New Roman" w:hAnsi="Times New Roman" w:cs="Times New Roman"/>
          <w:b/>
          <w:sz w:val="28"/>
          <w:szCs w:val="28"/>
        </w:rPr>
      </w:pPr>
    </w:p>
    <w:p w:rsid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08D">
        <w:rPr>
          <w:rFonts w:ascii="Times New Roman" w:eastAsia="Calibri" w:hAnsi="Times New Roman" w:cs="Times New Roman"/>
          <w:sz w:val="28"/>
          <w:szCs w:val="28"/>
        </w:rPr>
        <w:t>Нефтеюганский район</w:t>
      </w:r>
    </w:p>
    <w:p w:rsidR="000F508D" w:rsidRPr="000F508D" w:rsidRDefault="000F508D" w:rsidP="000F508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08D">
        <w:rPr>
          <w:rFonts w:ascii="Times New Roman" w:eastAsia="Calibri" w:hAnsi="Times New Roman" w:cs="Times New Roman"/>
          <w:sz w:val="28"/>
          <w:szCs w:val="28"/>
        </w:rPr>
        <w:t>2020</w:t>
      </w:r>
      <w:r w:rsidRPr="000F50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F508D" w:rsidRDefault="000F508D" w:rsidP="00AF40E4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F40E4" w:rsidRPr="00AF40E4" w:rsidRDefault="00FE1112" w:rsidP="00AF40E4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F40E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lastRenderedPageBreak/>
        <w:t>Правоприменен</w:t>
      </w:r>
      <w:bookmarkStart w:id="0" w:name="_GoBack"/>
      <w:bookmarkEnd w:id="0"/>
      <w:r w:rsidRPr="00AF40E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ие</w:t>
      </w:r>
      <w:proofErr w:type="spellEnd"/>
      <w:r w:rsidRPr="00AF40E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AF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Федерального закона от 28.12.2013 N 426-ФЗ </w:t>
      </w:r>
    </w:p>
    <w:p w:rsidR="00FE1112" w:rsidRPr="00AF40E4" w:rsidRDefault="00FE1112" w:rsidP="00AF40E4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"О специальной оценке условий труда" в вопросах и ответах</w:t>
      </w:r>
    </w:p>
    <w:p w:rsidR="00FE1112" w:rsidRPr="00AF40E4" w:rsidRDefault="00FE1112" w:rsidP="00A80FB7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A5C" w:rsidRPr="00AF40E4" w:rsidRDefault="00295A5C" w:rsidP="00A80FB7">
      <w:pPr>
        <w:pStyle w:val="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bCs w:val="0"/>
          <w:sz w:val="26"/>
          <w:szCs w:val="26"/>
        </w:rPr>
      </w:pPr>
      <w:r w:rsidRPr="00AF40E4">
        <w:rPr>
          <w:bCs w:val="0"/>
          <w:i/>
          <w:sz w:val="26"/>
          <w:szCs w:val="26"/>
        </w:rPr>
        <w:t>Работники организации выполняют свои обязанности в месте нахождения клиентов работодателя. Кто обязан проводить специальную оценку условий труда - работодатель или организация-клиент, где фактически работают сотрудники работодателя</w:t>
      </w:r>
      <w:r w:rsidRPr="00AF40E4">
        <w:rPr>
          <w:b w:val="0"/>
          <w:bCs w:val="0"/>
          <w:sz w:val="26"/>
          <w:szCs w:val="26"/>
        </w:rPr>
        <w:t>?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Специальную оценку условий труда всегда должен проводить работодатель. Это касается и случая, когда работники выполняют свои обязанности не на территории работодателя, а на территории клиента работодателя. Исключение составляют случаи, когда такие работники относятся к категории дистанционных, тогда СОУТ в отношении их условий труда вообще проводить не надо.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Организационное взаимодействие для целей проведения СОУТ с клиентами работодателя, в месте нахождения которых работники выполняют свои должностные обязанности, необходимо строить по договорам с соответствующими клиентами.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rStyle w:val="a4"/>
          <w:sz w:val="26"/>
          <w:szCs w:val="26"/>
        </w:rPr>
        <w:t>Правовое обоснование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Согласно части 2 статьи 212 ТК РФ работодатель обязан обеспечить проведение специальной оценки условий труда в соответствии с </w:t>
      </w:r>
      <w:hyperlink r:id="rId8" w:history="1">
        <w:r w:rsidRPr="00AF40E4">
          <w:rPr>
            <w:rStyle w:val="a5"/>
            <w:color w:val="auto"/>
            <w:sz w:val="26"/>
            <w:szCs w:val="26"/>
            <w:u w:val="none"/>
          </w:rPr>
          <w:t>законодательством</w:t>
        </w:r>
      </w:hyperlink>
      <w:r w:rsidRPr="00AF40E4">
        <w:rPr>
          <w:sz w:val="26"/>
          <w:szCs w:val="26"/>
        </w:rPr>
        <w:t> о специальной оценке условий труда.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Согласно статье 3 Федерального закона от 28.12.2013 N 426-ФЗ "О специальной оценке условий труда" специальная оценка условий труда не проводится только в отношении условий труда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proofErr w:type="gramStart"/>
      <w:r w:rsidRPr="00AF40E4">
        <w:rPr>
          <w:sz w:val="26"/>
          <w:szCs w:val="26"/>
        </w:rPr>
        <w:t>Согласно статье 1 Федерального закона от 28.12.2013 N 426-ФЗ "О специальной оценке условий труда" предметом регулирования указанного закона являются отношения, возникающие в связи с проведением специальной оценки условий труда, а также с реализацией обязанности работодателя 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  <w:proofErr w:type="gramEnd"/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Статья 4 Закона № 46-ФЗ устанавливает, что работодатель обязан обеспечить проведение специальной оценки условий труда, в том числе внеплановой специальной оценки условий труда, в случаях, установленных Законом.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Согласно статье 8 Закона № 426-ФЗ обязанности по организации и финансированию проведения специальной оценки условий труда возлагаются на работодателя.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Специальная оценка условий труда проводится совместно работодателем и специализированной организацией или организациями, привлекаемыми работодателем на основании гражданско-правового договора.</w:t>
      </w:r>
    </w:p>
    <w:p w:rsidR="00295A5C" w:rsidRPr="00AF40E4" w:rsidRDefault="00295A5C" w:rsidP="00AF40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295A5C" w:rsidRPr="00AF40E4" w:rsidRDefault="00645015" w:rsidP="00A80FB7">
      <w:pPr>
        <w:pStyle w:val="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 w:val="0"/>
          <w:i/>
          <w:sz w:val="26"/>
          <w:szCs w:val="26"/>
        </w:rPr>
      </w:pPr>
      <w:r w:rsidRPr="00AF40E4">
        <w:rPr>
          <w:bCs w:val="0"/>
          <w:i/>
          <w:sz w:val="26"/>
          <w:szCs w:val="26"/>
        </w:rPr>
        <w:t>К</w:t>
      </w:r>
      <w:r w:rsidR="00295A5C" w:rsidRPr="00AF40E4">
        <w:rPr>
          <w:bCs w:val="0"/>
          <w:i/>
          <w:sz w:val="26"/>
          <w:szCs w:val="26"/>
        </w:rPr>
        <w:t>акие документы и куда необходимо подавать после прохождения специальной оценки условий труда?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 xml:space="preserve">На данный момент предусмотрена единственная обязанность работодателя о направлении в территориальную государственную инспекцию труда (по месту нахождения работодателя) декларации соответствия условий труда государственным нормативным требованиям охраны труда (только в отношении </w:t>
      </w:r>
      <w:r w:rsidRPr="00AF40E4">
        <w:rPr>
          <w:sz w:val="26"/>
          <w:szCs w:val="26"/>
        </w:rPr>
        <w:lastRenderedPageBreak/>
        <w:t>рабочих мест, на которых вредные и (или) опасные производственные факторы по результатам специальной оценки труда не выявлены).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 xml:space="preserve">Порядок и сроки подачи данной декларации установлены Приказом Минтруда России от 07.02.2014 N 80н "О форме и порядке </w:t>
      </w:r>
      <w:proofErr w:type="gramStart"/>
      <w:r w:rsidRPr="00AF40E4">
        <w:rPr>
          <w:sz w:val="26"/>
          <w:szCs w:val="26"/>
        </w:rPr>
        <w:t>подачи декларации соответствия условий труда</w:t>
      </w:r>
      <w:proofErr w:type="gramEnd"/>
      <w:r w:rsidRPr="00AF40E4">
        <w:rPr>
          <w:sz w:val="26"/>
          <w:szCs w:val="26"/>
        </w:rP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труда".</w:t>
      </w:r>
    </w:p>
    <w:p w:rsidR="00295A5C" w:rsidRPr="00AF40E4" w:rsidRDefault="00295A5C" w:rsidP="00AF40E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Декларация может быть передана работодателем в государственную инспекцию труда лично, отправлена почтовым отправлением с описью вложения и уведомлением о вручении, либо направлена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rStyle w:val="a4"/>
          <w:sz w:val="26"/>
          <w:szCs w:val="26"/>
        </w:rPr>
        <w:t>Правовое обоснование: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proofErr w:type="gramStart"/>
      <w:r w:rsidRPr="00AF40E4">
        <w:rPr>
          <w:sz w:val="26"/>
          <w:szCs w:val="26"/>
        </w:rPr>
        <w:t>В соответствии с ч. 1 ст. 11 Федерального закона от 28.12.2013 N 426-ФЗ "О специальной оценке условий труда" в отношении рабочих мест, на которых вредные и (или) опасные производственные факторы по результатам осуществления идентификации не выявлены, работодателем подается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</w:t>
      </w:r>
      <w:proofErr w:type="gramEnd"/>
      <w:r w:rsidRPr="00AF40E4">
        <w:rPr>
          <w:sz w:val="26"/>
          <w:szCs w:val="26"/>
        </w:rPr>
        <w:t xml:space="preserve">, </w:t>
      </w:r>
      <w:proofErr w:type="gramStart"/>
      <w:r w:rsidRPr="00AF40E4">
        <w:rPr>
          <w:sz w:val="26"/>
          <w:szCs w:val="26"/>
        </w:rPr>
        <w:t>содержащих</w:t>
      </w:r>
      <w:proofErr w:type="gramEnd"/>
      <w:r w:rsidRPr="00AF40E4">
        <w:rPr>
          <w:sz w:val="26"/>
          <w:szCs w:val="26"/>
        </w:rPr>
        <w:t xml:space="preserve"> нормы трудового права, по месту своего нахождения декларация 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соответствия условий труда государственным нормативным требованиям охраны труда.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proofErr w:type="gramStart"/>
      <w:r w:rsidRPr="00AF40E4">
        <w:rPr>
          <w:sz w:val="26"/>
          <w:szCs w:val="26"/>
        </w:rPr>
        <w:t>На основании п.п. 3 – 5 Порядка подачи декларации соответствия условий труда государственным нормативным требованиям охраны труда (утв. Приказом Минтруда России от 07.02.2014 N 80н 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 (Зарегистрировано в Минюсте России 22.05.2014 N 32387)).</w:t>
      </w:r>
      <w:proofErr w:type="gramEnd"/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Декларация подается работодателем в территориальный орган Федеральной службы по труду и занятости (государственная инспекция труда в субъекте Российской Федерации) по месту своего нахождения лично или направляется почтовым отправлением с описью вложения и уведомлением о вручении.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Декларация может быть подана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 w:rsidR="00295A5C" w:rsidRPr="00AF40E4" w:rsidRDefault="00295A5C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AF40E4">
        <w:rPr>
          <w:sz w:val="26"/>
          <w:szCs w:val="26"/>
        </w:rPr>
        <w:t>Декларация подается работодателем в срок не позднее тридцати рабочих дней со дня утверждения отчета о проведении специальной оценки условий труда на рабочих местах, в отношении которых подается декларация.</w:t>
      </w:r>
    </w:p>
    <w:p w:rsidR="00645015" w:rsidRPr="00AF40E4" w:rsidRDefault="00645015" w:rsidP="00A80FB7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Декларация соответствия условий труда государственным нормативным требованиям охраны труда вовремя не подана. Нужно ли подавать декларацию, если срок уже упущен? Чем это грозит?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Организация, у которой по результатам специальной оценки не выявлено вредных факторов, в срок не позднее тридцати рабочих дней со дня утверждения отчета о проведении специальной оценки обязана подать декларацию соответствия условий труда государственным нормативным требованиям охраны труда. В противном случае возможно привлечение организации к ответственности по ч. 2 ст. 5.27.1 Кодекса РФ об административных правонарушениях.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можно скорее подать в </w:t>
      </w:r>
      <w:proofErr w:type="spell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Роструд</w:t>
      </w:r>
      <w:proofErr w:type="spell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декларацию соответствия условий труда государственным нормативным требованиям охраны труда.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Правовое обоснование: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 Федерального закона от 28.12.2013 № 426-ФЗ «О специальной оценке условий труда» (далее - Закон № 426-ФЗ)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 Согласно п. 1 и 4 ст. 8 Закона № 426-ФЗ обязанности по организации и финансированию проведения специальной оценки условий труда возлагаются на работодателя. Специальная оценка условий труда на рабочем месте проводится не реже чем один раз в пять лет, если иное не установлено названным Федеральным законом.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п. 1 ст. 11 Закона № 426-ФЗ 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части 6 статьи 10 указанного Федерального закона, работодателем подается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труда.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2 Порядка формирования и ведения реестра деклараций соответствия условий труда государственным нормативным требованиям охраны труда, утвержденного Приказом Минтруда России от 07.02.2014 № 80н, декларация соответствия условий труда государственным нормативным требованиям охраны труда оформляется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 не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Декларация подается работодателем в срок не позднее тридцати рабочих дней со дня утверждения отчета о проведении специальной оценки условий труда на рабочих местах, в отношении которых подается декларация (п. 5 указанного выше Порядка).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 ст. 5.27.1 КоАП РФ предусмотрено, что 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непроведение</w:t>
      </w:r>
      <w:proofErr w:type="spell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влечет </w:t>
      </w: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юридических лиц от шестидесяти тысяч до восьмидесяти тысяч рублей.</w:t>
      </w:r>
    </w:p>
    <w:p w:rsidR="00AF40E4" w:rsidRDefault="00AF40E4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Декларация соответствия условий труда государственным нормативным требованиям охраны труда действительна в течение пяти лет со дня утверждения отчета о проведении СОУТ. Каким образом происходит продление срока действия декларации? Необходимо ли подавать документы на продление срока действия декларации в Государственную инспекцию труда?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случае отсутствия в период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декларации соответствия условий труда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государственным нормативным требованиям охраны труда обстоятельств, указанных в части 5 статьи 11 Федерального закона N 426-ФЗ, срок действия данной декларации считается продленным на следующие пять лет и новую декларацию подавать не нужно.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следующих пяти лет срок действия декларации может быть также автоматически продлен на последующие 5 лет при выполнении указанных условий.</w:t>
      </w:r>
      <w:proofErr w:type="gramEnd"/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Нет, в этом нет необходимости.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Правовое обоснование: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5 ст. 11 Федерального закона от 28.12.2013 N 426-ФЗ «О специальной оценке условий труда» в случае, если в период действия декларации соответствия условий труда государственным нормативным требованиям охраны труда с работником, занятым на рабочем месте, в отношении которого принята данная декларация, произошел несчастный случай на производстве (за исключением несчастного случая на производстве, произошедшего по вине третьих лиц) или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него выявлено профессиональное заболевание, причиной которых явилось воздействие на работника вредных и (или) опасных производственных факторов,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актах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в отношении такого рабочего места действие данной декларации прекращается и проводится внеплановая специальная оценка условий труда.</w:t>
      </w:r>
    </w:p>
    <w:p w:rsidR="00AF40E4" w:rsidRPr="00AF40E4" w:rsidRDefault="00AF40E4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действия декларации соответствия условий труда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государственным нормативным требованиям охраны труда и в случае отсутствия в период ее действия обстоятельств, указанных в части 5 статьи 11 вышеуказанного 426-ФЗ, срок действия данной декларации считается продленным на следующие пять лет (ч. 7 ст. 11 вышеуказанного 426-ФЗ).</w:t>
      </w:r>
    </w:p>
    <w:p w:rsidR="00AF40E4" w:rsidRDefault="00AF40E4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40E4" w:rsidRDefault="00AF40E4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45015" w:rsidRPr="00AF40E4" w:rsidRDefault="00295A5C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Если при </w:t>
      </w:r>
      <w:r w:rsidR="00645015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ранее </w:t>
      </w: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проведен</w:t>
      </w:r>
      <w:r w:rsidR="00645015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ной</w:t>
      </w: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аттестации рабочих мест на одном рабочем месте были идентифицированы вредные производственные факторы, (техпроцесс, материалы не менялись) нужно ли при проведении </w:t>
      </w:r>
      <w:r w:rsidR="00AF40E4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СОУТ</w:t>
      </w: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проводить идентификацию? Исключать уже определенные производственные факторы</w:t>
      </w:r>
      <w:proofErr w:type="gramStart"/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?</w:t>
      </w:r>
      <w:proofErr w:type="gramEnd"/>
    </w:p>
    <w:p w:rsidR="00645015" w:rsidRPr="00AF40E4" w:rsidRDefault="00295A5C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на рабочем месте были выявлены вредные и (или) опасные условия труда, то не нужно. </w:t>
      </w:r>
    </w:p>
    <w:p w:rsidR="00645015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Идентификация потенциально вредных и (или) опасных производственных факторов не осуществляется в отношении:</w:t>
      </w:r>
    </w:p>
    <w:p w:rsidR="00645015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</w:p>
    <w:p w:rsidR="00645015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295A5C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</w:r>
    </w:p>
    <w:p w:rsidR="00645015" w:rsidRPr="00AF40E4" w:rsidRDefault="00295A5C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Правовое обоснование:</w:t>
      </w:r>
    </w:p>
    <w:p w:rsidR="00645015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6 ст. 10 Закона № 426-ФЗ «О специальной оценке условий труда» идентификация потенциально вредных и (или) опасных производственных факторов не осуществляется в отношении:</w:t>
      </w:r>
    </w:p>
    <w:p w:rsidR="00645015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</w:p>
    <w:p w:rsidR="00645015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295A5C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</w:r>
    </w:p>
    <w:p w:rsidR="00645015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A5C" w:rsidRPr="00AF40E4" w:rsidRDefault="00295A5C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Что делать если работник отказывается </w:t>
      </w:r>
      <w:proofErr w:type="spellStart"/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ознакамливаться</w:t>
      </w:r>
      <w:proofErr w:type="spellEnd"/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 результатами СОУТ?</w:t>
      </w:r>
    </w:p>
    <w:p w:rsidR="00295A5C" w:rsidRPr="00AF40E4" w:rsidRDefault="00295A5C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работник отказывается </w:t>
      </w:r>
      <w:proofErr w:type="spell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ознакамливаться</w:t>
      </w:r>
      <w:proofErr w:type="spell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результатами специальной оценки условий труда, то такой отказ необходимо документально зафиксировать, например, путем составления соответствующего акта.</w:t>
      </w:r>
    </w:p>
    <w:p w:rsidR="00645015" w:rsidRPr="00AF40E4" w:rsidRDefault="00295A5C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Правовое обоснование:</w:t>
      </w:r>
    </w:p>
    <w:p w:rsidR="00295A5C" w:rsidRPr="00AF40E4" w:rsidRDefault="00645015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5 ст. 15 Федерального закона от 28.12.2013 N 426-ФЗ «О специальной оценке условий труда»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</w:t>
      </w:r>
      <w:proofErr w:type="gramStart"/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междувахтового</w:t>
      </w:r>
      <w:proofErr w:type="spellEnd"/>
      <w:r w:rsidR="00295A5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отдыха.</w:t>
      </w:r>
    </w:p>
    <w:p w:rsidR="00E80D06" w:rsidRPr="00AF40E4" w:rsidRDefault="00E80D06" w:rsidP="00AF40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DF6" w:rsidRPr="00AF40E4" w:rsidRDefault="00D57DF6" w:rsidP="00DE59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результатам СОУ</w:t>
      </w:r>
      <w:r w:rsidR="00DE5902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</w:t>
      </w: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E5902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водителя </w:t>
      </w: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рабочем месте установлен класс условий труда - 2. В строке 040</w:t>
      </w:r>
      <w:r w:rsidR="00DE5902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карты СОУТ медосмотр работнику  не предусмотрен. Освобождает ли результат СОУТ работодател</w:t>
      </w:r>
      <w:r w:rsidR="00C1510C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 от организации</w:t>
      </w:r>
      <w:r w:rsidR="00DE5902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1510C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</w:t>
      </w:r>
      <w:r w:rsidR="00DE5902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едицинских осмотров?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Если по результатам СОУТ медосмотр работникам не предусмотрен, то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эксперты, проводящие СОУТ не обязаны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заполнять графу 040. Если в строке 040 карты специальной оценки условий труда указано, что необходимость проведения медицинских осмотров отсутствует, то работодателю следует удостовериться, не предусмотрены ли данные работы и/или выявленные вредные и (или) опасные производственные факторы (а при допустимых условиях труда (2-й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класс) 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есть) указанным Перечнем. В случае наличия данных факторов и работ в Перечне, работодатель должен направлять работника на предварительный и периодические медицинские осмотры.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проведения медицинских осмотров работников определяется не только по результатам специальной оценки условий труда, но и с учетом Перечня вредных и (или) опасных производственных факторов и работ, при наличии которых проводятся обязательные предварительные и периодические медицинские осмотры (обследования) (утв. приказом Минздравсоцразвития РФ от 12.04.2011 № 302н).</w:t>
      </w:r>
      <w:r w:rsidR="00C1510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указанному Перечню в целях проведения обязательных предварительных и периодических медосмотров производственные факторы признаются вредными и (или) опасными либо по результатам специальной оценки условий труда, либо считаются таковыми по уровню воздействия на человека вне зависимости от результатов специальной оценки условий труда.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Правовое обоснование: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213 ТК РФ предварительные медицинские осмотры при поступлении на работу обязаны проходить, в том числе: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занятые на тяжелых работах и на работах с вредными и (или) опасными условиями труда (в т. ч. на подземных работах), а также на работах, связанных с движением транспорта;</w:t>
      </w:r>
      <w:r w:rsidR="00C1510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др. работодателей в целях охраны здоровья населения;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-работники отдельных работодателей по решению органов местного самоуправления;</w:t>
      </w:r>
      <w:r w:rsidR="00C1510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предусмотренные федеральными законами лица.</w:t>
      </w:r>
      <w:r w:rsidR="00C1510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Вредные и (или) опасные производственные факторы и работы, при выполнении которых проводятся обязательные предварительные и периодические медицинские осмотры, и порядок их проведения определяются уполномоченным Правительством РФ федеральным органом исполнительной власти (ч. 4 ст. 213 ТК РФ).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актом является Приказ Минздравсоцразвития России от 12.04.2011 № 302н, который утверждает Перечень вредных и (или) опасных производственных факторов и работ, при наличии которых проводятся обязательные предварительные и периодические медицинские осмотры (обследования), и Порядок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C1510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5 ст. 7 Федерального закона от 28.12.2013 N 426-ФЗ «О специальной оценке условий труда» результаты проведения специальной оценки условий труда могут применяться для организации в случаях, установленных законодательством Российской Федерации, обязательных предварительных (при </w:t>
      </w: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поступлении на работу) и периодических (в течение трудовой деятельности) медицинских осмотров работников.</w:t>
      </w:r>
      <w:r w:rsidR="00C1510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14 Федерального закона от 28.12.2013 № 426-ФЗ «О специальной оценке условий труда»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  <w:r w:rsidR="00C1510C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510C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Допустимыми условиями труда (2-й класс) являются условия труда, при которых на работника воздействуют вредные и (или) опасные производственные факторы, </w:t>
      </w: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уровни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</w:t>
      </w:r>
    </w:p>
    <w:p w:rsidR="00E80D06" w:rsidRPr="00AF40E4" w:rsidRDefault="00D57DF6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проведения медицинских осмотров указывается в строке 040 Карты специальной оценки условий труда, формуляр которой утвержден Приказом Минтруда России от 24.01.2014 № 33н.</w:t>
      </w:r>
    </w:p>
    <w:p w:rsidR="00E80D06" w:rsidRPr="00AF40E4" w:rsidRDefault="00E80D0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D06" w:rsidRPr="00AF40E4" w:rsidRDefault="00E80D06" w:rsidP="00AF40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 xml:space="preserve">Как сформировать комиссию по проведению СОУТ, если в организации всего </w:t>
      </w:r>
      <w:r w:rsidR="00D57DF6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 сотрудника,</w:t>
      </w: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при этом</w:t>
      </w:r>
      <w:r w:rsidR="00D57DF6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обязанности </w:t>
      </w: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</w:t>
      </w:r>
      <w:r w:rsidR="00D57DF6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обеспечени</w:t>
      </w: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ю</w:t>
      </w:r>
      <w:r w:rsidR="00D57DF6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безопасности условий</w:t>
      </w:r>
      <w:r w:rsid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труда возложены на работодателя?</w:t>
      </w:r>
      <w:r w:rsidR="00D57DF6"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D57DF6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СОУТ организацией-субъектом малого предпринимательства в состав комиссии должен быть включен специалист по охране труда либо представитель организации или специалист, привлекаемые работодателем по гражданско-правовому договору для осуществления функций службы охраны труда (специалиста по охране труда). Поскольку данное требование является обязательным и не поставлено в зависимость от наличия такого специалиста, то в случае его отсутствия в штате работодатель обязан заключить гражданско-правовой договор для осуществления функций службы охраны труда на время проведения специальной оценки условий труда с организацией или специалистом, которые будут входить в состав комиссии.</w:t>
      </w:r>
    </w:p>
    <w:p w:rsidR="00E80D06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Правовое обоснование:</w:t>
      </w:r>
    </w:p>
    <w:p w:rsidR="00E80D06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9 Федерального закона № 426-ФЗ "О специальной оценке условий труда" для организации и проведения специальной оценки условий труда работодателем образуется комиссия. 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</w:t>
      </w:r>
    </w:p>
    <w:p w:rsidR="00D57DF6" w:rsidRPr="00AF40E4" w:rsidRDefault="00D57DF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у работодателя, отнесенного в соответствии с законодательством Российской Федерации к субъектам малого предпринимательства, специальной оценки условий труда в состав комиссии включаются работодатель - индивидуальный предприниматель (лично), руководитель организации, другие полномочные представители работодателя, в том числе специалист по охране труда либо представитель организации или специалист, привлекаемые работодателем по гражданско-правовому договору для осуществления функций службы охраны труда (специалиста по охране труда</w:t>
      </w:r>
      <w:proofErr w:type="gram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представители выборного органа первичной профсоюзной организации или иного представительного органа работников (при наличии).</w:t>
      </w:r>
    </w:p>
    <w:p w:rsidR="00D57DF6" w:rsidRPr="00AF40E4" w:rsidRDefault="00D57DF6" w:rsidP="00AF40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60CB6" w:rsidRPr="00AF40E4" w:rsidRDefault="00860CB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Нужно ли проводить внеплановую </w:t>
      </w:r>
      <w:proofErr w:type="gramStart"/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СОУТ</w:t>
      </w:r>
      <w:proofErr w:type="gramEnd"/>
      <w:r w:rsidRP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если переименовали должность без изменения функционала</w:t>
      </w:r>
      <w:r w:rsidR="00AF40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860CB6" w:rsidRPr="00AF40E4" w:rsidRDefault="00860CB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при переименовании должности новые рабочие места не вводились, а условия труда на существующих рабочих местах не изменились, внеплановую специальную оценку условий труда можно не проводить.</w:t>
      </w:r>
    </w:p>
    <w:p w:rsidR="00E80D06" w:rsidRPr="00AF40E4" w:rsidRDefault="00860CB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Правовое обоснование:</w:t>
      </w:r>
    </w:p>
    <w:p w:rsidR="00E80D06" w:rsidRPr="00AF40E4" w:rsidRDefault="00E80D0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CB6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1 ч. 1 ст. 17 Федерального закона от 28.12.2013 N 426-ФЗ «О специальной оценке условий труда» внеплановая специальная оценка условий труда должна проводиться в случаях ввода в эксплуатацию вновь организованных рабочих мест.</w:t>
      </w:r>
    </w:p>
    <w:p w:rsidR="00860CB6" w:rsidRPr="00AF40E4" w:rsidRDefault="00E80D0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60CB6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имени, фамилии или отчества (при наличии) работодателя - индивидуального предпринимателя, реорганизации работодателя - юридического лица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пунктами 3 - 5 и 7 части 1 статьи 17 вышеуказанного 426-ФЗ, внеплановая специальная оценка условий труда может не проводиться.</w:t>
      </w:r>
      <w:proofErr w:type="gramEnd"/>
      <w:r w:rsidR="00860CB6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 </w:t>
      </w:r>
      <w:proofErr w:type="spellStart"/>
      <w:r w:rsidR="00860CB6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непроведении</w:t>
      </w:r>
      <w:proofErr w:type="spellEnd"/>
      <w:r w:rsidR="00860CB6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внеплановой специальной оценки условий труда должно приниматься комиссией (ч. 3 ст. 17 вышеуказанного 426-ФЗ).</w:t>
      </w:r>
    </w:p>
    <w:p w:rsidR="00E80D06" w:rsidRPr="00AF40E4" w:rsidRDefault="00E80D0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CB6" w:rsidRPr="006D2D80" w:rsidRDefault="00860CB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Офисные работники переехали в другое помещение, оборудование, мебел</w:t>
      </w:r>
      <w:proofErr w:type="gramStart"/>
      <w:r w:rsidRPr="006D2D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ь-</w:t>
      </w:r>
      <w:proofErr w:type="gramEnd"/>
      <w:r w:rsidRPr="006D2D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остались те же что и при проведении СОУТ. Нужно ли проводить СОУТ заново?</w:t>
      </w:r>
    </w:p>
    <w:p w:rsidR="00860CB6" w:rsidRPr="00AF40E4" w:rsidRDefault="00860CB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переезда работодателя, его структурного подразделения из одного здания в другое происходит создание новых рабочих мест, на которых могут быть другие физические и химические факторы производственной среды. Поэтому в данном случае необходимо будет проведение внеплановой специальной оценки условий труда.</w:t>
      </w:r>
    </w:p>
    <w:p w:rsidR="00E80D06" w:rsidRPr="00AF40E4" w:rsidRDefault="00860CB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Правовое обоснование:</w:t>
      </w:r>
      <w:r w:rsidR="00FE1112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1112" w:rsidRPr="006D2D80" w:rsidRDefault="00860CB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обязанностей работодателя по обеспечению безопасных условий и охраны труда является проведение специальной оценки условий труда в соответствии с законодательством о специальной оценке условий труда (</w:t>
      </w:r>
      <w:proofErr w:type="spellStart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>. 11 ч. 2 ст. 212 ТК РФ).</w:t>
      </w:r>
      <w:r w:rsidR="00FE1112" w:rsidRPr="00AF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специальной оценки условий труда регулируется Федеральным законом от 28.12.2013 № 426-ФЗ «О специальной оценке условий труда» (далее - Федеральный закон № 426-ФЗ), согласно которому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</w:t>
      </w:r>
      <w:proofErr w:type="gramEnd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  <w:proofErr w:type="gramEnd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E1112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17 Федерального закона № 426-ФЗ внеплановая специальная оценка условий труда должна проводиться в следующих случаях:</w:t>
      </w:r>
    </w:p>
    <w:p w:rsidR="00FE1112" w:rsidRPr="006D2D80" w:rsidRDefault="00FE1112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CB6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ввод в эксплуатацию вновь организованных рабочих мест;</w:t>
      </w:r>
    </w:p>
    <w:p w:rsidR="00FE1112" w:rsidRPr="006D2D80" w:rsidRDefault="00FE1112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60CB6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</w:t>
      </w:r>
      <w:r w:rsidR="00860CB6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соблюдением трудового законодательства и иных нормативных правовых актов, содержащих нормы трудового права, нарушениями требований названного Федерального закона или государственных нормативных требований охраны труда, содержащихся в федеральных законах и иных нормативных правовых актах Российской Федерации;</w:t>
      </w:r>
      <w:proofErr w:type="gramEnd"/>
    </w:p>
    <w:p w:rsidR="00FE1112" w:rsidRPr="006D2D80" w:rsidRDefault="00FE1112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CB6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</w:t>
      </w:r>
    </w:p>
    <w:p w:rsidR="00FE1112" w:rsidRPr="006D2D80" w:rsidRDefault="00FE1112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CB6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работников;</w:t>
      </w:r>
    </w:p>
    <w:p w:rsidR="00FE1112" w:rsidRPr="006D2D80" w:rsidRDefault="00FE1112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CB6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5) 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FE1112" w:rsidRPr="006D2D80" w:rsidRDefault="00FE1112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CB6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</w:p>
    <w:p w:rsidR="00FE1112" w:rsidRPr="006D2D80" w:rsidRDefault="00FE1112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CB6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7)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труда.</w:t>
      </w:r>
    </w:p>
    <w:p w:rsidR="00860CB6" w:rsidRPr="006D2D80" w:rsidRDefault="00FE1112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CB6"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Внеплановая специальная оценка условий труда проводится на соответствующих рабочих местах в течение двенадцати месяцев со дня наступления случаев, указанных в пунктах 1 и 3 части 1 указанной статьи, и в течение шести месяцев со дня наступления случаев, указанных в пунктах 2, 4 - 7 части 1 названой статьи.</w:t>
      </w:r>
    </w:p>
    <w:p w:rsidR="00860CB6" w:rsidRPr="00860CB6" w:rsidRDefault="00860CB6" w:rsidP="00A80F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E3A"/>
          <w:sz w:val="26"/>
          <w:szCs w:val="26"/>
          <w:lang w:eastAsia="ru-RU"/>
        </w:rPr>
      </w:pPr>
      <w:r w:rsidRPr="00860CB6">
        <w:rPr>
          <w:rFonts w:ascii="Times New Roman" w:eastAsia="Times New Roman" w:hAnsi="Times New Roman" w:cs="Times New Roman"/>
          <w:color w:val="262E3A"/>
          <w:sz w:val="26"/>
          <w:szCs w:val="26"/>
          <w:lang w:eastAsia="ru-RU"/>
        </w:rPr>
        <w:t> </w:t>
      </w:r>
    </w:p>
    <w:p w:rsidR="00FE1112" w:rsidRPr="006D2D80" w:rsidRDefault="00FE1112" w:rsidP="006D2D8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Как правильно оформить аналогичные рабочие места?</w:t>
      </w:r>
    </w:p>
    <w:p w:rsidR="00FE1112" w:rsidRPr="006D2D80" w:rsidRDefault="00FE1112" w:rsidP="00E80D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отнесении конкретных рабочих мест </w:t>
      </w:r>
      <w:proofErr w:type="gramStart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аналогичным</w:t>
      </w:r>
      <w:proofErr w:type="gramEnd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экспертом организации, проводящей СОУТ, с последующим утверждением указанного решения комиссией. На аналогичные рабочие места заполняется одна карта СОУТ. При завершении СОУТ необходимо с результатами ознакомить работников.</w:t>
      </w:r>
    </w:p>
    <w:p w:rsidR="00FE1112" w:rsidRPr="006D2D80" w:rsidRDefault="00FE1112" w:rsidP="00E80D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Правовое обоснование:</w:t>
      </w:r>
    </w:p>
    <w:p w:rsidR="00FE1112" w:rsidRPr="006D2D80" w:rsidRDefault="00FE1112" w:rsidP="00E80D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16 Федерального закона от 28.12.2013 N 426-ФЗ "О специальной оценке условий труда" на аналогичные рабочие места заполняется одна карта специальной оценки условий труда.</w:t>
      </w:r>
    </w:p>
    <w:p w:rsidR="00FE1112" w:rsidRPr="006D2D80" w:rsidRDefault="00FE1112" w:rsidP="00E80D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6 ст. 9 Закона № 426-ФЗ для целей указанного Федерального закона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</w:t>
      </w:r>
      <w:proofErr w:type="gramEnd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  <w:proofErr w:type="gramEnd"/>
    </w:p>
    <w:p w:rsidR="00FE1112" w:rsidRPr="006D2D80" w:rsidRDefault="00FE1112" w:rsidP="00E80D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Статья 16 Закона № 426-ФЗ определяет, что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(но не менее чем двух рабочих мест) и ее результаты применяются ко всем аналогичным рабочим местам. На аналогичные рабочие места заполняется одна карта специальной оценки условий труда.</w:t>
      </w:r>
    </w:p>
    <w:p w:rsidR="00254460" w:rsidRPr="006D2D80" w:rsidRDefault="00254460" w:rsidP="00A80F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54460" w:rsidRPr="006D2D80" w:rsidSect="0025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093"/>
    <w:multiLevelType w:val="multilevel"/>
    <w:tmpl w:val="513C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4360F"/>
    <w:multiLevelType w:val="multilevel"/>
    <w:tmpl w:val="4830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A40E3"/>
    <w:multiLevelType w:val="multilevel"/>
    <w:tmpl w:val="093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836A3"/>
    <w:multiLevelType w:val="multilevel"/>
    <w:tmpl w:val="9042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420DA"/>
    <w:multiLevelType w:val="multilevel"/>
    <w:tmpl w:val="015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A5C"/>
    <w:rsid w:val="000F508D"/>
    <w:rsid w:val="00254460"/>
    <w:rsid w:val="00295A5C"/>
    <w:rsid w:val="00645015"/>
    <w:rsid w:val="006D2D80"/>
    <w:rsid w:val="00832B41"/>
    <w:rsid w:val="00860CB6"/>
    <w:rsid w:val="00A80FB7"/>
    <w:rsid w:val="00AF40E4"/>
    <w:rsid w:val="00C1510C"/>
    <w:rsid w:val="00C43ABB"/>
    <w:rsid w:val="00D57DF6"/>
    <w:rsid w:val="00DE5902"/>
    <w:rsid w:val="00E3025F"/>
    <w:rsid w:val="00E80D06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60"/>
  </w:style>
  <w:style w:type="paragraph" w:styleId="1">
    <w:name w:val="heading 1"/>
    <w:basedOn w:val="a"/>
    <w:link w:val="10"/>
    <w:uiPriority w:val="9"/>
    <w:qFormat/>
    <w:rsid w:val="00295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A5C"/>
    <w:rPr>
      <w:b/>
      <w:bCs/>
    </w:rPr>
  </w:style>
  <w:style w:type="character" w:styleId="a5">
    <w:name w:val="Hyperlink"/>
    <w:basedOn w:val="a0"/>
    <w:uiPriority w:val="99"/>
    <w:semiHidden/>
    <w:unhideWhenUsed/>
    <w:rsid w:val="00295A5C"/>
    <w:rPr>
      <w:color w:val="0000FF"/>
      <w:u w:val="single"/>
    </w:rPr>
  </w:style>
  <w:style w:type="character" w:styleId="a6">
    <w:name w:val="Emphasis"/>
    <w:basedOn w:val="a0"/>
    <w:uiPriority w:val="20"/>
    <w:qFormat/>
    <w:rsid w:val="00295A5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875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747">
                  <w:marLeft w:val="0"/>
                  <w:marRight w:val="0"/>
                  <w:marTop w:val="201"/>
                  <w:marBottom w:val="0"/>
                  <w:divBdr>
                    <w:top w:val="single" w:sz="12" w:space="2" w:color="00BDEF"/>
                    <w:left w:val="single" w:sz="12" w:space="11" w:color="00BDEF"/>
                    <w:bottom w:val="single" w:sz="12" w:space="2" w:color="00BDEF"/>
                    <w:right w:val="single" w:sz="12" w:space="11" w:color="00BDEF"/>
                  </w:divBdr>
                </w:div>
              </w:divsChild>
            </w:div>
          </w:divsChild>
        </w:div>
        <w:div w:id="1738093438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75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749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29844">
                  <w:marLeft w:val="0"/>
                  <w:marRight w:val="0"/>
                  <w:marTop w:val="201"/>
                  <w:marBottom w:val="0"/>
                  <w:divBdr>
                    <w:top w:val="single" w:sz="12" w:space="2" w:color="00BDEF"/>
                    <w:left w:val="single" w:sz="12" w:space="11" w:color="00BDEF"/>
                    <w:bottom w:val="single" w:sz="12" w:space="2" w:color="00BDEF"/>
                    <w:right w:val="single" w:sz="12" w:space="11" w:color="00BDEF"/>
                  </w:divBdr>
                </w:div>
              </w:divsChild>
            </w:div>
          </w:divsChild>
        </w:div>
        <w:div w:id="1899047930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2638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806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9340">
                  <w:marLeft w:val="0"/>
                  <w:marRight w:val="0"/>
                  <w:marTop w:val="201"/>
                  <w:marBottom w:val="0"/>
                  <w:divBdr>
                    <w:top w:val="single" w:sz="12" w:space="2" w:color="00BDEF"/>
                    <w:left w:val="single" w:sz="12" w:space="11" w:color="00BDEF"/>
                    <w:bottom w:val="single" w:sz="12" w:space="2" w:color="00BDEF"/>
                    <w:right w:val="single" w:sz="12" w:space="11" w:color="00BDEF"/>
                  </w:divBdr>
                </w:div>
              </w:divsChild>
            </w:div>
          </w:divsChild>
        </w:div>
        <w:div w:id="2042196647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4913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350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2356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2725">
                  <w:marLeft w:val="0"/>
                  <w:marRight w:val="0"/>
                  <w:marTop w:val="201"/>
                  <w:marBottom w:val="0"/>
                  <w:divBdr>
                    <w:top w:val="single" w:sz="12" w:space="2" w:color="00BDEF"/>
                    <w:left w:val="single" w:sz="12" w:space="11" w:color="00BDEF"/>
                    <w:bottom w:val="single" w:sz="12" w:space="2" w:color="00BDEF"/>
                    <w:right w:val="single" w:sz="12" w:space="11" w:color="00BDEF"/>
                  </w:divBdr>
                </w:div>
              </w:divsChild>
            </w:div>
          </w:divsChild>
        </w:div>
        <w:div w:id="13073024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1735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134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15959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20491">
                  <w:marLeft w:val="0"/>
                  <w:marRight w:val="0"/>
                  <w:marTop w:val="201"/>
                  <w:marBottom w:val="0"/>
                  <w:divBdr>
                    <w:top w:val="single" w:sz="12" w:space="2" w:color="00BDEF"/>
                    <w:left w:val="single" w:sz="12" w:space="11" w:color="00BDEF"/>
                    <w:bottom w:val="single" w:sz="12" w:space="2" w:color="00BDEF"/>
                    <w:right w:val="single" w:sz="12" w:space="11" w:color="00BDEF"/>
                  </w:divBdr>
                </w:div>
              </w:divsChild>
            </w:div>
          </w:divsChild>
        </w:div>
        <w:div w:id="801272288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734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731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80505">
                  <w:marLeft w:val="0"/>
                  <w:marRight w:val="0"/>
                  <w:marTop w:val="201"/>
                  <w:marBottom w:val="0"/>
                  <w:divBdr>
                    <w:top w:val="single" w:sz="12" w:space="2" w:color="00BDEF"/>
                    <w:left w:val="single" w:sz="12" w:space="11" w:color="00BDEF"/>
                    <w:bottom w:val="single" w:sz="12" w:space="2" w:color="00BDEF"/>
                    <w:right w:val="single" w:sz="12" w:space="11" w:color="00BDEF"/>
                  </w:divBdr>
                </w:div>
              </w:divsChild>
            </w:div>
          </w:divsChild>
        </w:div>
        <w:div w:id="1078282467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811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64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950">
                  <w:marLeft w:val="0"/>
                  <w:marRight w:val="0"/>
                  <w:marTop w:val="201"/>
                  <w:marBottom w:val="0"/>
                  <w:divBdr>
                    <w:top w:val="single" w:sz="12" w:space="2" w:color="00BDEF"/>
                    <w:left w:val="single" w:sz="12" w:space="11" w:color="00BDEF"/>
                    <w:bottom w:val="single" w:sz="12" w:space="2" w:color="00BDEF"/>
                    <w:right w:val="single" w:sz="12" w:space="11" w:color="00BDEF"/>
                  </w:divBdr>
                </w:div>
              </w:divsChild>
            </w:div>
          </w:divsChild>
        </w:div>
        <w:div w:id="971131658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8266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334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2657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187">
                  <w:marLeft w:val="0"/>
                  <w:marRight w:val="0"/>
                  <w:marTop w:val="201"/>
                  <w:marBottom w:val="0"/>
                  <w:divBdr>
                    <w:top w:val="single" w:sz="12" w:space="2" w:color="00BDEF"/>
                    <w:left w:val="single" w:sz="12" w:space="11" w:color="00BDEF"/>
                    <w:bottom w:val="single" w:sz="12" w:space="2" w:color="00BDEF"/>
                    <w:right w:val="single" w:sz="12" w:space="11" w:color="00BDEF"/>
                  </w:divBdr>
                </w:div>
              </w:divsChild>
            </w:div>
          </w:divsChild>
        </w:div>
        <w:div w:id="293490052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0647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502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3459">
                  <w:marLeft w:val="0"/>
                  <w:marRight w:val="0"/>
                  <w:marTop w:val="201"/>
                  <w:marBottom w:val="0"/>
                  <w:divBdr>
                    <w:top w:val="single" w:sz="12" w:space="2" w:color="00BDEF"/>
                    <w:left w:val="single" w:sz="12" w:space="11" w:color="00BDEF"/>
                    <w:bottom w:val="single" w:sz="12" w:space="2" w:color="00BDEF"/>
                    <w:right w:val="single" w:sz="12" w:space="11" w:color="00BDEF"/>
                  </w:divBdr>
                </w:div>
              </w:divsChild>
            </w:div>
          </w:divsChild>
        </w:div>
        <w:div w:id="2079084666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7864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28739C73AE6BC2667A129C03B7D4A388292694092B1362A7EAA01619BAA0E593B43E7C4B48481KDb4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749B-D583-4742-BB4A-37A49D4D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Рошка Григорий Викторович</cp:lastModifiedBy>
  <cp:revision>5</cp:revision>
  <dcterms:created xsi:type="dcterms:W3CDTF">2019-12-30T11:21:00Z</dcterms:created>
  <dcterms:modified xsi:type="dcterms:W3CDTF">2020-01-10T11:51:00Z</dcterms:modified>
</cp:coreProperties>
</file>