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3"/>
        <w:jc w:val="center"/>
        <w:keepNext/>
        <w:spacing w:after="0" w:line="240" w:lineRule="auto"/>
        <w:tabs>
          <w:tab w:val="left" w:pos="9639" w:leader="none"/>
        </w:tabs>
        <w:rPr>
          <w:rFonts w:ascii="Arial" w:hAnsi="Arial" w:eastAsia="Times New Roman"/>
          <w:b/>
          <w:sz w:val="16"/>
          <w:szCs w:val="20"/>
          <w:lang w:eastAsia="ru-RU"/>
        </w:rPr>
        <w:outlineLvl w:val="5"/>
      </w:pPr>
      <w:r>
        <w:rPr>
          <w:rFonts w:ascii="Arial" w:hAnsi="Arial" w:eastAsia="Times New Roman"/>
          <w:b/>
          <w:sz w:val="16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5567" cy="718698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5567" cy="718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90pt;height:56.59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Arial" w:hAnsi="Arial" w:eastAsia="Times New Roman"/>
          <w:b/>
          <w:sz w:val="16"/>
          <w:szCs w:val="20"/>
          <w:lang w:eastAsia="ru-RU"/>
        </w:rPr>
      </w:r>
      <w:r>
        <w:rPr>
          <w:rFonts w:ascii="Arial" w:hAnsi="Arial" w:eastAsia="Times New Roman"/>
          <w:b/>
          <w:sz w:val="16"/>
          <w:szCs w:val="20"/>
          <w:lang w:eastAsia="ru-RU"/>
        </w:rPr>
      </w:r>
    </w:p>
    <w:p>
      <w:pPr>
        <w:pStyle w:val="923"/>
        <w:ind w:right="-1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pStyle w:val="923"/>
        <w:ind w:right="-1"/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Администрация Нефтеюганского района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pPr>
      <w:r>
        <w:rPr>
          <w:rFonts w:ascii="Times New Roman" w:hAnsi="Times New Roman" w:eastAsia="Times New Roman"/>
          <w:b/>
          <w:caps/>
          <w:sz w:val="36"/>
          <w:szCs w:val="36"/>
          <w:lang w:eastAsia="ru-RU"/>
        </w:rPr>
        <w:t xml:space="preserve">департамент  финансов</w:t>
      </w:r>
      <w:r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r>
      <w:r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  <w:t xml:space="preserve">приказ</w:t>
      </w: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r>
    </w:p>
    <w:p>
      <w:pPr>
        <w:pStyle w:val="923"/>
        <w:spacing w:after="0" w:line="240" w:lineRule="auto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tbl>
      <w:tblPr>
        <w:tblW w:w="971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6595"/>
      </w:tblGrid>
      <w:tr>
        <w:tblPrEx/>
        <w:trPr>
          <w:cantSplit/>
          <w:trHeight w:val="232"/>
        </w:trPr>
        <w:tc>
          <w:tcPr>
            <w:tcBorders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</w:tc>
        <w:tc>
          <w:tcPr>
            <w:tcW w:w="659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Times New Roman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eastAsia="Times New Roman"/>
                <w:u w:val="single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________</w:t>
            </w:r>
            <w:r>
              <w:rPr>
                <w:rFonts w:ascii="Times New Roman" w:hAnsi="Times New Roman" w:eastAsia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u w:val="single"/>
                <w:lang w:eastAsia="ru-RU"/>
              </w:rPr>
            </w:r>
          </w:p>
        </w:tc>
      </w:tr>
      <w:tr>
        <w:tblPrEx/>
        <w:trPr>
          <w:cantSplit/>
          <w:trHeight w:val="23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9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right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г.Нефтеюганск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внесении изменений в </w:t>
      </w:r>
      <w:r>
        <w:rPr>
          <w:rFonts w:ascii="Times New Roman" w:hAnsi="Times New Roman"/>
          <w:sz w:val="26"/>
          <w:szCs w:val="26"/>
        </w:rPr>
        <w:t xml:space="preserve">приказ Департамента финансов Нефтеюганского района от </w:t>
      </w:r>
      <w:r>
        <w:rPr>
          <w:rFonts w:ascii="Times New Roman" w:hAnsi="Times New Roman"/>
          <w:sz w:val="26"/>
          <w:szCs w:val="26"/>
        </w:rPr>
        <w:t xml:space="preserve">22.11.2023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 xml:space="preserve">96</w:t>
      </w:r>
      <w:r>
        <w:rPr>
          <w:rFonts w:ascii="Times New Roman" w:hAnsi="Times New Roman"/>
          <w:sz w:val="26"/>
          <w:szCs w:val="26"/>
        </w:rPr>
        <w:t xml:space="preserve">-п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утверждении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Порядк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открытия и ведения лицевых счетов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Департаментом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финансов Нефтеюганского района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ind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"consultantplus://offline/ref=D2BD35F569E9150603CA431AEC4D5C7BD26F370A613F8B8825D886B3F0E59187803105A7EA4AC7DE96AF458DEEC7EFBE7B7EE158CE55hDQEG" \h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статьей 220.1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"consultantplus://offline/ref=D2BD35F569E9150603CA431AEC4D5C7BD26833016D348B8825D886B3F0E59187803105A0EA49C3D3C5F55589A793EAA17260FE5AD055DD82h6QAG" \h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частями 3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"consultantplus://offline/ref=D2BD35F569E9150603CA431AEC4D5C7BD26833016D348B8825D886B3F0E59187803105A0EA49C1D6CBF55589A793EAA17260FE5AD055DD82h6QAG" \h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8 статьи 30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Федерального закона от 8 мая 2010 года </w:t>
      </w:r>
      <w:r>
        <w:rPr>
          <w:rFonts w:ascii="Times New Roman" w:hAnsi="Times New Roman"/>
          <w:sz w:val="26"/>
          <w:szCs w:val="26"/>
        </w:rPr>
        <w:t xml:space="preserve">№ 83-ФЗ «</w:t>
      </w:r>
      <w:r>
        <w:rPr>
          <w:rFonts w:ascii="Times New Roman" w:hAnsi="Times New Roman"/>
          <w:sz w:val="26"/>
          <w:szCs w:val="26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>
        <w:rPr>
          <w:rFonts w:ascii="Times New Roman" w:hAnsi="Times New Roman"/>
          <w:sz w:val="26"/>
          <w:szCs w:val="26"/>
        </w:rPr>
        <w:t xml:space="preserve">нных (муниципальных) учреждений»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"consultantplus://offline/ref=D2BD35F569E9150603CA431AEC4D5C7BD26932006C3C8B8825D886B3F0E59187803105A4E11C939197F300D0FDC7E7BE787EFDh5Q9G" \h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частями 3.3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"consultantplus://offline/ref=D2BD35F569E9150603CA431AEC4D5C7BD26932006C3C8B8825D886B3F0E59187803105A0EA48C0D7CBF55589A793EAA17260FE5AD055DD82h6QAG" \h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3.8 статьи 2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Федерального закона от 3 ноября 2006 года </w:t>
      </w:r>
      <w:r>
        <w:rPr>
          <w:rFonts w:ascii="Times New Roman" w:hAnsi="Times New Roman"/>
          <w:sz w:val="26"/>
          <w:szCs w:val="26"/>
        </w:rPr>
        <w:t xml:space="preserve">№ 174-ФЗ «</w:t>
      </w:r>
      <w:r>
        <w:rPr>
          <w:rFonts w:ascii="Times New Roman" w:hAnsi="Times New Roman"/>
          <w:sz w:val="26"/>
          <w:szCs w:val="26"/>
        </w:rPr>
        <w:t xml:space="preserve">Об автономных учреждениях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п р и к а з ы в а ю: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numPr>
          <w:ilvl w:val="0"/>
          <w:numId w:val="16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/>
          <w:sz w:val="26"/>
          <w:szCs w:val="26"/>
        </w:rPr>
        <w:t xml:space="preserve">п</w:t>
      </w:r>
      <w:r>
        <w:rPr>
          <w:rFonts w:ascii="Times New Roman" w:hAnsi="Times New Roman"/>
          <w:sz w:val="26"/>
          <w:szCs w:val="26"/>
        </w:rPr>
        <w:t xml:space="preserve">риложение к </w:t>
      </w:r>
      <w:r>
        <w:rPr>
          <w:rFonts w:ascii="Times New Roman" w:hAnsi="Times New Roman"/>
          <w:sz w:val="26"/>
          <w:szCs w:val="26"/>
        </w:rPr>
        <w:t xml:space="preserve">приказ</w:t>
      </w:r>
      <w:r>
        <w:rPr>
          <w:rFonts w:ascii="Times New Roman" w:hAnsi="Times New Roman"/>
          <w:sz w:val="26"/>
          <w:szCs w:val="26"/>
        </w:rPr>
        <w:t xml:space="preserve">у </w:t>
      </w:r>
      <w:r>
        <w:rPr>
          <w:rFonts w:ascii="Times New Roman" w:hAnsi="Times New Roman"/>
          <w:sz w:val="26"/>
          <w:szCs w:val="26"/>
        </w:rPr>
        <w:t xml:space="preserve">Департамента финансов Нефтеюганского района от </w:t>
      </w:r>
      <w:r>
        <w:rPr>
          <w:rFonts w:ascii="Times New Roman" w:hAnsi="Times New Roman"/>
          <w:sz w:val="26"/>
          <w:szCs w:val="26"/>
        </w:rPr>
        <w:t xml:space="preserve">22.11.2023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 xml:space="preserve">96</w:t>
      </w:r>
      <w:r>
        <w:rPr>
          <w:rFonts w:ascii="Times New Roman" w:hAnsi="Times New Roman"/>
          <w:sz w:val="26"/>
          <w:szCs w:val="26"/>
        </w:rPr>
        <w:t xml:space="preserve">-п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утверждении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Порядк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открытия и ведения лицевых счетов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Департаментом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финансов Нефтеюганского района»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изложив его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новой редакции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согласно приложению, к настоящему приказу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numPr>
          <w:ilvl w:val="0"/>
          <w:numId w:val="16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Специалисту-эксперту отдела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организационной работы и информатизации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Ротарь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Н. В. ознакомить с настоящим приказом: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заместителей директора департамента, начальника управления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начальников отделов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работников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правления отчетности и исполнения бюджета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направить в администрации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поселений,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входящих в состав Нефтеюганского района, главным распорядителям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главным администраторам источников финансирования дефицита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numPr>
          <w:ilvl w:val="0"/>
          <w:numId w:val="16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Настоящий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приказ подлежит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размещению на официальном сайте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органов местного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самоуправления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numPr>
          <w:ilvl w:val="0"/>
          <w:numId w:val="16"/>
        </w:numPr>
        <w:ind w:left="0" w:firstLine="539"/>
        <w:jc w:val="both"/>
        <w:spacing w:after="0" w:line="240" w:lineRule="auto"/>
        <w:tabs>
          <w:tab w:val="left" w:pos="567" w:leader="none"/>
          <w:tab w:val="left" w:pos="709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Контроль за исполнением настоящего приказа возложить на начальника управления отчетности и исполнения бюджета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Шабурникову Л.В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Директор департамента финансов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Нефтеюганского района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ab/>
        <w:tab/>
        <w:tab/>
        <w:tab/>
        <w:tab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О.А. Кофанова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sectPr>
      <w:headerReference w:type="default" r:id="rId9"/>
      <w:headerReference w:type="first" r:id="rId10"/>
      <w:footerReference w:type="even" r:id="rId11"/>
      <w:footnotePr/>
      <w:endnotePr/>
      <w:type w:val="nextPage"/>
      <w:pgSz w:w="11905" w:h="16838" w:orient="portrait"/>
      <w:pgMar w:top="851" w:right="1415" w:bottom="1134" w:left="1559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rPr>
        <w:rStyle w:val="935"/>
      </w:rPr>
      <w:framePr w:wrap="around" w:vAnchor="text" w:hAnchor="margin" w:xAlign="right" w:y="1"/>
    </w:pPr>
    <w:r>
      <w:rPr>
        <w:rStyle w:val="935"/>
      </w:rPr>
      <w:fldChar w:fldCharType="begin"/>
    </w:r>
    <w:r>
      <w:rPr>
        <w:rStyle w:val="935"/>
      </w:rPr>
      <w:instrText xml:space="preserve">PAGE  </w:instrText>
    </w:r>
    <w:r>
      <w:rPr>
        <w:rStyle w:val="935"/>
      </w:rPr>
      <w:fldChar w:fldCharType="end"/>
    </w:r>
    <w:r>
      <w:rPr>
        <w:rStyle w:val="935"/>
      </w:rPr>
    </w:r>
    <w:r>
      <w:rPr>
        <w:rStyle w:val="935"/>
      </w:rPr>
    </w:r>
  </w:p>
  <w:p>
    <w:pPr>
      <w:pStyle w:val="933"/>
      <w:ind w:right="360"/>
    </w:pPr>
    <w:r/>
    <w:r/>
  </w:p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41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en-US"/>
      </w:rPr>
    </w:r>
    <w:r>
      <w:rPr>
        <w:rFonts w:ascii="Times New Roman" w:hAnsi="Times New Roman"/>
        <w:lang w:val="en-US"/>
      </w:rPr>
    </w:r>
  </w:p>
  <w:p>
    <w:pPr>
      <w:pStyle w:val="9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8" w:hanging="1110"/>
      </w:pPr>
      <w:rPr>
        <w:sz w:val="25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9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49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88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eastAsia="Calibri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19" w:hanging="180"/>
      </w:p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3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6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1"/>
  </w:num>
  <w:num w:numId="10">
    <w:abstractNumId w:val="14"/>
  </w:num>
  <w:num w:numId="11">
    <w:abstractNumId w:val="3"/>
  </w:num>
  <w:num w:numId="12">
    <w:abstractNumId w:val="7"/>
  </w:num>
  <w:num w:numId="13">
    <w:abstractNumId w:val="10"/>
  </w:num>
  <w:num w:numId="14">
    <w:abstractNumId w:val="0"/>
  </w:num>
  <w:num w:numId="15">
    <w:abstractNumId w:val="9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5">
    <w:name w:val="Heading 1"/>
    <w:basedOn w:val="923"/>
    <w:next w:val="923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6">
    <w:name w:val="Heading 1 Char"/>
    <w:link w:val="745"/>
    <w:uiPriority w:val="9"/>
    <w:rPr>
      <w:rFonts w:ascii="Arial" w:hAnsi="Arial" w:eastAsia="Arial" w:cs="Arial"/>
      <w:sz w:val="40"/>
      <w:szCs w:val="40"/>
    </w:rPr>
  </w:style>
  <w:style w:type="paragraph" w:styleId="747">
    <w:name w:val="Heading 2"/>
    <w:basedOn w:val="923"/>
    <w:next w:val="923"/>
    <w:link w:val="7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8">
    <w:name w:val="Heading 2 Char"/>
    <w:link w:val="747"/>
    <w:uiPriority w:val="9"/>
    <w:rPr>
      <w:rFonts w:ascii="Arial" w:hAnsi="Arial" w:eastAsia="Arial" w:cs="Arial"/>
      <w:sz w:val="34"/>
    </w:rPr>
  </w:style>
  <w:style w:type="paragraph" w:styleId="749">
    <w:name w:val="Heading 3"/>
    <w:basedOn w:val="923"/>
    <w:next w:val="923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0">
    <w:name w:val="Heading 3 Char"/>
    <w:link w:val="749"/>
    <w:uiPriority w:val="9"/>
    <w:rPr>
      <w:rFonts w:ascii="Arial" w:hAnsi="Arial" w:eastAsia="Arial" w:cs="Arial"/>
      <w:sz w:val="30"/>
      <w:szCs w:val="30"/>
    </w:rPr>
  </w:style>
  <w:style w:type="paragraph" w:styleId="751">
    <w:name w:val="Heading 4"/>
    <w:basedOn w:val="923"/>
    <w:next w:val="923"/>
    <w:link w:val="7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2">
    <w:name w:val="Heading 4 Char"/>
    <w:link w:val="751"/>
    <w:uiPriority w:val="9"/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923"/>
    <w:next w:val="923"/>
    <w:link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4">
    <w:name w:val="Heading 5 Char"/>
    <w:link w:val="753"/>
    <w:uiPriority w:val="9"/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923"/>
    <w:next w:val="923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6">
    <w:name w:val="Heading 6 Char"/>
    <w:link w:val="755"/>
    <w:uiPriority w:val="9"/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923"/>
    <w:next w:val="923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7 Char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923"/>
    <w:next w:val="923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0">
    <w:name w:val="Heading 8 Char"/>
    <w:link w:val="759"/>
    <w:uiPriority w:val="9"/>
    <w:rPr>
      <w:rFonts w:ascii="Arial" w:hAnsi="Arial" w:eastAsia="Arial" w:cs="Arial"/>
      <w:i/>
      <w:iCs/>
      <w:sz w:val="22"/>
      <w:szCs w:val="22"/>
    </w:rPr>
  </w:style>
  <w:style w:type="paragraph" w:styleId="761">
    <w:name w:val="Heading 9"/>
    <w:basedOn w:val="923"/>
    <w:next w:val="923"/>
    <w:link w:val="7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2">
    <w:name w:val="Heading 9 Char"/>
    <w:link w:val="761"/>
    <w:uiPriority w:val="9"/>
    <w:rPr>
      <w:rFonts w:ascii="Arial" w:hAnsi="Arial" w:eastAsia="Arial" w:cs="Arial"/>
      <w:i/>
      <w:iCs/>
      <w:sz w:val="21"/>
      <w:szCs w:val="21"/>
    </w:rPr>
  </w:style>
  <w:style w:type="paragraph" w:styleId="763">
    <w:name w:val="List Paragraph"/>
    <w:basedOn w:val="923"/>
    <w:uiPriority w:val="34"/>
    <w:qFormat/>
    <w:pPr>
      <w:contextualSpacing/>
      <w:ind w:left="720"/>
    </w:pPr>
  </w:style>
  <w:style w:type="paragraph" w:styleId="764">
    <w:name w:val="No Spacing"/>
    <w:uiPriority w:val="1"/>
    <w:qFormat/>
    <w:pPr>
      <w:spacing w:before="0" w:after="0" w:line="240" w:lineRule="auto"/>
    </w:pPr>
  </w:style>
  <w:style w:type="paragraph" w:styleId="765">
    <w:name w:val="Title"/>
    <w:basedOn w:val="923"/>
    <w:next w:val="923"/>
    <w:link w:val="7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6">
    <w:name w:val="Title Char"/>
    <w:link w:val="765"/>
    <w:uiPriority w:val="10"/>
    <w:rPr>
      <w:sz w:val="48"/>
      <w:szCs w:val="48"/>
    </w:rPr>
  </w:style>
  <w:style w:type="paragraph" w:styleId="767">
    <w:name w:val="Subtitle"/>
    <w:basedOn w:val="923"/>
    <w:next w:val="923"/>
    <w:link w:val="768"/>
    <w:uiPriority w:val="11"/>
    <w:qFormat/>
    <w:pPr>
      <w:spacing w:before="200" w:after="200"/>
    </w:pPr>
    <w:rPr>
      <w:sz w:val="24"/>
      <w:szCs w:val="24"/>
    </w:rPr>
  </w:style>
  <w:style w:type="character" w:styleId="768">
    <w:name w:val="Subtitle Char"/>
    <w:link w:val="767"/>
    <w:uiPriority w:val="11"/>
    <w:rPr>
      <w:sz w:val="24"/>
      <w:szCs w:val="24"/>
    </w:rPr>
  </w:style>
  <w:style w:type="paragraph" w:styleId="769">
    <w:name w:val="Quote"/>
    <w:basedOn w:val="923"/>
    <w:next w:val="923"/>
    <w:link w:val="770"/>
    <w:uiPriority w:val="29"/>
    <w:qFormat/>
    <w:pPr>
      <w:ind w:left="720" w:right="720"/>
    </w:pPr>
    <w:rPr>
      <w:i/>
    </w:rPr>
  </w:style>
  <w:style w:type="character" w:styleId="770">
    <w:name w:val="Quote Char"/>
    <w:link w:val="769"/>
    <w:uiPriority w:val="29"/>
    <w:rPr>
      <w:i/>
    </w:rPr>
  </w:style>
  <w:style w:type="paragraph" w:styleId="771">
    <w:name w:val="Intense Quote"/>
    <w:basedOn w:val="923"/>
    <w:next w:val="923"/>
    <w:link w:val="7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>
    <w:name w:val="Intense Quote Char"/>
    <w:link w:val="771"/>
    <w:uiPriority w:val="30"/>
    <w:rPr>
      <w:i/>
    </w:rPr>
  </w:style>
  <w:style w:type="paragraph" w:styleId="773">
    <w:name w:val="Header"/>
    <w:basedOn w:val="923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4">
    <w:name w:val="Header Char"/>
    <w:link w:val="773"/>
    <w:uiPriority w:val="99"/>
  </w:style>
  <w:style w:type="paragraph" w:styleId="775">
    <w:name w:val="Footer"/>
    <w:basedOn w:val="923"/>
    <w:link w:val="7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6">
    <w:name w:val="Footer Char"/>
    <w:link w:val="775"/>
    <w:uiPriority w:val="99"/>
  </w:style>
  <w:style w:type="paragraph" w:styleId="777">
    <w:name w:val="Caption"/>
    <w:basedOn w:val="923"/>
    <w:next w:val="923"/>
    <w:link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8">
    <w:name w:val="Caption Char"/>
    <w:link w:val="777"/>
    <w:uiPriority w:val="35"/>
    <w:rPr>
      <w:b/>
      <w:bCs/>
      <w:color w:val="4f81bd" w:themeColor="accent1"/>
      <w:sz w:val="18"/>
      <w:szCs w:val="18"/>
    </w:rPr>
  </w:style>
  <w:style w:type="table" w:styleId="77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5">
    <w:name w:val="Hyperlink"/>
    <w:uiPriority w:val="99"/>
    <w:unhideWhenUsed/>
    <w:rPr>
      <w:color w:val="0000ff" w:themeColor="hyperlink"/>
      <w:u w:val="single"/>
    </w:rPr>
  </w:style>
  <w:style w:type="paragraph" w:styleId="906">
    <w:name w:val="footnote text"/>
    <w:basedOn w:val="923"/>
    <w:link w:val="907"/>
    <w:uiPriority w:val="99"/>
    <w:semiHidden/>
    <w:unhideWhenUsed/>
    <w:pPr>
      <w:spacing w:after="40" w:line="240" w:lineRule="auto"/>
    </w:pPr>
    <w:rPr>
      <w:sz w:val="18"/>
    </w:rPr>
  </w:style>
  <w:style w:type="character" w:styleId="907">
    <w:name w:val="Footnote Text Char"/>
    <w:link w:val="906"/>
    <w:uiPriority w:val="99"/>
    <w:rPr>
      <w:sz w:val="18"/>
    </w:rPr>
  </w:style>
  <w:style w:type="character" w:styleId="908">
    <w:name w:val="footnote reference"/>
    <w:uiPriority w:val="99"/>
    <w:unhideWhenUsed/>
    <w:rPr>
      <w:vertAlign w:val="superscript"/>
    </w:rPr>
  </w:style>
  <w:style w:type="paragraph" w:styleId="909">
    <w:name w:val="endnote text"/>
    <w:basedOn w:val="923"/>
    <w:link w:val="910"/>
    <w:uiPriority w:val="99"/>
    <w:semiHidden/>
    <w:unhideWhenUsed/>
    <w:pPr>
      <w:spacing w:after="0" w:line="240" w:lineRule="auto"/>
    </w:pPr>
    <w:rPr>
      <w:sz w:val="20"/>
    </w:rPr>
  </w:style>
  <w:style w:type="character" w:styleId="910">
    <w:name w:val="Endnote Text Char"/>
    <w:link w:val="909"/>
    <w:uiPriority w:val="99"/>
    <w:rPr>
      <w:sz w:val="20"/>
    </w:rPr>
  </w:style>
  <w:style w:type="character" w:styleId="911">
    <w:name w:val="endnote reference"/>
    <w:uiPriority w:val="99"/>
    <w:semiHidden/>
    <w:unhideWhenUsed/>
    <w:rPr>
      <w:vertAlign w:val="superscript"/>
    </w:rPr>
  </w:style>
  <w:style w:type="paragraph" w:styleId="912">
    <w:name w:val="toc 1"/>
    <w:basedOn w:val="923"/>
    <w:next w:val="923"/>
    <w:uiPriority w:val="39"/>
    <w:unhideWhenUsed/>
    <w:pPr>
      <w:ind w:left="0" w:right="0" w:firstLine="0"/>
      <w:spacing w:after="57"/>
    </w:pPr>
  </w:style>
  <w:style w:type="paragraph" w:styleId="913">
    <w:name w:val="toc 2"/>
    <w:basedOn w:val="923"/>
    <w:next w:val="923"/>
    <w:uiPriority w:val="39"/>
    <w:unhideWhenUsed/>
    <w:pPr>
      <w:ind w:left="283" w:right="0" w:firstLine="0"/>
      <w:spacing w:after="57"/>
    </w:pPr>
  </w:style>
  <w:style w:type="paragraph" w:styleId="914">
    <w:name w:val="toc 3"/>
    <w:basedOn w:val="923"/>
    <w:next w:val="923"/>
    <w:uiPriority w:val="39"/>
    <w:unhideWhenUsed/>
    <w:pPr>
      <w:ind w:left="567" w:right="0" w:firstLine="0"/>
      <w:spacing w:after="57"/>
    </w:pPr>
  </w:style>
  <w:style w:type="paragraph" w:styleId="915">
    <w:name w:val="toc 4"/>
    <w:basedOn w:val="923"/>
    <w:next w:val="923"/>
    <w:uiPriority w:val="39"/>
    <w:unhideWhenUsed/>
    <w:pPr>
      <w:ind w:left="850" w:right="0" w:firstLine="0"/>
      <w:spacing w:after="57"/>
    </w:pPr>
  </w:style>
  <w:style w:type="paragraph" w:styleId="916">
    <w:name w:val="toc 5"/>
    <w:basedOn w:val="923"/>
    <w:next w:val="923"/>
    <w:uiPriority w:val="39"/>
    <w:unhideWhenUsed/>
    <w:pPr>
      <w:ind w:left="1134" w:right="0" w:firstLine="0"/>
      <w:spacing w:after="57"/>
    </w:pPr>
  </w:style>
  <w:style w:type="paragraph" w:styleId="917">
    <w:name w:val="toc 6"/>
    <w:basedOn w:val="923"/>
    <w:next w:val="923"/>
    <w:uiPriority w:val="39"/>
    <w:unhideWhenUsed/>
    <w:pPr>
      <w:ind w:left="1417" w:right="0" w:firstLine="0"/>
      <w:spacing w:after="57"/>
    </w:pPr>
  </w:style>
  <w:style w:type="paragraph" w:styleId="918">
    <w:name w:val="toc 7"/>
    <w:basedOn w:val="923"/>
    <w:next w:val="923"/>
    <w:uiPriority w:val="39"/>
    <w:unhideWhenUsed/>
    <w:pPr>
      <w:ind w:left="1701" w:right="0" w:firstLine="0"/>
      <w:spacing w:after="57"/>
    </w:pPr>
  </w:style>
  <w:style w:type="paragraph" w:styleId="919">
    <w:name w:val="toc 8"/>
    <w:basedOn w:val="923"/>
    <w:next w:val="923"/>
    <w:uiPriority w:val="39"/>
    <w:unhideWhenUsed/>
    <w:pPr>
      <w:ind w:left="1984" w:right="0" w:firstLine="0"/>
      <w:spacing w:after="57"/>
    </w:pPr>
  </w:style>
  <w:style w:type="paragraph" w:styleId="920">
    <w:name w:val="toc 9"/>
    <w:basedOn w:val="923"/>
    <w:next w:val="923"/>
    <w:uiPriority w:val="39"/>
    <w:unhideWhenUsed/>
    <w:pPr>
      <w:ind w:left="2268" w:right="0" w:firstLine="0"/>
      <w:spacing w:after="57"/>
    </w:pPr>
  </w:style>
  <w:style w:type="paragraph" w:styleId="921">
    <w:name w:val="TOC Heading"/>
    <w:uiPriority w:val="39"/>
    <w:unhideWhenUsed/>
  </w:style>
  <w:style w:type="paragraph" w:styleId="922">
    <w:name w:val="table of figures"/>
    <w:basedOn w:val="923"/>
    <w:next w:val="923"/>
    <w:uiPriority w:val="99"/>
    <w:unhideWhenUsed/>
    <w:pPr>
      <w:spacing w:after="0" w:afterAutospacing="0"/>
    </w:pPr>
  </w:style>
  <w:style w:type="paragraph" w:styleId="923" w:default="1">
    <w:name w:val="Normal"/>
    <w:next w:val="923"/>
    <w:link w:val="923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24">
    <w:name w:val="Заголовок 1"/>
    <w:basedOn w:val="923"/>
    <w:next w:val="923"/>
    <w:link w:val="929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sz w:val="28"/>
      <w:szCs w:val="20"/>
      <w:lang w:val="en-US" w:eastAsia="ru-RU"/>
    </w:rPr>
  </w:style>
  <w:style w:type="paragraph" w:styleId="925">
    <w:name w:val="Заголовок 6"/>
    <w:basedOn w:val="923"/>
    <w:next w:val="923"/>
    <w:link w:val="953"/>
    <w:uiPriority w:val="9"/>
    <w:semiHidden/>
    <w:unhideWhenUsed/>
    <w:qFormat/>
    <w:pPr>
      <w:spacing w:before="240" w:after="60"/>
      <w:outlineLvl w:val="5"/>
    </w:pPr>
    <w:rPr>
      <w:rFonts w:ascii="Calibri" w:hAnsi="Calibri" w:eastAsia="Times New Roman" w:cs="Times New Roman"/>
      <w:b/>
      <w:bCs/>
    </w:rPr>
  </w:style>
  <w:style w:type="character" w:styleId="926">
    <w:name w:val="Основной шрифт абзаца"/>
    <w:next w:val="926"/>
    <w:link w:val="923"/>
    <w:uiPriority w:val="1"/>
    <w:unhideWhenUsed/>
  </w:style>
  <w:style w:type="table" w:styleId="927">
    <w:name w:val="Обычная таблица"/>
    <w:next w:val="927"/>
    <w:link w:val="923"/>
    <w:uiPriority w:val="99"/>
    <w:semiHidden/>
    <w:unhideWhenUsed/>
    <w:qFormat/>
    <w:tblPr/>
  </w:style>
  <w:style w:type="numbering" w:styleId="928">
    <w:name w:val="Нет списка"/>
    <w:next w:val="928"/>
    <w:link w:val="923"/>
    <w:uiPriority w:val="99"/>
    <w:semiHidden/>
    <w:unhideWhenUsed/>
  </w:style>
  <w:style w:type="character" w:styleId="929">
    <w:name w:val="Заголовок 1 Знак"/>
    <w:next w:val="929"/>
    <w:link w:val="924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30">
    <w:name w:val="ConsPlusTitle"/>
    <w:next w:val="930"/>
    <w:link w:val="923"/>
    <w:uiPriority w:val="99"/>
    <w:rPr>
      <w:rFonts w:ascii="Times New Roman" w:hAnsi="Times New Roman" w:eastAsia="Times New Roman"/>
      <w:b/>
      <w:bCs/>
      <w:sz w:val="28"/>
      <w:szCs w:val="28"/>
      <w:lang w:val="ru-RU" w:eastAsia="ru-RU" w:bidi="ar-SA"/>
    </w:rPr>
  </w:style>
  <w:style w:type="paragraph" w:styleId="931">
    <w:name w:val="Название"/>
    <w:basedOn w:val="923"/>
    <w:next w:val="931"/>
    <w:link w:val="932"/>
    <w:qFormat/>
    <w:pPr>
      <w:jc w:val="center"/>
      <w:spacing w:after="0" w:line="240" w:lineRule="auto"/>
    </w:pPr>
    <w:rPr>
      <w:rFonts w:ascii="Times New Roman" w:hAnsi="Times New Roman" w:eastAsia="Times New Roman"/>
      <w:b/>
      <w:i/>
      <w:sz w:val="24"/>
      <w:szCs w:val="20"/>
      <w:lang w:val="en-US" w:eastAsia="ru-RU"/>
    </w:rPr>
  </w:style>
  <w:style w:type="character" w:styleId="932">
    <w:name w:val="Название Знак"/>
    <w:next w:val="932"/>
    <w:link w:val="931"/>
    <w:rPr>
      <w:rFonts w:ascii="Times New Roman" w:hAnsi="Times New Roman" w:eastAsia="Times New Roman" w:cs="Times New Roman"/>
      <w:b/>
      <w:i/>
      <w:sz w:val="24"/>
      <w:szCs w:val="20"/>
      <w:lang w:eastAsia="ru-RU"/>
    </w:rPr>
  </w:style>
  <w:style w:type="paragraph" w:styleId="933">
    <w:name w:val="Нижний колонтитул"/>
    <w:basedOn w:val="923"/>
    <w:next w:val="933"/>
    <w:link w:val="934"/>
    <w:pPr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934">
    <w:name w:val="Нижний колонтитул Знак"/>
    <w:next w:val="934"/>
    <w:link w:val="933"/>
    <w:rPr>
      <w:rFonts w:ascii="Calibri" w:hAnsi="Calibri" w:eastAsia="Calibri" w:cs="Times New Roman"/>
    </w:rPr>
  </w:style>
  <w:style w:type="character" w:styleId="935">
    <w:name w:val="Номер страницы"/>
    <w:basedOn w:val="926"/>
    <w:next w:val="935"/>
    <w:link w:val="923"/>
  </w:style>
  <w:style w:type="paragraph" w:styleId="936">
    <w:name w:val="Текст выноски"/>
    <w:basedOn w:val="923"/>
    <w:next w:val="936"/>
    <w:link w:val="937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937">
    <w:name w:val="Текст выноски Знак"/>
    <w:next w:val="937"/>
    <w:link w:val="936"/>
    <w:uiPriority w:val="99"/>
    <w:semiHidden/>
    <w:rPr>
      <w:rFonts w:ascii="Tahoma" w:hAnsi="Tahoma" w:eastAsia="Calibri" w:cs="Tahoma"/>
      <w:sz w:val="16"/>
      <w:szCs w:val="16"/>
    </w:rPr>
  </w:style>
  <w:style w:type="paragraph" w:styleId="938">
    <w:name w:val="ConsPlusNormal"/>
    <w:next w:val="938"/>
    <w:link w:val="923"/>
    <w:rPr>
      <w:rFonts w:ascii="Arial" w:hAnsi="Arial" w:cs="Arial"/>
      <w:lang w:val="ru-RU" w:eastAsia="en-US" w:bidi="ar-SA"/>
    </w:rPr>
  </w:style>
  <w:style w:type="paragraph" w:styleId="939">
    <w:name w:val="ConsPlusNonformat"/>
    <w:next w:val="939"/>
    <w:link w:val="923"/>
    <w:uiPriority w:val="99"/>
    <w:rPr>
      <w:rFonts w:ascii="Courier New" w:hAnsi="Courier New" w:cs="Courier New"/>
      <w:lang w:val="ru-RU" w:eastAsia="ru-RU" w:bidi="ar-SA"/>
    </w:rPr>
  </w:style>
  <w:style w:type="table" w:styleId="940">
    <w:name w:val="Сетка таблицы"/>
    <w:basedOn w:val="927"/>
    <w:next w:val="940"/>
    <w:link w:val="923"/>
    <w:uiPriority w:val="59"/>
    <w:tblPr/>
  </w:style>
  <w:style w:type="paragraph" w:styleId="941">
    <w:name w:val="Верхний колонтитул"/>
    <w:basedOn w:val="923"/>
    <w:next w:val="941"/>
    <w:link w:val="942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2">
    <w:name w:val="Верхний колонтитул Знак"/>
    <w:next w:val="942"/>
    <w:link w:val="941"/>
    <w:uiPriority w:val="99"/>
    <w:rPr>
      <w:sz w:val="22"/>
      <w:szCs w:val="22"/>
      <w:lang w:eastAsia="en-US"/>
    </w:rPr>
  </w:style>
  <w:style w:type="character" w:styleId="943">
    <w:name w:val="Знак примечания"/>
    <w:next w:val="943"/>
    <w:link w:val="923"/>
    <w:uiPriority w:val="99"/>
    <w:semiHidden/>
    <w:unhideWhenUsed/>
    <w:rPr>
      <w:sz w:val="16"/>
      <w:szCs w:val="16"/>
    </w:rPr>
  </w:style>
  <w:style w:type="paragraph" w:styleId="944">
    <w:name w:val="Текст примечания"/>
    <w:basedOn w:val="923"/>
    <w:next w:val="944"/>
    <w:link w:val="945"/>
    <w:uiPriority w:val="99"/>
    <w:pPr>
      <w:spacing w:line="240" w:lineRule="auto"/>
    </w:pPr>
    <w:rPr>
      <w:sz w:val="20"/>
      <w:szCs w:val="20"/>
      <w:lang w:eastAsia="ru-RU"/>
    </w:rPr>
  </w:style>
  <w:style w:type="character" w:styleId="945">
    <w:name w:val="Текст примечания Знак"/>
    <w:basedOn w:val="926"/>
    <w:next w:val="945"/>
    <w:link w:val="944"/>
    <w:uiPriority w:val="99"/>
  </w:style>
  <w:style w:type="character" w:styleId="946">
    <w:name w:val="blk"/>
    <w:next w:val="946"/>
    <w:link w:val="923"/>
    <w:uiPriority w:val="99"/>
    <w:rPr>
      <w:rFonts w:cs="Times New Roman"/>
    </w:rPr>
  </w:style>
  <w:style w:type="paragraph" w:styleId="947">
    <w:name w:val="Основной текст с отступом"/>
    <w:basedOn w:val="923"/>
    <w:next w:val="947"/>
    <w:link w:val="948"/>
    <w:pPr>
      <w:ind w:right="-1333" w:firstLine="720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948">
    <w:name w:val="Основной текст с отступом Знак"/>
    <w:next w:val="948"/>
    <w:link w:val="947"/>
    <w:rPr>
      <w:rFonts w:ascii="Times New Roman" w:hAnsi="Times New Roman" w:eastAsia="Times New Roman"/>
      <w:sz w:val="24"/>
      <w:szCs w:val="24"/>
    </w:rPr>
  </w:style>
  <w:style w:type="paragraph" w:styleId="949">
    <w:name w:val="Текст сноски"/>
    <w:basedOn w:val="923"/>
    <w:next w:val="949"/>
    <w:link w:val="950"/>
    <w:uiPriority w:val="99"/>
    <w:semiHidden/>
    <w:unhideWhenUsed/>
    <w:rPr>
      <w:sz w:val="20"/>
      <w:szCs w:val="20"/>
      <w:lang w:val="en-US"/>
    </w:rPr>
  </w:style>
  <w:style w:type="character" w:styleId="950">
    <w:name w:val="Текст сноски Знак"/>
    <w:next w:val="950"/>
    <w:link w:val="949"/>
    <w:uiPriority w:val="99"/>
    <w:semiHidden/>
    <w:rPr>
      <w:lang w:eastAsia="en-US"/>
    </w:rPr>
  </w:style>
  <w:style w:type="character" w:styleId="951">
    <w:name w:val="Знак сноски"/>
    <w:next w:val="951"/>
    <w:link w:val="923"/>
    <w:uiPriority w:val="99"/>
    <w:semiHidden/>
    <w:unhideWhenUsed/>
    <w:rPr>
      <w:vertAlign w:val="superscript"/>
    </w:rPr>
  </w:style>
  <w:style w:type="character" w:styleId="952">
    <w:name w:val="Гиперссылка"/>
    <w:next w:val="952"/>
    <w:link w:val="923"/>
    <w:uiPriority w:val="99"/>
    <w:semiHidden/>
    <w:unhideWhenUsed/>
    <w:rPr>
      <w:color w:val="0000ff"/>
      <w:u w:val="single"/>
    </w:rPr>
  </w:style>
  <w:style w:type="character" w:styleId="953">
    <w:name w:val="Заголовок 6 Знак"/>
    <w:next w:val="953"/>
    <w:link w:val="925"/>
    <w:uiPriority w:val="9"/>
    <w:semiHidden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paragraph" w:styleId="954">
    <w:name w:val="Знак Знак Знак Знак Знак Знак Знак Знак Знак Знак Знак Знак Знак"/>
    <w:basedOn w:val="923"/>
    <w:next w:val="954"/>
    <w:link w:val="923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955" w:default="1">
    <w:name w:val="Default Paragraph Font"/>
    <w:uiPriority w:val="1"/>
    <w:semiHidden/>
    <w:unhideWhenUsed/>
  </w:style>
  <w:style w:type="numbering" w:styleId="956" w:default="1">
    <w:name w:val="No List"/>
    <w:uiPriority w:val="99"/>
    <w:semiHidden/>
    <w:unhideWhenUsed/>
  </w:style>
  <w:style w:type="table" w:styleId="9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SpiridonovaOA</dc:creator>
  <cp:lastModifiedBy>HadievaOS</cp:lastModifiedBy>
  <cp:revision>6</cp:revision>
  <dcterms:created xsi:type="dcterms:W3CDTF">2023-10-19T05:20:00Z</dcterms:created>
  <dcterms:modified xsi:type="dcterms:W3CDTF">2025-04-17T11:47:08Z</dcterms:modified>
  <cp:version>1048576</cp:version>
</cp:coreProperties>
</file>