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5"/>
        <w:jc w:val="center"/>
        <w:keepNext/>
        <w:spacing w:after="0" w:line="240" w:lineRule="auto"/>
        <w:tabs>
          <w:tab w:val="left" w:pos="9639" w:leader="none"/>
        </w:tabs>
        <w:rPr>
          <w:rFonts w:ascii="Arial" w:hAnsi="Arial" w:eastAsia="Times New Roman"/>
          <w:b/>
          <w:sz w:val="16"/>
          <w:szCs w:val="20"/>
          <w:lang w:eastAsia="ru-RU"/>
        </w:rPr>
        <w:outlineLvl w:val="5"/>
      </w:pPr>
      <w:r>
        <w:rPr>
          <w:rFonts w:ascii="Arial" w:hAnsi="Arial" w:eastAsia="Times New Roman"/>
          <w:b/>
          <w:sz w:val="16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5567" cy="718698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5567" cy="7186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90pt;height:56.59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Arial" w:hAnsi="Arial" w:eastAsia="Times New Roman"/>
          <w:b/>
          <w:sz w:val="16"/>
          <w:szCs w:val="20"/>
          <w:lang w:eastAsia="ru-RU"/>
        </w:rPr>
      </w:r>
      <w:r>
        <w:rPr>
          <w:rFonts w:ascii="Arial" w:hAnsi="Arial" w:eastAsia="Times New Roman"/>
          <w:b/>
          <w:sz w:val="16"/>
          <w:szCs w:val="20"/>
          <w:lang w:eastAsia="ru-RU"/>
        </w:rPr>
      </w:r>
    </w:p>
    <w:p>
      <w:pPr>
        <w:pStyle w:val="925"/>
        <w:ind w:right="-1"/>
        <w:spacing w:after="0" w:line="240" w:lineRule="auto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  <w:r>
        <w:rPr>
          <w:rFonts w:ascii="Times New Roman" w:hAnsi="Times New Roman" w:eastAsia="Times New Roman"/>
          <w:b/>
          <w:sz w:val="20"/>
          <w:szCs w:val="20"/>
          <w:lang w:eastAsia="ru-RU"/>
        </w:rPr>
      </w:r>
    </w:p>
    <w:p>
      <w:pPr>
        <w:pStyle w:val="925"/>
        <w:ind w:right="-1"/>
        <w:jc w:val="center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Администрация Нефтеюганского района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b/>
          <w:sz w:val="20"/>
          <w:szCs w:val="24"/>
          <w:lang w:eastAsia="ru-RU"/>
        </w:rPr>
      </w:pP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  <w:r>
        <w:rPr>
          <w:rFonts w:ascii="Times New Roman" w:hAnsi="Times New Roman" w:eastAsia="Times New Roman"/>
          <w:b/>
          <w:sz w:val="20"/>
          <w:szCs w:val="24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pPr>
      <w:r>
        <w:rPr>
          <w:rFonts w:ascii="Times New Roman" w:hAnsi="Times New Roman" w:eastAsia="Times New Roman"/>
          <w:b/>
          <w:caps/>
          <w:sz w:val="36"/>
          <w:szCs w:val="36"/>
          <w:lang w:eastAsia="ru-RU"/>
        </w:rPr>
        <w:t xml:space="preserve">департамент  финансов</w:t>
      </w:r>
      <w:r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r>
      <w:r>
        <w:rPr>
          <w:rFonts w:ascii="Times New Roman" w:hAnsi="Times New Roman" w:eastAsia="Times New Roman"/>
          <w:b/>
          <w:caps/>
          <w:sz w:val="42"/>
          <w:szCs w:val="42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  <w:t xml:space="preserve">приказ</w:t>
      </w: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r>
      <w:r>
        <w:rPr>
          <w:rFonts w:ascii="Times New Roman" w:hAnsi="Times New Roman" w:eastAsia="Times New Roman"/>
          <w:b/>
          <w:caps/>
          <w:sz w:val="32"/>
          <w:szCs w:val="32"/>
          <w:lang w:eastAsia="ru-RU"/>
        </w:rPr>
      </w:r>
    </w:p>
    <w:p>
      <w:pPr>
        <w:pStyle w:val="925"/>
        <w:spacing w:after="0" w:line="240" w:lineRule="auto"/>
        <w:rPr>
          <w:rFonts w:ascii="Times New Roman" w:hAnsi="Times New Roman" w:eastAsia="Times New Roman"/>
          <w:sz w:val="20"/>
          <w:szCs w:val="24"/>
          <w:lang w:eastAsia="ru-RU"/>
        </w:rPr>
      </w:pP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  <w:r>
        <w:rPr>
          <w:rFonts w:ascii="Times New Roman" w:hAnsi="Times New Roman" w:eastAsia="Times New Roman"/>
          <w:sz w:val="20"/>
          <w:szCs w:val="24"/>
          <w:lang w:eastAsia="ru-RU"/>
        </w:rPr>
      </w:r>
    </w:p>
    <w:tbl>
      <w:tblPr>
        <w:tblW w:w="9714" w:type="dxa"/>
        <w:tblInd w:w="7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3119"/>
        <w:gridCol w:w="6595"/>
      </w:tblGrid>
      <w:tr>
        <w:tblPrEx/>
        <w:trPr>
          <w:cantSplit/>
          <w:trHeight w:val="232"/>
        </w:trPr>
        <w:tc>
          <w:tcPr>
            <w:tcBorders>
              <w:bottom w:val="single" w:color="000000" w:sz="4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25"/>
              <w:jc w:val="center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</w:tc>
        <w:tc>
          <w:tcPr>
            <w:tcW w:w="6595" w:type="dxa"/>
            <w:vAlign w:val="top"/>
            <w:vMerge w:val="restart"/>
            <w:textDirection w:val="lrTb"/>
            <w:noWrap w:val="false"/>
          </w:tcPr>
          <w:p>
            <w:pPr>
              <w:pStyle w:val="925"/>
              <w:jc w:val="center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______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r>
          </w:p>
        </w:tc>
      </w:tr>
      <w:tr>
        <w:tblPrEx/>
        <w:trPr>
          <w:cantSplit/>
          <w:trHeight w:val="232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119" w:type="dxa"/>
            <w:vAlign w:val="top"/>
            <w:textDirection w:val="lrTb"/>
            <w:noWrap w:val="false"/>
          </w:tcPr>
          <w:p>
            <w:pPr>
              <w:pStyle w:val="925"/>
              <w:spacing w:after="0" w:line="240" w:lineRule="auto"/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4"/>
                <w:szCs w:val="24"/>
                <w:lang w:eastAsia="ru-RU"/>
              </w:rPr>
            </w:r>
          </w:p>
          <w:p>
            <w:pPr>
              <w:pStyle w:val="925"/>
              <w:jc w:val="center"/>
              <w:spacing w:after="0" w:line="240" w:lineRule="auto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95" w:type="dxa"/>
            <w:vAlign w:val="top"/>
            <w:vMerge w:val="continue"/>
            <w:textDirection w:val="lrTb"/>
            <w:noWrap w:val="false"/>
          </w:tcPr>
          <w:p>
            <w:pPr>
              <w:pStyle w:val="925"/>
              <w:jc w:val="right"/>
              <w:spacing w:after="0" w:line="240" w:lineRule="auto"/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0"/>
                <w:szCs w:val="24"/>
                <w:lang w:eastAsia="ru-RU"/>
              </w:rPr>
            </w:r>
          </w:p>
        </w:tc>
      </w:tr>
    </w:tbl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г.Нефтеюганск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внесении изменений в приказ Департамента финансов Нефтеюганского района от 11.03.2020 № 51-п 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порядке санкционирования оплаты денежн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ых обязательств получателей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и главных администраторов источников финансирования дефицита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jc w:val="center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ind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соответствии со статьями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219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219.2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Бюджетного кодекса Российской Федерации,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 р и к а з ы в а ю: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ind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Внести изменения в </w:t>
      </w:r>
      <w:r>
        <w:rPr>
          <w:rFonts w:ascii="Times New Roman" w:hAnsi="Times New Roman"/>
          <w:sz w:val="26"/>
          <w:szCs w:val="26"/>
        </w:rPr>
        <w:t xml:space="preserve">п</w:t>
      </w:r>
      <w:r>
        <w:rPr>
          <w:rFonts w:ascii="Times New Roman" w:hAnsi="Times New Roman"/>
          <w:sz w:val="26"/>
          <w:szCs w:val="26"/>
        </w:rPr>
        <w:t xml:space="preserve">риложение к </w:t>
      </w:r>
      <w:r>
        <w:rPr>
          <w:rFonts w:ascii="Times New Roman" w:hAnsi="Times New Roman"/>
          <w:sz w:val="26"/>
          <w:szCs w:val="26"/>
        </w:rPr>
        <w:t xml:space="preserve">приказ</w:t>
      </w:r>
      <w:r>
        <w:rPr>
          <w:rFonts w:ascii="Times New Roman" w:hAnsi="Times New Roman"/>
          <w:sz w:val="26"/>
          <w:szCs w:val="26"/>
        </w:rPr>
        <w:t xml:space="preserve">у </w:t>
      </w:r>
      <w:r>
        <w:rPr>
          <w:rFonts w:ascii="Times New Roman" w:hAnsi="Times New Roman"/>
          <w:sz w:val="26"/>
          <w:szCs w:val="26"/>
        </w:rPr>
        <w:t xml:space="preserve">Департамента финансов Нефтеюганского района от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11.03.2020 № 51-п «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порядке санкционирования оплаты денежн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ых обязательств получателей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и главных администраторов источников финансирования дефицита бюджета Нефтеюганского района</w:t>
      </w:r>
      <w:r>
        <w:rPr>
          <w:rFonts w:ascii="Times New Roman" w:hAnsi="Times New Roman" w:eastAsia="Times New Roman"/>
          <w:bCs/>
          <w:sz w:val="26"/>
          <w:szCs w:val="26"/>
          <w:lang w:eastAsia="ru-RU"/>
        </w:rPr>
        <w:t xml:space="preserve">»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изложив его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редакции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согласно приложению к настоящему приказу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Специалисту-эксперту отдела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организационной работы и информатизации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Ротарь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Н. В. ознакомить с настоящим приказом: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ind w:firstLine="708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 заместителей директора департамента, начальника управления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начальников отделов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работников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правления отчетности и исполнения бюджета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;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ind w:firstLine="708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- направить в администрации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поселений,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входящих в состав Нефтеюганского района, главным распорядителям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главным администраторам источников финансирования дефицита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средств бюджета Нефтеюганского района.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t xml:space="preserve">Настоящий приказ вступает в силу с момента его подписания и распространяет свое действие на правоотношения, возникшие </w:t>
      </w:r>
      <w:r>
        <w:rPr>
          <w:rFonts w:ascii="Times New Roman" w:hAnsi="Times New Roman" w:eastAsia="Times New Roman"/>
          <w:sz w:val="26"/>
          <w:szCs w:val="26"/>
          <w:highlight w:val="none"/>
          <w:lang w:eastAsia="ru-RU"/>
        </w:rPr>
        <w:t xml:space="preserve">с 01.01.2025.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numPr>
          <w:ilvl w:val="0"/>
          <w:numId w:val="17"/>
        </w:numPr>
        <w:ind w:left="0" w:firstLine="539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Настоящий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приказ подлежит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размещению на официальном сайте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органов местного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самоуправления Нефтеюганского района.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numPr>
          <w:ilvl w:val="0"/>
          <w:numId w:val="17"/>
        </w:numPr>
        <w:ind w:left="0" w:firstLine="539"/>
        <w:jc w:val="both"/>
        <w:spacing w:after="0" w:line="240" w:lineRule="auto"/>
        <w:tabs>
          <w:tab w:val="left" w:pos="567" w:leader="none"/>
          <w:tab w:val="left" w:pos="709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Контроль за исполнением настоящего приказа возложить на начальника управления отчетности и исполнения бюджета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Шабурникову Л.В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Директор департамента финансов 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jc w:val="both"/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Нефтеюганского района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ab/>
        <w:tab/>
        <w:tab/>
        <w:tab/>
        <w:tab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            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О.А. Кофанова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eastAsia="Times New Roman"/>
          <w:sz w:val="26"/>
          <w:szCs w:val="26"/>
          <w:lang w:eastAsia="ru-RU"/>
        </w:rPr>
      </w:r>
    </w:p>
    <w:p>
      <w:pPr>
        <w:pStyle w:val="925"/>
        <w:jc w:val="both"/>
        <w:spacing w:after="0" w:line="240" w:lineRule="auto"/>
        <w:rPr>
          <w:rFonts w:ascii="Times New Roman" w:hAnsi="Times New Roman" w:eastAsia="Times New Roman"/>
          <w:sz w:val="25"/>
          <w:szCs w:val="25"/>
          <w:lang w:eastAsia="ru-RU"/>
        </w:rPr>
      </w:pPr>
      <w:r>
        <w:rPr>
          <w:rFonts w:ascii="Times New Roman" w:hAnsi="Times New Roman" w:eastAsia="Times New Roman"/>
          <w:sz w:val="25"/>
          <w:szCs w:val="25"/>
          <w:lang w:eastAsia="ru-RU"/>
        </w:rPr>
      </w:r>
      <w:r>
        <w:rPr>
          <w:rFonts w:ascii="Times New Roman" w:hAnsi="Times New Roman" w:eastAsia="Times New Roman"/>
          <w:sz w:val="25"/>
          <w:szCs w:val="25"/>
          <w:lang w:eastAsia="ru-RU"/>
        </w:rPr>
      </w:r>
      <w:r>
        <w:rPr>
          <w:rFonts w:ascii="Times New Roman" w:hAnsi="Times New Roman" w:eastAsia="Times New Roman"/>
          <w:sz w:val="25"/>
          <w:szCs w:val="25"/>
          <w:lang w:eastAsia="ru-RU"/>
        </w:rPr>
      </w:r>
    </w:p>
    <w:sectPr>
      <w:headerReference w:type="default" r:id="rId9"/>
      <w:headerReference w:type="first" r:id="rId10"/>
      <w:footerReference w:type="even" r:id="rId11"/>
      <w:footnotePr/>
      <w:endnotePr/>
      <w:type w:val="nextPage"/>
      <w:pgSz w:w="11905" w:h="16838" w:orient="portrait"/>
      <w:pgMar w:top="1134" w:right="851" w:bottom="851" w:left="1418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rPr>
        <w:rStyle w:val="937"/>
      </w:rPr>
      <w:framePr w:wrap="around" w:vAnchor="text" w:hAnchor="margin" w:xAlign="right" w:y="1"/>
    </w:pPr>
    <w:r>
      <w:rPr>
        <w:rStyle w:val="937"/>
      </w:rPr>
      <w:fldChar w:fldCharType="begin"/>
    </w:r>
    <w:r>
      <w:rPr>
        <w:rStyle w:val="937"/>
      </w:rPr>
      <w:instrText xml:space="preserve">PAGE  </w:instrText>
    </w:r>
    <w:r>
      <w:rPr>
        <w:rStyle w:val="937"/>
      </w:rPr>
      <w:fldChar w:fldCharType="end"/>
    </w:r>
    <w:r>
      <w:rPr>
        <w:rStyle w:val="937"/>
      </w:rPr>
    </w:r>
    <w:r>
      <w:rPr>
        <w:rStyle w:val="937"/>
      </w:rPr>
    </w:r>
  </w:p>
  <w:p>
    <w:pPr>
      <w:pStyle w:val="935"/>
      <w:ind w:right="360"/>
    </w:pPr>
    <w:r/>
    <w:r/>
  </w:p>
  <w:p>
    <w:pPr>
      <w:pStyle w:val="9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943"/>
      <w:jc w:val="center"/>
      <w:rPr>
        <w:rFonts w:ascii="Times New Roman" w:hAnsi="Times New Roman"/>
        <w:lang w:val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val="en-US"/>
      </w:rPr>
    </w:r>
    <w:r>
      <w:rPr>
        <w:rFonts w:ascii="Times New Roman" w:hAnsi="Times New Roman"/>
        <w:lang w:val="en-US"/>
      </w:rPr>
    </w:r>
  </w:p>
  <w:p>
    <w:pPr>
      <w:pStyle w:val="9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right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  <w:r>
      <w:rPr>
        <w:rFonts w:ascii="Times New Roman" w:hAnsi="Times New Roman"/>
        <w:sz w:val="28"/>
        <w:szCs w:val="28"/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571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4" w:hanging="855"/>
      </w:pPr>
    </w:lvl>
    <w:lvl w:ilvl="1">
      <w:start w:val="1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5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1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1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7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7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3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39" w:hanging="180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88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288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eastAsia="Calibri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509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869" w:hanging="216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ind w:left="143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8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6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4" w:hanging="855"/>
      </w:pPr>
    </w:lvl>
    <w:lvl w:ilvl="1">
      <w:start w:val="1"/>
      <w:numFmt w:val="decimal"/>
      <w:isLgl w:val="false"/>
      <w:suff w:val="tab"/>
      <w:lvlText w:val="%1.%2."/>
      <w:lvlJc w:val="left"/>
      <w:pPr>
        <w:ind w:left="3981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5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619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61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979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97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339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39" w:hanging="1800"/>
      </w:pPr>
    </w:lvl>
  </w:abstractNum>
  <w:abstractNum w:abstractNumId="11">
    <w:multiLevelType w:val="hybridMultilevel"/>
    <w:lvl w:ilvl="0">
      <w:start w:val="3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eastAsia="Calibri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9" w:hanging="87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1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3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5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7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9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1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3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59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4"/>
  </w:num>
  <w:num w:numId="9">
    <w:abstractNumId w:val="9"/>
  </w:num>
  <w:num w:numId="10">
    <w:abstractNumId w:val="13"/>
  </w:num>
  <w:num w:numId="11">
    <w:abstractNumId w:val="1"/>
  </w:num>
  <w:num w:numId="12">
    <w:abstractNumId w:val="6"/>
  </w:num>
  <w:num w:numId="13">
    <w:abstractNumId w:val="8"/>
  </w:num>
  <w:num w:numId="14">
    <w:abstractNumId w:val="10"/>
  </w:num>
  <w:num w:numId="15">
    <w:abstractNumId w:val="3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7">
    <w:name w:val="Heading 1"/>
    <w:basedOn w:val="925"/>
    <w:next w:val="92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8">
    <w:name w:val="Heading 1 Char"/>
    <w:link w:val="747"/>
    <w:uiPriority w:val="9"/>
    <w:rPr>
      <w:rFonts w:ascii="Arial" w:hAnsi="Arial" w:eastAsia="Arial" w:cs="Arial"/>
      <w:sz w:val="40"/>
      <w:szCs w:val="40"/>
    </w:rPr>
  </w:style>
  <w:style w:type="paragraph" w:styleId="749">
    <w:name w:val="Heading 2"/>
    <w:basedOn w:val="925"/>
    <w:next w:val="925"/>
    <w:link w:val="75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0">
    <w:name w:val="Heading 2 Char"/>
    <w:link w:val="749"/>
    <w:uiPriority w:val="9"/>
    <w:rPr>
      <w:rFonts w:ascii="Arial" w:hAnsi="Arial" w:eastAsia="Arial" w:cs="Arial"/>
      <w:sz w:val="34"/>
    </w:rPr>
  </w:style>
  <w:style w:type="paragraph" w:styleId="751">
    <w:name w:val="Heading 3"/>
    <w:basedOn w:val="925"/>
    <w:next w:val="925"/>
    <w:link w:val="75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2">
    <w:name w:val="Heading 3 Char"/>
    <w:link w:val="751"/>
    <w:uiPriority w:val="9"/>
    <w:rPr>
      <w:rFonts w:ascii="Arial" w:hAnsi="Arial" w:eastAsia="Arial" w:cs="Arial"/>
      <w:sz w:val="30"/>
      <w:szCs w:val="30"/>
    </w:rPr>
  </w:style>
  <w:style w:type="paragraph" w:styleId="753">
    <w:name w:val="Heading 4"/>
    <w:basedOn w:val="925"/>
    <w:next w:val="925"/>
    <w:link w:val="7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4">
    <w:name w:val="Heading 4 Char"/>
    <w:link w:val="753"/>
    <w:uiPriority w:val="9"/>
    <w:rPr>
      <w:rFonts w:ascii="Arial" w:hAnsi="Arial" w:eastAsia="Arial" w:cs="Arial"/>
      <w:b/>
      <w:bCs/>
      <w:sz w:val="26"/>
      <w:szCs w:val="26"/>
    </w:rPr>
  </w:style>
  <w:style w:type="paragraph" w:styleId="755">
    <w:name w:val="Heading 5"/>
    <w:basedOn w:val="925"/>
    <w:next w:val="925"/>
    <w:link w:val="75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6">
    <w:name w:val="Heading 5 Char"/>
    <w:link w:val="755"/>
    <w:uiPriority w:val="9"/>
    <w:rPr>
      <w:rFonts w:ascii="Arial" w:hAnsi="Arial" w:eastAsia="Arial" w:cs="Arial"/>
      <w:b/>
      <w:bCs/>
      <w:sz w:val="24"/>
      <w:szCs w:val="24"/>
    </w:rPr>
  </w:style>
  <w:style w:type="paragraph" w:styleId="757">
    <w:name w:val="Heading 6"/>
    <w:basedOn w:val="925"/>
    <w:next w:val="925"/>
    <w:link w:val="75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8">
    <w:name w:val="Heading 6 Char"/>
    <w:link w:val="757"/>
    <w:uiPriority w:val="9"/>
    <w:rPr>
      <w:rFonts w:ascii="Arial" w:hAnsi="Arial" w:eastAsia="Arial" w:cs="Arial"/>
      <w:b/>
      <w:bCs/>
      <w:sz w:val="22"/>
      <w:szCs w:val="22"/>
    </w:rPr>
  </w:style>
  <w:style w:type="paragraph" w:styleId="759">
    <w:name w:val="Heading 7"/>
    <w:basedOn w:val="925"/>
    <w:next w:val="925"/>
    <w:link w:val="76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0">
    <w:name w:val="Heading 7 Char"/>
    <w:link w:val="75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1">
    <w:name w:val="Heading 8"/>
    <w:basedOn w:val="925"/>
    <w:next w:val="925"/>
    <w:link w:val="7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2">
    <w:name w:val="Heading 8 Char"/>
    <w:link w:val="761"/>
    <w:uiPriority w:val="9"/>
    <w:rPr>
      <w:rFonts w:ascii="Arial" w:hAnsi="Arial" w:eastAsia="Arial" w:cs="Arial"/>
      <w:i/>
      <w:iCs/>
      <w:sz w:val="22"/>
      <w:szCs w:val="22"/>
    </w:rPr>
  </w:style>
  <w:style w:type="paragraph" w:styleId="763">
    <w:name w:val="Heading 9"/>
    <w:basedOn w:val="925"/>
    <w:next w:val="925"/>
    <w:link w:val="76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4">
    <w:name w:val="Heading 9 Char"/>
    <w:link w:val="763"/>
    <w:uiPriority w:val="9"/>
    <w:rPr>
      <w:rFonts w:ascii="Arial" w:hAnsi="Arial" w:eastAsia="Arial" w:cs="Arial"/>
      <w:i/>
      <w:iCs/>
      <w:sz w:val="21"/>
      <w:szCs w:val="21"/>
    </w:rPr>
  </w:style>
  <w:style w:type="paragraph" w:styleId="765">
    <w:name w:val="List Paragraph"/>
    <w:basedOn w:val="925"/>
    <w:uiPriority w:val="34"/>
    <w:qFormat/>
    <w:pPr>
      <w:contextualSpacing/>
      <w:ind w:left="720"/>
    </w:pPr>
  </w:style>
  <w:style w:type="paragraph" w:styleId="766">
    <w:name w:val="No Spacing"/>
    <w:uiPriority w:val="1"/>
    <w:qFormat/>
    <w:pPr>
      <w:spacing w:before="0" w:after="0" w:line="240" w:lineRule="auto"/>
    </w:pPr>
  </w:style>
  <w:style w:type="paragraph" w:styleId="767">
    <w:name w:val="Title"/>
    <w:basedOn w:val="925"/>
    <w:next w:val="925"/>
    <w:link w:val="76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8">
    <w:name w:val="Title Char"/>
    <w:link w:val="767"/>
    <w:uiPriority w:val="10"/>
    <w:rPr>
      <w:sz w:val="48"/>
      <w:szCs w:val="48"/>
    </w:rPr>
  </w:style>
  <w:style w:type="paragraph" w:styleId="769">
    <w:name w:val="Subtitle"/>
    <w:basedOn w:val="925"/>
    <w:next w:val="925"/>
    <w:link w:val="770"/>
    <w:uiPriority w:val="11"/>
    <w:qFormat/>
    <w:pPr>
      <w:spacing w:before="200" w:after="200"/>
    </w:pPr>
    <w:rPr>
      <w:sz w:val="24"/>
      <w:szCs w:val="24"/>
    </w:rPr>
  </w:style>
  <w:style w:type="character" w:styleId="770">
    <w:name w:val="Subtitle Char"/>
    <w:link w:val="769"/>
    <w:uiPriority w:val="11"/>
    <w:rPr>
      <w:sz w:val="24"/>
      <w:szCs w:val="24"/>
    </w:rPr>
  </w:style>
  <w:style w:type="paragraph" w:styleId="771">
    <w:name w:val="Quote"/>
    <w:basedOn w:val="925"/>
    <w:next w:val="925"/>
    <w:link w:val="772"/>
    <w:uiPriority w:val="29"/>
    <w:qFormat/>
    <w:pPr>
      <w:ind w:left="720" w:right="720"/>
    </w:pPr>
    <w:rPr>
      <w:i/>
    </w:rPr>
  </w:style>
  <w:style w:type="character" w:styleId="772">
    <w:name w:val="Quote Char"/>
    <w:link w:val="771"/>
    <w:uiPriority w:val="29"/>
    <w:rPr>
      <w:i/>
    </w:rPr>
  </w:style>
  <w:style w:type="paragraph" w:styleId="773">
    <w:name w:val="Intense Quote"/>
    <w:basedOn w:val="925"/>
    <w:next w:val="925"/>
    <w:link w:val="77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4">
    <w:name w:val="Intense Quote Char"/>
    <w:link w:val="773"/>
    <w:uiPriority w:val="30"/>
    <w:rPr>
      <w:i/>
    </w:rPr>
  </w:style>
  <w:style w:type="paragraph" w:styleId="775">
    <w:name w:val="Header"/>
    <w:basedOn w:val="925"/>
    <w:link w:val="77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6">
    <w:name w:val="Header Char"/>
    <w:link w:val="775"/>
    <w:uiPriority w:val="99"/>
  </w:style>
  <w:style w:type="paragraph" w:styleId="777">
    <w:name w:val="Footer"/>
    <w:basedOn w:val="925"/>
    <w:link w:val="77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8">
    <w:name w:val="Footer Char"/>
    <w:link w:val="777"/>
    <w:uiPriority w:val="99"/>
  </w:style>
  <w:style w:type="paragraph" w:styleId="779">
    <w:name w:val="Caption"/>
    <w:basedOn w:val="925"/>
    <w:next w:val="925"/>
    <w:link w:val="7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0">
    <w:name w:val="Caption Char"/>
    <w:link w:val="779"/>
    <w:uiPriority w:val="35"/>
    <w:rPr>
      <w:b/>
      <w:bCs/>
      <w:color w:val="4f81bd" w:themeColor="accent1"/>
      <w:sz w:val="18"/>
      <w:szCs w:val="18"/>
    </w:rPr>
  </w:style>
  <w:style w:type="table" w:styleId="78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7">
    <w:name w:val="Hyperlink"/>
    <w:uiPriority w:val="99"/>
    <w:unhideWhenUsed/>
    <w:rPr>
      <w:color w:val="0000ff" w:themeColor="hyperlink"/>
      <w:u w:val="single"/>
    </w:rPr>
  </w:style>
  <w:style w:type="paragraph" w:styleId="908">
    <w:name w:val="footnote text"/>
    <w:basedOn w:val="925"/>
    <w:link w:val="909"/>
    <w:uiPriority w:val="99"/>
    <w:semiHidden/>
    <w:unhideWhenUsed/>
    <w:pPr>
      <w:spacing w:after="40" w:line="240" w:lineRule="auto"/>
    </w:pPr>
    <w:rPr>
      <w:sz w:val="18"/>
    </w:rPr>
  </w:style>
  <w:style w:type="character" w:styleId="909">
    <w:name w:val="Footnote Text Char"/>
    <w:link w:val="908"/>
    <w:uiPriority w:val="99"/>
    <w:rPr>
      <w:sz w:val="18"/>
    </w:rPr>
  </w:style>
  <w:style w:type="character" w:styleId="910">
    <w:name w:val="footnote reference"/>
    <w:uiPriority w:val="99"/>
    <w:unhideWhenUsed/>
    <w:rPr>
      <w:vertAlign w:val="superscript"/>
    </w:rPr>
  </w:style>
  <w:style w:type="paragraph" w:styleId="911">
    <w:name w:val="endnote text"/>
    <w:basedOn w:val="92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>
    <w:name w:val="Endnote Text Char"/>
    <w:link w:val="911"/>
    <w:uiPriority w:val="99"/>
    <w:rPr>
      <w:sz w:val="20"/>
    </w:rPr>
  </w:style>
  <w:style w:type="character" w:styleId="913">
    <w:name w:val="endnote reference"/>
    <w:uiPriority w:val="99"/>
    <w:semiHidden/>
    <w:unhideWhenUsed/>
    <w:rPr>
      <w:vertAlign w:val="superscript"/>
    </w:rPr>
  </w:style>
  <w:style w:type="paragraph" w:styleId="914">
    <w:name w:val="toc 1"/>
    <w:basedOn w:val="925"/>
    <w:next w:val="925"/>
    <w:uiPriority w:val="39"/>
    <w:unhideWhenUsed/>
    <w:pPr>
      <w:ind w:left="0" w:right="0" w:firstLine="0"/>
      <w:spacing w:after="57"/>
    </w:pPr>
  </w:style>
  <w:style w:type="paragraph" w:styleId="915">
    <w:name w:val="toc 2"/>
    <w:basedOn w:val="925"/>
    <w:next w:val="925"/>
    <w:uiPriority w:val="39"/>
    <w:unhideWhenUsed/>
    <w:pPr>
      <w:ind w:left="283" w:right="0" w:firstLine="0"/>
      <w:spacing w:after="57"/>
    </w:pPr>
  </w:style>
  <w:style w:type="paragraph" w:styleId="916">
    <w:name w:val="toc 3"/>
    <w:basedOn w:val="925"/>
    <w:next w:val="925"/>
    <w:uiPriority w:val="39"/>
    <w:unhideWhenUsed/>
    <w:pPr>
      <w:ind w:left="567" w:right="0" w:firstLine="0"/>
      <w:spacing w:after="57"/>
    </w:pPr>
  </w:style>
  <w:style w:type="paragraph" w:styleId="917">
    <w:name w:val="toc 4"/>
    <w:basedOn w:val="925"/>
    <w:next w:val="925"/>
    <w:uiPriority w:val="39"/>
    <w:unhideWhenUsed/>
    <w:pPr>
      <w:ind w:left="850" w:right="0" w:firstLine="0"/>
      <w:spacing w:after="57"/>
    </w:pPr>
  </w:style>
  <w:style w:type="paragraph" w:styleId="918">
    <w:name w:val="toc 5"/>
    <w:basedOn w:val="925"/>
    <w:next w:val="925"/>
    <w:uiPriority w:val="39"/>
    <w:unhideWhenUsed/>
    <w:pPr>
      <w:ind w:left="1134" w:right="0" w:firstLine="0"/>
      <w:spacing w:after="57"/>
    </w:pPr>
  </w:style>
  <w:style w:type="paragraph" w:styleId="919">
    <w:name w:val="toc 6"/>
    <w:basedOn w:val="925"/>
    <w:next w:val="925"/>
    <w:uiPriority w:val="39"/>
    <w:unhideWhenUsed/>
    <w:pPr>
      <w:ind w:left="1417" w:right="0" w:firstLine="0"/>
      <w:spacing w:after="57"/>
    </w:pPr>
  </w:style>
  <w:style w:type="paragraph" w:styleId="920">
    <w:name w:val="toc 7"/>
    <w:basedOn w:val="925"/>
    <w:next w:val="925"/>
    <w:uiPriority w:val="39"/>
    <w:unhideWhenUsed/>
    <w:pPr>
      <w:ind w:left="1701" w:right="0" w:firstLine="0"/>
      <w:spacing w:after="57"/>
    </w:pPr>
  </w:style>
  <w:style w:type="paragraph" w:styleId="921">
    <w:name w:val="toc 8"/>
    <w:basedOn w:val="925"/>
    <w:next w:val="925"/>
    <w:uiPriority w:val="39"/>
    <w:unhideWhenUsed/>
    <w:pPr>
      <w:ind w:left="1984" w:right="0" w:firstLine="0"/>
      <w:spacing w:after="57"/>
    </w:pPr>
  </w:style>
  <w:style w:type="paragraph" w:styleId="922">
    <w:name w:val="toc 9"/>
    <w:basedOn w:val="925"/>
    <w:next w:val="925"/>
    <w:uiPriority w:val="39"/>
    <w:unhideWhenUsed/>
    <w:pPr>
      <w:ind w:left="2268" w:right="0" w:firstLine="0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925"/>
    <w:next w:val="925"/>
    <w:uiPriority w:val="99"/>
    <w:unhideWhenUsed/>
    <w:pPr>
      <w:spacing w:after="0" w:afterAutospacing="0"/>
    </w:pPr>
  </w:style>
  <w:style w:type="paragraph" w:styleId="925" w:default="1">
    <w:name w:val="Normal"/>
    <w:next w:val="925"/>
    <w:link w:val="925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26">
    <w:name w:val="Заголовок 1"/>
    <w:basedOn w:val="925"/>
    <w:next w:val="925"/>
    <w:link w:val="931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sz w:val="28"/>
      <w:szCs w:val="20"/>
      <w:lang w:val="en-US" w:eastAsia="ru-RU"/>
    </w:rPr>
  </w:style>
  <w:style w:type="paragraph" w:styleId="927">
    <w:name w:val="Заголовок 6"/>
    <w:basedOn w:val="925"/>
    <w:next w:val="925"/>
    <w:link w:val="955"/>
    <w:uiPriority w:val="9"/>
    <w:semiHidden/>
    <w:unhideWhenUsed/>
    <w:qFormat/>
    <w:pPr>
      <w:spacing w:before="240" w:after="60"/>
      <w:outlineLvl w:val="5"/>
    </w:pPr>
    <w:rPr>
      <w:rFonts w:ascii="Calibri" w:hAnsi="Calibri" w:eastAsia="Times New Roman" w:cs="Times New Roman"/>
      <w:b/>
      <w:bCs/>
    </w:rPr>
  </w:style>
  <w:style w:type="character" w:styleId="928">
    <w:name w:val="Основной шрифт абзаца"/>
    <w:next w:val="928"/>
    <w:link w:val="925"/>
    <w:uiPriority w:val="1"/>
    <w:unhideWhenUsed/>
  </w:style>
  <w:style w:type="table" w:styleId="929">
    <w:name w:val="Обычная таблица"/>
    <w:next w:val="929"/>
    <w:link w:val="925"/>
    <w:uiPriority w:val="99"/>
    <w:semiHidden/>
    <w:unhideWhenUsed/>
    <w:qFormat/>
    <w:tblPr/>
  </w:style>
  <w:style w:type="numbering" w:styleId="930">
    <w:name w:val="Нет списка"/>
    <w:next w:val="930"/>
    <w:link w:val="925"/>
    <w:uiPriority w:val="99"/>
    <w:semiHidden/>
    <w:unhideWhenUsed/>
  </w:style>
  <w:style w:type="character" w:styleId="931">
    <w:name w:val="Заголовок 1 Знак"/>
    <w:next w:val="931"/>
    <w:link w:val="926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932">
    <w:name w:val="ConsPlusTitle"/>
    <w:next w:val="932"/>
    <w:link w:val="925"/>
    <w:uiPriority w:val="99"/>
    <w:rPr>
      <w:rFonts w:ascii="Times New Roman" w:hAnsi="Times New Roman" w:eastAsia="Times New Roman"/>
      <w:b/>
      <w:bCs/>
      <w:sz w:val="28"/>
      <w:szCs w:val="28"/>
      <w:lang w:val="ru-RU" w:eastAsia="ru-RU" w:bidi="ar-SA"/>
    </w:rPr>
  </w:style>
  <w:style w:type="paragraph" w:styleId="933">
    <w:name w:val="Название"/>
    <w:basedOn w:val="925"/>
    <w:next w:val="933"/>
    <w:link w:val="934"/>
    <w:qFormat/>
    <w:pPr>
      <w:jc w:val="center"/>
      <w:spacing w:after="0" w:line="240" w:lineRule="auto"/>
    </w:pPr>
    <w:rPr>
      <w:rFonts w:ascii="Times New Roman" w:hAnsi="Times New Roman" w:eastAsia="Times New Roman"/>
      <w:b/>
      <w:i/>
      <w:sz w:val="24"/>
      <w:szCs w:val="20"/>
      <w:lang w:val="en-US" w:eastAsia="ru-RU"/>
    </w:rPr>
  </w:style>
  <w:style w:type="character" w:styleId="934">
    <w:name w:val="Название Знак"/>
    <w:next w:val="934"/>
    <w:link w:val="933"/>
    <w:rPr>
      <w:rFonts w:ascii="Times New Roman" w:hAnsi="Times New Roman" w:eastAsia="Times New Roman" w:cs="Times New Roman"/>
      <w:b/>
      <w:i/>
      <w:sz w:val="24"/>
      <w:szCs w:val="20"/>
      <w:lang w:eastAsia="ru-RU"/>
    </w:rPr>
  </w:style>
  <w:style w:type="paragraph" w:styleId="935">
    <w:name w:val="Нижний колонтитул"/>
    <w:basedOn w:val="925"/>
    <w:next w:val="935"/>
    <w:link w:val="936"/>
    <w:pPr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936">
    <w:name w:val="Нижний колонтитул Знак"/>
    <w:next w:val="936"/>
    <w:link w:val="935"/>
    <w:rPr>
      <w:rFonts w:ascii="Calibri" w:hAnsi="Calibri" w:eastAsia="Calibri" w:cs="Times New Roman"/>
    </w:rPr>
  </w:style>
  <w:style w:type="character" w:styleId="937">
    <w:name w:val="Номер страницы"/>
    <w:basedOn w:val="928"/>
    <w:next w:val="937"/>
    <w:link w:val="925"/>
  </w:style>
  <w:style w:type="paragraph" w:styleId="938">
    <w:name w:val="Текст выноски"/>
    <w:basedOn w:val="925"/>
    <w:next w:val="938"/>
    <w:link w:val="939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939">
    <w:name w:val="Текст выноски Знак"/>
    <w:next w:val="939"/>
    <w:link w:val="938"/>
    <w:uiPriority w:val="99"/>
    <w:semiHidden/>
    <w:rPr>
      <w:rFonts w:ascii="Tahoma" w:hAnsi="Tahoma" w:eastAsia="Calibri" w:cs="Tahoma"/>
      <w:sz w:val="16"/>
      <w:szCs w:val="16"/>
    </w:rPr>
  </w:style>
  <w:style w:type="paragraph" w:styleId="940">
    <w:name w:val="ConsPlusNormal"/>
    <w:next w:val="940"/>
    <w:link w:val="925"/>
    <w:rPr>
      <w:rFonts w:ascii="Arial" w:hAnsi="Arial" w:cs="Arial"/>
      <w:lang w:val="ru-RU" w:eastAsia="en-US" w:bidi="ar-SA"/>
    </w:rPr>
  </w:style>
  <w:style w:type="paragraph" w:styleId="941">
    <w:name w:val="ConsPlusNonformat"/>
    <w:next w:val="941"/>
    <w:link w:val="925"/>
    <w:uiPriority w:val="99"/>
    <w:rPr>
      <w:rFonts w:ascii="Courier New" w:hAnsi="Courier New" w:cs="Courier New"/>
      <w:lang w:val="ru-RU" w:eastAsia="ru-RU" w:bidi="ar-SA"/>
    </w:rPr>
  </w:style>
  <w:style w:type="table" w:styleId="942">
    <w:name w:val="Сетка таблицы"/>
    <w:basedOn w:val="929"/>
    <w:next w:val="942"/>
    <w:link w:val="925"/>
    <w:uiPriority w:val="59"/>
    <w:tblPr/>
  </w:style>
  <w:style w:type="paragraph" w:styleId="943">
    <w:name w:val="Верхний колонтитул"/>
    <w:basedOn w:val="925"/>
    <w:next w:val="943"/>
    <w:link w:val="944"/>
    <w:uiPriority w:val="99"/>
    <w:unhideWhenUsed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944">
    <w:name w:val="Верхний колонтитул Знак"/>
    <w:next w:val="944"/>
    <w:link w:val="943"/>
    <w:uiPriority w:val="99"/>
    <w:rPr>
      <w:sz w:val="22"/>
      <w:szCs w:val="22"/>
      <w:lang w:eastAsia="en-US"/>
    </w:rPr>
  </w:style>
  <w:style w:type="character" w:styleId="945">
    <w:name w:val="Знак примечания"/>
    <w:next w:val="945"/>
    <w:link w:val="925"/>
    <w:uiPriority w:val="99"/>
    <w:semiHidden/>
    <w:unhideWhenUsed/>
    <w:rPr>
      <w:sz w:val="16"/>
      <w:szCs w:val="16"/>
    </w:rPr>
  </w:style>
  <w:style w:type="paragraph" w:styleId="946">
    <w:name w:val="Текст примечания"/>
    <w:basedOn w:val="925"/>
    <w:next w:val="946"/>
    <w:link w:val="947"/>
    <w:uiPriority w:val="99"/>
    <w:pPr>
      <w:spacing w:line="240" w:lineRule="auto"/>
    </w:pPr>
    <w:rPr>
      <w:sz w:val="20"/>
      <w:szCs w:val="20"/>
      <w:lang w:eastAsia="ru-RU"/>
    </w:rPr>
  </w:style>
  <w:style w:type="character" w:styleId="947">
    <w:name w:val="Текст примечания Знак"/>
    <w:basedOn w:val="928"/>
    <w:next w:val="947"/>
    <w:link w:val="946"/>
    <w:uiPriority w:val="99"/>
  </w:style>
  <w:style w:type="character" w:styleId="948">
    <w:name w:val="blk"/>
    <w:next w:val="948"/>
    <w:link w:val="925"/>
    <w:uiPriority w:val="99"/>
    <w:rPr>
      <w:rFonts w:cs="Times New Roman"/>
    </w:rPr>
  </w:style>
  <w:style w:type="paragraph" w:styleId="949">
    <w:name w:val="Основной текст с отступом"/>
    <w:basedOn w:val="925"/>
    <w:next w:val="949"/>
    <w:link w:val="950"/>
    <w:pPr>
      <w:ind w:right="-1333" w:firstLine="720"/>
      <w:jc w:val="both"/>
      <w:spacing w:after="0" w:line="240" w:lineRule="auto"/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950">
    <w:name w:val="Основной текст с отступом Знак"/>
    <w:next w:val="950"/>
    <w:link w:val="949"/>
    <w:rPr>
      <w:rFonts w:ascii="Times New Roman" w:hAnsi="Times New Roman" w:eastAsia="Times New Roman"/>
      <w:sz w:val="24"/>
      <w:szCs w:val="24"/>
    </w:rPr>
  </w:style>
  <w:style w:type="paragraph" w:styleId="951">
    <w:name w:val="Текст сноски"/>
    <w:basedOn w:val="925"/>
    <w:next w:val="951"/>
    <w:link w:val="952"/>
    <w:uiPriority w:val="99"/>
    <w:semiHidden/>
    <w:unhideWhenUsed/>
    <w:rPr>
      <w:sz w:val="20"/>
      <w:szCs w:val="20"/>
      <w:lang w:val="en-US"/>
    </w:rPr>
  </w:style>
  <w:style w:type="character" w:styleId="952">
    <w:name w:val="Текст сноски Знак"/>
    <w:next w:val="952"/>
    <w:link w:val="951"/>
    <w:uiPriority w:val="99"/>
    <w:semiHidden/>
    <w:rPr>
      <w:lang w:eastAsia="en-US"/>
    </w:rPr>
  </w:style>
  <w:style w:type="character" w:styleId="953">
    <w:name w:val="Знак сноски"/>
    <w:next w:val="953"/>
    <w:link w:val="925"/>
    <w:uiPriority w:val="99"/>
    <w:semiHidden/>
    <w:unhideWhenUsed/>
    <w:rPr>
      <w:vertAlign w:val="superscript"/>
    </w:rPr>
  </w:style>
  <w:style w:type="character" w:styleId="954">
    <w:name w:val="Гиперссылка"/>
    <w:next w:val="954"/>
    <w:link w:val="925"/>
    <w:uiPriority w:val="99"/>
    <w:unhideWhenUsed/>
    <w:rPr>
      <w:color w:val="0000ff"/>
      <w:u w:val="single"/>
    </w:rPr>
  </w:style>
  <w:style w:type="character" w:styleId="955">
    <w:name w:val="Заголовок 6 Знак"/>
    <w:next w:val="955"/>
    <w:link w:val="927"/>
    <w:uiPriority w:val="9"/>
    <w:semiHidden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character" w:styleId="956" w:default="1">
    <w:name w:val="Default Paragraph Font"/>
    <w:uiPriority w:val="1"/>
    <w:semiHidden/>
    <w:unhideWhenUsed/>
  </w:style>
  <w:style w:type="numbering" w:styleId="957" w:default="1">
    <w:name w:val="No List"/>
    <w:uiPriority w:val="99"/>
    <w:semiHidden/>
    <w:unhideWhenUsed/>
  </w:style>
  <w:style w:type="table" w:styleId="95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SPecialiST RePack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SpiridonovaOA</dc:creator>
  <cp:lastModifiedBy>ShaihutdinovaOA</cp:lastModifiedBy>
  <cp:revision>19</cp:revision>
  <dcterms:created xsi:type="dcterms:W3CDTF">2019-04-24T13:04:00Z</dcterms:created>
  <dcterms:modified xsi:type="dcterms:W3CDTF">2025-04-24T09:14:50Z</dcterms:modified>
  <cp:version>983040</cp:version>
</cp:coreProperties>
</file>