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40DE4B99" w:rsidR="00EB31BF" w:rsidRPr="00EB31BF" w:rsidRDefault="00EB31BF" w:rsidP="00EB31BF">
      <w:pPr>
        <w:jc w:val="center"/>
        <w:rPr>
          <w:rFonts w:ascii="Times New Roman" w:eastAsia="Times New Roman" w:hAnsi="Times New Roman" w:cs="Times New Roman"/>
          <w:b/>
          <w:bCs/>
          <w:u w:val="single"/>
        </w:rPr>
      </w:pPr>
      <w:r w:rsidRPr="00EB31BF">
        <w:rPr>
          <w:rFonts w:ascii="Times New Roman" w:eastAsia="Times New Roman" w:hAnsi="Times New Roman" w:cs="Times New Roman"/>
          <w:b/>
          <w:bCs/>
          <w:u w:val="single"/>
        </w:rPr>
        <w:t xml:space="preserve">Обзор изменений законодательства на </w:t>
      </w:r>
      <w:r>
        <w:rPr>
          <w:rFonts w:ascii="Times New Roman" w:eastAsia="Times New Roman" w:hAnsi="Times New Roman" w:cs="Times New Roman"/>
          <w:b/>
          <w:bCs/>
          <w:u w:val="single"/>
        </w:rPr>
        <w:t>19</w:t>
      </w:r>
      <w:r w:rsidRPr="00EB31BF">
        <w:rPr>
          <w:rFonts w:ascii="Times New Roman" w:eastAsia="Times New Roman" w:hAnsi="Times New Roman" w:cs="Times New Roman"/>
          <w:b/>
          <w:bCs/>
          <w:u w:val="single"/>
        </w:rPr>
        <w:t>.02.2024</w:t>
      </w:r>
    </w:p>
    <w:p w14:paraId="7C94B46F" w14:textId="2727365A" w:rsidR="00E15507" w:rsidRPr="00373085" w:rsidRDefault="00E15507" w:rsidP="00373085">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Пенсию по старости можно оформить за несколько часов</w:t>
      </w:r>
    </w:p>
    <w:p w14:paraId="1D7221CC" w14:textId="77777777" w:rsidR="00E15507" w:rsidRPr="00373085" w:rsidRDefault="00E15507" w:rsidP="00373085">
      <w:pPr>
        <w:pStyle w:val="a3"/>
        <w:shd w:val="clear" w:color="auto" w:fill="FFFFFF"/>
        <w:spacing w:before="0" w:beforeAutospacing="0" w:after="0" w:afterAutospacing="0" w:line="270" w:lineRule="atLeast"/>
        <w:ind w:firstLine="708"/>
        <w:jc w:val="both"/>
        <w:rPr>
          <w:color w:val="333333"/>
        </w:rPr>
      </w:pPr>
      <w:r w:rsidRPr="00373085">
        <w:rPr>
          <w:color w:val="333333"/>
        </w:rPr>
        <w:t>Благодаря информационной системе СФР россияне смогут оформлять пенсию еще быстрее. Через портал госуслуг фонд будет направлять уведомления гражданам о возможности подачи заявления о назначении страховой пенсии по старости. В случае согласия гражданина пенсия будет назначаться фондом автоматически, а соответствующее уведомление поступит заявителю в личный кабинет в течение трех часов. Об этом сообщает СФР на официальном сайте.</w:t>
      </w:r>
    </w:p>
    <w:p w14:paraId="3E875013" w14:textId="77777777" w:rsidR="00E15507" w:rsidRPr="00373085" w:rsidRDefault="00E15507" w:rsidP="00373085">
      <w:pPr>
        <w:pStyle w:val="a3"/>
        <w:shd w:val="clear" w:color="auto" w:fill="FFFFFF"/>
        <w:spacing w:before="0" w:beforeAutospacing="0" w:after="0" w:afterAutospacing="0" w:line="270" w:lineRule="atLeast"/>
        <w:ind w:firstLine="708"/>
        <w:jc w:val="both"/>
        <w:rPr>
          <w:color w:val="333333"/>
        </w:rPr>
      </w:pPr>
      <w:r w:rsidRPr="00373085">
        <w:rPr>
          <w:color w:val="333333"/>
        </w:rPr>
        <w:t>Для назначения пенсии потребуется не менее 15 лет стажа и пенсионный коэффициент 28,2. Мужчины смогут выйти на пенсию не ранее 63 лет, а женщины – не ранее 58.</w:t>
      </w:r>
    </w:p>
    <w:p w14:paraId="6817AEE2" w14:textId="77777777" w:rsidR="00E15507" w:rsidRPr="00373085" w:rsidRDefault="00E15507" w:rsidP="00373085">
      <w:pPr>
        <w:pStyle w:val="a3"/>
        <w:shd w:val="clear" w:color="auto" w:fill="FFFFFF"/>
        <w:spacing w:before="0" w:beforeAutospacing="0" w:after="0" w:afterAutospacing="0" w:line="270" w:lineRule="atLeast"/>
        <w:ind w:firstLine="708"/>
        <w:jc w:val="both"/>
        <w:rPr>
          <w:color w:val="333333"/>
        </w:rPr>
      </w:pPr>
      <w:r w:rsidRPr="00373085">
        <w:rPr>
          <w:color w:val="333333"/>
        </w:rPr>
        <w:t>Кроме того, СФР будет предлагать гражданину оформить пенсию по старости (подать заявление через госуслуги), только если располагает полными сведениями о периодах его страхового стажа и (или) иной деятельности. В таком случае размер пенсии рассчитывается автоматически. Способ выплаты зависит от выбора гражданина: перевод на банковский счет или доставка Почтой России.</w:t>
      </w:r>
    </w:p>
    <w:p w14:paraId="6F9D06F7" w14:textId="77777777" w:rsidR="00E15507" w:rsidRPr="00373085" w:rsidRDefault="00E15507" w:rsidP="00373085">
      <w:pPr>
        <w:pStyle w:val="a3"/>
        <w:shd w:val="clear" w:color="auto" w:fill="FFFFFF"/>
        <w:spacing w:before="0" w:beforeAutospacing="0" w:after="0" w:afterAutospacing="0" w:line="270" w:lineRule="atLeast"/>
        <w:ind w:firstLine="708"/>
        <w:jc w:val="both"/>
        <w:rPr>
          <w:color w:val="333333"/>
        </w:rPr>
      </w:pPr>
      <w:r w:rsidRPr="00373085">
        <w:rPr>
          <w:color w:val="333333"/>
        </w:rPr>
        <w:t>Для информирования граждан о размерах их будущих пенсий СФР раз в три года направляет соответствующее уведомление в личный кабинет гражданина на портал госуслуг. Уведомление содержит стаж, пенсионный коэффициент и размер пенсии.</w:t>
      </w:r>
    </w:p>
    <w:p w14:paraId="76211D06" w14:textId="77777777" w:rsidR="00E15507" w:rsidRPr="00373085" w:rsidRDefault="00E15507" w:rsidP="00373085">
      <w:pPr>
        <w:pStyle w:val="a3"/>
        <w:shd w:val="clear" w:color="auto" w:fill="FFFFFF"/>
        <w:spacing w:before="0" w:beforeAutospacing="0" w:after="0" w:afterAutospacing="0" w:line="270" w:lineRule="atLeast"/>
        <w:ind w:firstLine="708"/>
        <w:jc w:val="both"/>
        <w:rPr>
          <w:color w:val="333333"/>
        </w:rPr>
      </w:pPr>
      <w:r w:rsidRPr="00373085">
        <w:rPr>
          <w:color w:val="333333"/>
        </w:rPr>
        <w:t>Напомним, что с 1 января 2024 года страховые пенсии были </w:t>
      </w:r>
      <w:hyperlink r:id="rId5" w:history="1">
        <w:r w:rsidRPr="00373085">
          <w:rPr>
            <w:rStyle w:val="a4"/>
            <w:color w:val="808080"/>
            <w:bdr w:val="none" w:sz="0" w:space="0" w:color="auto" w:frame="1"/>
          </w:rPr>
          <w:t>проиндексированы</w:t>
        </w:r>
      </w:hyperlink>
      <w:r w:rsidRPr="00373085">
        <w:rPr>
          <w:color w:val="333333"/>
        </w:rPr>
        <w:t> на 7,5%. После проведенного повышения выплаты неработающих пенсионеров стали больше в среднем на 1,6 тыс. руб. в месяц и составили 23,4 тыс. руб. Кроме того, с 1 апреля 2024 года планируют </w:t>
      </w:r>
      <w:hyperlink r:id="rId6" w:history="1">
        <w:r w:rsidRPr="00373085">
          <w:rPr>
            <w:rStyle w:val="a4"/>
            <w:color w:val="808080"/>
            <w:bdr w:val="none" w:sz="0" w:space="0" w:color="auto" w:frame="1"/>
          </w:rPr>
          <w:t>повысить</w:t>
        </w:r>
      </w:hyperlink>
      <w:r w:rsidRPr="00373085">
        <w:rPr>
          <w:color w:val="333333"/>
        </w:rPr>
        <w:t> размер социальных пенсий. </w:t>
      </w:r>
    </w:p>
    <w:p w14:paraId="67F51A52" w14:textId="77777777" w:rsidR="00E15507" w:rsidRPr="00373085" w:rsidRDefault="00E15507" w:rsidP="00373085">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Минцифры России объявило набор на бесплатные курсы программирования</w:t>
      </w:r>
    </w:p>
    <w:p w14:paraId="52001890" w14:textId="77777777" w:rsidR="00E15507" w:rsidRPr="00373085" w:rsidRDefault="00E15507" w:rsidP="00373085">
      <w:pPr>
        <w:shd w:val="clear" w:color="auto" w:fill="FFFFFF"/>
        <w:spacing w:after="255"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На портале госуслуг стартовал прием заявок от школьников 8-11 классов, а также студентов колледжей и техникумов на бесплатное обучение по программе "Код будущего". Ее участникам предлагают освоить популярные языки программирования. Среди них:</w:t>
      </w:r>
    </w:p>
    <w:p w14:paraId="68BB2673" w14:textId="77777777" w:rsidR="00E15507" w:rsidRPr="00373085" w:rsidRDefault="00E15507" w:rsidP="00373085">
      <w:pPr>
        <w:numPr>
          <w:ilvl w:val="0"/>
          <w:numId w:val="1"/>
        </w:numPr>
        <w:shd w:val="clear" w:color="auto" w:fill="FFFFFF"/>
        <w:spacing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Python</w:t>
      </w:r>
    </w:p>
    <w:p w14:paraId="6EBEF752" w14:textId="77777777" w:rsidR="00E15507" w:rsidRPr="00373085" w:rsidRDefault="00E15507" w:rsidP="00373085">
      <w:pPr>
        <w:numPr>
          <w:ilvl w:val="0"/>
          <w:numId w:val="1"/>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C++</w:t>
      </w:r>
    </w:p>
    <w:p w14:paraId="2F22F40F" w14:textId="77777777" w:rsidR="00E15507" w:rsidRPr="00373085" w:rsidRDefault="00E15507" w:rsidP="00373085">
      <w:pPr>
        <w:numPr>
          <w:ilvl w:val="0"/>
          <w:numId w:val="1"/>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C#</w:t>
      </w:r>
    </w:p>
    <w:p w14:paraId="6AF9B33F" w14:textId="77777777" w:rsidR="00E15507" w:rsidRPr="00373085" w:rsidRDefault="00E15507" w:rsidP="00373085">
      <w:pPr>
        <w:numPr>
          <w:ilvl w:val="0"/>
          <w:numId w:val="1"/>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JavaScript</w:t>
      </w:r>
    </w:p>
    <w:p w14:paraId="085E62E3" w14:textId="77777777" w:rsidR="00E15507" w:rsidRPr="00373085" w:rsidRDefault="00E15507" w:rsidP="00373085">
      <w:pPr>
        <w:numPr>
          <w:ilvl w:val="0"/>
          <w:numId w:val="1"/>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1С</w:t>
      </w:r>
    </w:p>
    <w:p w14:paraId="280460A1" w14:textId="77777777" w:rsidR="00E15507" w:rsidRPr="00373085" w:rsidRDefault="00E15507" w:rsidP="00373085">
      <w:pPr>
        <w:numPr>
          <w:ilvl w:val="0"/>
          <w:numId w:val="1"/>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и другие. </w:t>
      </w:r>
    </w:p>
    <w:p w14:paraId="4AFBC2E0" w14:textId="77777777" w:rsidR="00E15507" w:rsidRPr="00373085" w:rsidRDefault="00E15507" w:rsidP="00373085">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Курсы состоят из 4-х учебных модулей, обучение проходит в онлайн-формате. В зависимости от уровня своей ИТ-подготовки участники могут выбрать одну из трех программ – начальную, базовую, продвинутую. </w:t>
      </w:r>
    </w:p>
    <w:p w14:paraId="376FE2AB" w14:textId="77777777" w:rsidR="00E15507" w:rsidRPr="00373085" w:rsidRDefault="00E15507" w:rsidP="00373085">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 xml:space="preserve">В каталоге на госуслугах доступно несколько языков программирования и перечень организаций, которые будут проводить обучение. В их числе </w:t>
      </w:r>
      <w:proofErr w:type="gramStart"/>
      <w:r w:rsidRPr="00373085">
        <w:rPr>
          <w:rFonts w:ascii="Times New Roman" w:eastAsia="Times New Roman" w:hAnsi="Times New Roman" w:cs="Times New Roman"/>
          <w:color w:val="333333"/>
        </w:rPr>
        <w:t>–  Яндекс</w:t>
      </w:r>
      <w:proofErr w:type="gramEnd"/>
      <w:r w:rsidRPr="00373085">
        <w:rPr>
          <w:rFonts w:ascii="Times New Roman" w:eastAsia="Times New Roman" w:hAnsi="Times New Roman" w:cs="Times New Roman"/>
          <w:color w:val="333333"/>
        </w:rPr>
        <w:t>, 1С, МЭО, МГТУ им. Н.Э.Баумана, Университета Иннополис, МФТИ и другие ведущие ИТ-компании и вузы.</w:t>
      </w:r>
    </w:p>
    <w:p w14:paraId="5A57850C" w14:textId="77777777" w:rsidR="00E15507" w:rsidRPr="00373085" w:rsidRDefault="00E15507" w:rsidP="00373085">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Чтобы приступить к занятиям, нужно пройти тестирование, уточняется на сайте Минцифры России. </w:t>
      </w:r>
    </w:p>
    <w:p w14:paraId="6A980FC6" w14:textId="77777777" w:rsidR="00E15507" w:rsidRPr="00373085" w:rsidRDefault="00E15507" w:rsidP="00373085">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Напомним, "Код будущего" стартовал в 2022 году. Обучение в этом потоке прошли более 100 тыс. школьников 8-11 классов. В прошлом году возможность обучаться появилась также у студентов колледжей — всего к занятиям приступили более 140 тыс. человек.</w:t>
      </w:r>
    </w:p>
    <w:p w14:paraId="66A206C7" w14:textId="5AAEBE5B" w:rsidR="00E15507" w:rsidRDefault="00E15507" w:rsidP="00373085">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lastRenderedPageBreak/>
        <w:t>Профессия программиста остается одной из самых востребованных в России. Для поддержки специалистов отрасли действует программа </w:t>
      </w:r>
      <w:hyperlink r:id="rId7" w:history="1">
        <w:r w:rsidRPr="00373085">
          <w:rPr>
            <w:rFonts w:ascii="Times New Roman" w:eastAsia="Times New Roman" w:hAnsi="Times New Roman" w:cs="Times New Roman"/>
            <w:color w:val="808080"/>
            <w:u w:val="single"/>
            <w:bdr w:val="none" w:sz="0" w:space="0" w:color="auto" w:frame="1"/>
          </w:rPr>
          <w:t>льготной ипотеки</w:t>
        </w:r>
      </w:hyperlink>
      <w:r w:rsidRPr="00373085">
        <w:rPr>
          <w:rFonts w:ascii="Times New Roman" w:eastAsia="Times New Roman" w:hAnsi="Times New Roman" w:cs="Times New Roman"/>
          <w:color w:val="333333"/>
        </w:rPr>
        <w:t>, работники ИТ-компаний могут получить </w:t>
      </w:r>
      <w:hyperlink r:id="rId8" w:history="1">
        <w:r w:rsidRPr="00373085">
          <w:rPr>
            <w:rFonts w:ascii="Times New Roman" w:eastAsia="Times New Roman" w:hAnsi="Times New Roman" w:cs="Times New Roman"/>
            <w:color w:val="808080"/>
            <w:u w:val="single"/>
            <w:bdr w:val="none" w:sz="0" w:space="0" w:color="auto" w:frame="1"/>
          </w:rPr>
          <w:t>отсрочку от службы в армии</w:t>
        </w:r>
      </w:hyperlink>
      <w:r w:rsidRPr="00373085">
        <w:rPr>
          <w:rFonts w:ascii="Times New Roman" w:eastAsia="Times New Roman" w:hAnsi="Times New Roman" w:cs="Times New Roman"/>
          <w:color w:val="333333"/>
        </w:rPr>
        <w:t> и другие льготы.</w:t>
      </w:r>
    </w:p>
    <w:p w14:paraId="7CC98478" w14:textId="77777777" w:rsidR="00373085" w:rsidRPr="00373085" w:rsidRDefault="00373085" w:rsidP="00373085">
      <w:pPr>
        <w:shd w:val="clear" w:color="auto" w:fill="FFFFFF"/>
        <w:spacing w:line="270" w:lineRule="atLeast"/>
        <w:ind w:firstLine="510"/>
        <w:jc w:val="both"/>
        <w:rPr>
          <w:rFonts w:ascii="Times New Roman" w:eastAsia="Times New Roman" w:hAnsi="Times New Roman" w:cs="Times New Roman"/>
          <w:color w:val="333333"/>
        </w:rPr>
      </w:pPr>
    </w:p>
    <w:p w14:paraId="4910D13D" w14:textId="77777777" w:rsidR="00373085" w:rsidRDefault="00E15507" w:rsidP="00373085">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 xml:space="preserve">С 17 февраля 2024 года изменится порядок допуска должностных лиц и граждан </w:t>
      </w:r>
    </w:p>
    <w:p w14:paraId="4D16BECD" w14:textId="59EBE082" w:rsidR="00E15507" w:rsidRPr="00373085" w:rsidRDefault="00E15507" w:rsidP="00373085">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к гостайне</w:t>
      </w:r>
    </w:p>
    <w:p w14:paraId="7CA29696" w14:textId="35866D45" w:rsidR="00E15507" w:rsidRPr="00373085" w:rsidRDefault="00E15507" w:rsidP="00373085">
      <w:pPr>
        <w:shd w:val="clear" w:color="auto" w:fill="FFFFFF"/>
        <w:jc w:val="both"/>
        <w:rPr>
          <w:rFonts w:ascii="Times New Roman" w:eastAsia="Times New Roman" w:hAnsi="Times New Roman" w:cs="Times New Roman"/>
          <w:color w:val="333333"/>
        </w:rPr>
      </w:pPr>
    </w:p>
    <w:tbl>
      <w:tblPr>
        <w:tblpPr w:leftFromText="45" w:rightFromText="45" w:vertAnchor="text" w:tblpXSpec="right" w:tblpYSpec="center"/>
        <w:tblW w:w="3150" w:type="dxa"/>
        <w:shd w:val="clear" w:color="auto" w:fill="FFFFFF"/>
        <w:tblCellMar>
          <w:top w:w="12" w:type="dxa"/>
          <w:left w:w="12" w:type="dxa"/>
          <w:bottom w:w="12" w:type="dxa"/>
          <w:right w:w="12" w:type="dxa"/>
        </w:tblCellMar>
        <w:tblLook w:val="04A0" w:firstRow="1" w:lastRow="0" w:firstColumn="1" w:lastColumn="0" w:noHBand="0" w:noVBand="1"/>
      </w:tblPr>
      <w:tblGrid>
        <w:gridCol w:w="3150"/>
      </w:tblGrid>
      <w:tr w:rsidR="00E15507" w:rsidRPr="00373085" w14:paraId="074DB048" w14:textId="77777777" w:rsidTr="00E15507">
        <w:tc>
          <w:tcPr>
            <w:tcW w:w="0" w:type="auto"/>
            <w:shd w:val="clear" w:color="auto" w:fill="FFFFFF"/>
            <w:hideMark/>
          </w:tcPr>
          <w:p w14:paraId="0477E9B6" w14:textId="7EAE4B51" w:rsidR="00E15507" w:rsidRPr="00373085" w:rsidRDefault="00E15507" w:rsidP="00373085">
            <w:pPr>
              <w:jc w:val="both"/>
              <w:rPr>
                <w:rFonts w:ascii="Times New Roman" w:eastAsia="Times New Roman" w:hAnsi="Times New Roman" w:cs="Times New Roman"/>
                <w:color w:val="333333"/>
              </w:rPr>
            </w:pPr>
          </w:p>
        </w:tc>
      </w:tr>
      <w:tr w:rsidR="00E15507" w:rsidRPr="00373085" w14:paraId="542DE86A" w14:textId="77777777" w:rsidTr="00E15507">
        <w:tc>
          <w:tcPr>
            <w:tcW w:w="0" w:type="auto"/>
            <w:shd w:val="clear" w:color="auto" w:fill="FFFFFF"/>
            <w:hideMark/>
          </w:tcPr>
          <w:p w14:paraId="4A70605F" w14:textId="00BB01B5" w:rsidR="00E15507" w:rsidRPr="00373085" w:rsidRDefault="00E15507" w:rsidP="00373085">
            <w:pPr>
              <w:jc w:val="both"/>
              <w:rPr>
                <w:rFonts w:ascii="Times New Roman" w:eastAsia="Times New Roman" w:hAnsi="Times New Roman" w:cs="Times New Roman"/>
                <w:i/>
                <w:iCs/>
                <w:color w:val="333333"/>
              </w:rPr>
            </w:pPr>
          </w:p>
        </w:tc>
      </w:tr>
    </w:tbl>
    <w:p w14:paraId="2371DA3A" w14:textId="77777777" w:rsidR="00373085" w:rsidRDefault="00373085" w:rsidP="00373085">
      <w:pPr>
        <w:shd w:val="clear" w:color="auto" w:fill="FFFFFF"/>
        <w:spacing w:after="255" w:line="270" w:lineRule="atLeast"/>
        <w:jc w:val="both"/>
        <w:rPr>
          <w:rFonts w:ascii="Times New Roman" w:eastAsia="Times New Roman" w:hAnsi="Times New Roman" w:cs="Times New Roman"/>
          <w:color w:val="333333"/>
        </w:rPr>
      </w:pPr>
    </w:p>
    <w:p w14:paraId="003A046D" w14:textId="61CDA3F5" w:rsidR="00E15507" w:rsidRPr="00373085" w:rsidRDefault="00E15507" w:rsidP="00373085">
      <w:pPr>
        <w:shd w:val="clear" w:color="auto" w:fill="FFFFFF"/>
        <w:spacing w:after="255" w:line="270" w:lineRule="atLeast"/>
        <w:ind w:firstLine="708"/>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С этой даты вступят в силу новые правила допуска. Они заменят</w:t>
      </w:r>
      <w:hyperlink r:id="rId9" w:anchor="block_1000" w:history="1">
        <w:r w:rsidRPr="00373085">
          <w:rPr>
            <w:rFonts w:ascii="Times New Roman" w:eastAsia="Times New Roman" w:hAnsi="Times New Roman" w:cs="Times New Roman"/>
            <w:color w:val="808080"/>
            <w:u w:val="single"/>
            <w:bdr w:val="none" w:sz="0" w:space="0" w:color="auto" w:frame="1"/>
          </w:rPr>
          <w:t> Инструкцию 2010 г</w:t>
        </w:r>
      </w:hyperlink>
      <w:r w:rsidRPr="00373085">
        <w:rPr>
          <w:rFonts w:ascii="Times New Roman" w:eastAsia="Times New Roman" w:hAnsi="Times New Roman" w:cs="Times New Roman"/>
          <w:color w:val="333333"/>
        </w:rPr>
        <w:t>., в настоящее время регулирующую аналогичные правоотношения (</w:t>
      </w:r>
      <w:hyperlink r:id="rId10" w:history="1">
        <w:r w:rsidRPr="00373085">
          <w:rPr>
            <w:rFonts w:ascii="Times New Roman" w:eastAsia="Times New Roman" w:hAnsi="Times New Roman" w:cs="Times New Roman"/>
            <w:color w:val="808080"/>
            <w:u w:val="single"/>
            <w:bdr w:val="none" w:sz="0" w:space="0" w:color="auto" w:frame="1"/>
          </w:rPr>
          <w:t>Постановление Правительства РФ от 7 февраля 2024 г. № 132</w:t>
        </w:r>
      </w:hyperlink>
      <w:r w:rsidRPr="00373085">
        <w:rPr>
          <w:rFonts w:ascii="Times New Roman" w:eastAsia="Times New Roman" w:hAnsi="Times New Roman" w:cs="Times New Roman"/>
          <w:color w:val="333333"/>
        </w:rPr>
        <w:t>).</w:t>
      </w:r>
    </w:p>
    <w:p w14:paraId="4CC87BE0" w14:textId="77777777" w:rsidR="00E15507" w:rsidRPr="00373085" w:rsidRDefault="00E15507" w:rsidP="00373085">
      <w:pPr>
        <w:shd w:val="clear" w:color="auto" w:fill="FFFFFF"/>
        <w:spacing w:after="255" w:line="270" w:lineRule="atLeast"/>
        <w:jc w:val="both"/>
        <w:outlineLvl w:val="2"/>
        <w:rPr>
          <w:rFonts w:ascii="Times New Roman" w:eastAsia="Times New Roman" w:hAnsi="Times New Roman" w:cs="Times New Roman"/>
          <w:b/>
          <w:bCs/>
          <w:color w:val="4D4D4D"/>
        </w:rPr>
      </w:pPr>
      <w:r w:rsidRPr="00373085">
        <w:rPr>
          <w:rFonts w:ascii="Times New Roman" w:eastAsia="Times New Roman" w:hAnsi="Times New Roman" w:cs="Times New Roman"/>
          <w:b/>
          <w:bCs/>
          <w:color w:val="4D4D4D"/>
        </w:rPr>
        <w:t>Правилами определены:</w:t>
      </w:r>
    </w:p>
    <w:p w14:paraId="424515A5" w14:textId="77777777" w:rsidR="00E15507" w:rsidRPr="00373085" w:rsidRDefault="00E15507" w:rsidP="00B561E7">
      <w:pPr>
        <w:numPr>
          <w:ilvl w:val="0"/>
          <w:numId w:val="2"/>
        </w:numPr>
        <w:shd w:val="clear" w:color="auto" w:fill="FFFFFF"/>
        <w:tabs>
          <w:tab w:val="clear" w:pos="720"/>
        </w:tabs>
        <w:spacing w:line="270" w:lineRule="atLeast"/>
        <w:ind w:left="851"/>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порядок оформления, переоформления, прекращения допуска должностных лиц и граждан РФ к государственной тайне,</w:t>
      </w:r>
    </w:p>
    <w:p w14:paraId="6F5C37ED" w14:textId="77777777" w:rsidR="00E15507" w:rsidRPr="00373085" w:rsidRDefault="00EB31BF" w:rsidP="00373085">
      <w:pPr>
        <w:numPr>
          <w:ilvl w:val="0"/>
          <w:numId w:val="2"/>
        </w:numPr>
        <w:shd w:val="clear" w:color="auto" w:fill="FFFFFF"/>
        <w:spacing w:before="60" w:line="270" w:lineRule="atLeast"/>
        <w:ind w:left="870"/>
        <w:jc w:val="both"/>
        <w:rPr>
          <w:rFonts w:ascii="Times New Roman" w:eastAsia="Times New Roman" w:hAnsi="Times New Roman" w:cs="Times New Roman"/>
          <w:color w:val="333333"/>
        </w:rPr>
      </w:pPr>
      <w:hyperlink r:id="rId11" w:anchor="block_10000" w:history="1">
        <w:r w:rsidR="00E15507" w:rsidRPr="00373085">
          <w:rPr>
            <w:rFonts w:ascii="Times New Roman" w:eastAsia="Times New Roman" w:hAnsi="Times New Roman" w:cs="Times New Roman"/>
            <w:color w:val="808080"/>
            <w:u w:val="single"/>
            <w:bdr w:val="none" w:sz="0" w:space="0" w:color="auto" w:frame="1"/>
          </w:rPr>
          <w:t>формы</w:t>
        </w:r>
      </w:hyperlink>
      <w:r w:rsidR="00E15507" w:rsidRPr="00373085">
        <w:rPr>
          <w:rFonts w:ascii="Times New Roman" w:eastAsia="Times New Roman" w:hAnsi="Times New Roman" w:cs="Times New Roman"/>
          <w:color w:val="333333"/>
        </w:rPr>
        <w:t> учетной документации, необходимые для оформления такого допуска,</w:t>
      </w:r>
    </w:p>
    <w:p w14:paraId="3FDA68E6" w14:textId="77777777" w:rsidR="00E15507" w:rsidRPr="00373085" w:rsidRDefault="00E15507" w:rsidP="00373085">
      <w:pPr>
        <w:numPr>
          <w:ilvl w:val="0"/>
          <w:numId w:val="2"/>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порядок доступа граждан к сведениям, составляющим государственную тайну.</w:t>
      </w:r>
    </w:p>
    <w:p w14:paraId="38F70550" w14:textId="77777777" w:rsidR="00E15507" w:rsidRPr="00373085" w:rsidRDefault="00E15507" w:rsidP="00B561E7">
      <w:pPr>
        <w:shd w:val="clear" w:color="auto" w:fill="FFFFFF"/>
        <w:spacing w:after="255" w:line="270" w:lineRule="atLeast"/>
        <w:ind w:firstLine="510"/>
        <w:jc w:val="both"/>
        <w:outlineLvl w:val="2"/>
        <w:rPr>
          <w:rFonts w:ascii="Times New Roman" w:eastAsia="Times New Roman" w:hAnsi="Times New Roman" w:cs="Times New Roman"/>
          <w:b/>
          <w:bCs/>
          <w:color w:val="4D4D4D"/>
        </w:rPr>
      </w:pPr>
      <w:r w:rsidRPr="00373085">
        <w:rPr>
          <w:rFonts w:ascii="Times New Roman" w:eastAsia="Times New Roman" w:hAnsi="Times New Roman" w:cs="Times New Roman"/>
          <w:b/>
          <w:bCs/>
          <w:color w:val="4D4D4D"/>
        </w:rPr>
        <w:t>Форм допуска (в зависимости от степени секретности сведений, составляющих гостайну) предусмотрено по-прежнему три:</w:t>
      </w:r>
    </w:p>
    <w:p w14:paraId="7793AC05" w14:textId="77777777" w:rsidR="00E15507" w:rsidRPr="00373085" w:rsidRDefault="00E15507" w:rsidP="00373085">
      <w:pPr>
        <w:numPr>
          <w:ilvl w:val="0"/>
          <w:numId w:val="3"/>
        </w:numPr>
        <w:shd w:val="clear" w:color="auto" w:fill="FFFFFF"/>
        <w:spacing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первая - для граждан, допускаемых к сведениям особой важности;</w:t>
      </w:r>
    </w:p>
    <w:p w14:paraId="773B3379" w14:textId="77777777" w:rsidR="00E15507" w:rsidRPr="00373085" w:rsidRDefault="00E15507" w:rsidP="00373085">
      <w:pPr>
        <w:numPr>
          <w:ilvl w:val="0"/>
          <w:numId w:val="3"/>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вторая - для граждан, допускаемых к совершенно секретным сведениям;</w:t>
      </w:r>
    </w:p>
    <w:p w14:paraId="3532AC4F" w14:textId="77777777" w:rsidR="00E15507" w:rsidRPr="00373085" w:rsidRDefault="00E15507" w:rsidP="00373085">
      <w:pPr>
        <w:numPr>
          <w:ilvl w:val="0"/>
          <w:numId w:val="3"/>
        </w:numPr>
        <w:shd w:val="clear" w:color="auto" w:fill="FFFFFF"/>
        <w:spacing w:before="60" w:line="270" w:lineRule="atLeast"/>
        <w:ind w:left="87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третья - для граждан, допускаемых к секретным сведениям.</w:t>
      </w:r>
    </w:p>
    <w:p w14:paraId="74091635" w14:textId="77777777" w:rsidR="00E15507" w:rsidRPr="00373085" w:rsidRDefault="00E15507" w:rsidP="00B561E7">
      <w:pPr>
        <w:shd w:val="clear" w:color="auto" w:fill="FFFFFF"/>
        <w:spacing w:after="255"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Вместе с тем в новых Правилах уточнен </w:t>
      </w:r>
      <w:hyperlink r:id="rId12" w:anchor="block_1008" w:history="1">
        <w:r w:rsidRPr="00373085">
          <w:rPr>
            <w:rFonts w:ascii="Times New Roman" w:eastAsia="Times New Roman" w:hAnsi="Times New Roman" w:cs="Times New Roman"/>
            <w:color w:val="808080"/>
            <w:u w:val="single"/>
            <w:bdr w:val="none" w:sz="0" w:space="0" w:color="auto" w:frame="1"/>
          </w:rPr>
          <w:t>перечень</w:t>
        </w:r>
      </w:hyperlink>
      <w:r w:rsidRPr="00373085">
        <w:rPr>
          <w:rFonts w:ascii="Times New Roman" w:eastAsia="Times New Roman" w:hAnsi="Times New Roman" w:cs="Times New Roman"/>
          <w:color w:val="333333"/>
        </w:rPr>
        <w:t xml:space="preserve"> оснований для отказа гражданину в допуске к гостайне. К таковым дополнительно отнесены: включение в реестр иноагентов, нарушение требований законодательства РФ о гостайне и наличие у гражданина или его близких родственников гражданства (подданства) иностранного государства либо вида на </w:t>
      </w:r>
      <w:proofErr w:type="gramStart"/>
      <w:r w:rsidRPr="00373085">
        <w:rPr>
          <w:rFonts w:ascii="Times New Roman" w:eastAsia="Times New Roman" w:hAnsi="Times New Roman" w:cs="Times New Roman"/>
          <w:color w:val="333333"/>
        </w:rPr>
        <w:t>жительство</w:t>
      </w:r>
      <w:proofErr w:type="gramEnd"/>
      <w:r w:rsidRPr="00373085">
        <w:rPr>
          <w:rFonts w:ascii="Times New Roman" w:eastAsia="Times New Roman" w:hAnsi="Times New Roman" w:cs="Times New Roman"/>
          <w:color w:val="333333"/>
        </w:rPr>
        <w:t xml:space="preserve"> либо иного документа, подтверждающего право на постоянное проживание на территории иностранного государства.</w:t>
      </w:r>
    </w:p>
    <w:p w14:paraId="7BCCE0E0" w14:textId="77777777" w:rsidR="00B561E7" w:rsidRDefault="001D1513" w:rsidP="00B561E7">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 xml:space="preserve">Жильцов многоквартирных домов могут обязать </w:t>
      </w:r>
    </w:p>
    <w:p w14:paraId="29045BC1" w14:textId="3FD89C21" w:rsidR="001D1513" w:rsidRDefault="001D1513" w:rsidP="00B561E7">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пускать газовщиков для проверки</w:t>
      </w:r>
    </w:p>
    <w:p w14:paraId="73EA859C" w14:textId="77777777" w:rsidR="00B561E7" w:rsidRPr="00373085" w:rsidRDefault="00B561E7" w:rsidP="00B561E7">
      <w:pPr>
        <w:shd w:val="clear" w:color="auto" w:fill="FFFFFF"/>
        <w:jc w:val="center"/>
        <w:outlineLvl w:val="0"/>
        <w:rPr>
          <w:rFonts w:ascii="Times New Roman" w:eastAsia="Times New Roman" w:hAnsi="Times New Roman" w:cs="Times New Roman"/>
          <w:b/>
          <w:bCs/>
          <w:color w:val="4D4D4D"/>
          <w:kern w:val="36"/>
        </w:rPr>
      </w:pPr>
    </w:p>
    <w:p w14:paraId="040DFA8C"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Предоставлять доступ сотруднику специализированной организации к внутридомовому и (или) внутриквартирному газовому оборудованию для технического обслуживания предлагается обязать собственников и нанимателей жилых помещений. Их будут заранее уведомлять о посещениях квартир газовой службой, а порядок уведомлений установит Правительство РФ. </w:t>
      </w:r>
    </w:p>
    <w:p w14:paraId="27517C24"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Соответствующий законопроект</w:t>
      </w:r>
      <w:bookmarkStart w:id="0" w:name="sdfootnote1anc"/>
      <w:r w:rsidRPr="00373085">
        <w:rPr>
          <w:color w:val="333333"/>
          <w:vertAlign w:val="superscript"/>
        </w:rPr>
        <w:fldChar w:fldCharType="begin"/>
      </w:r>
      <w:r w:rsidRPr="00373085">
        <w:rPr>
          <w:color w:val="333333"/>
          <w:vertAlign w:val="superscript"/>
        </w:rPr>
        <w:instrText xml:space="preserve"> HYPERLINK "https://www.garant.ru/news/1682490/" \l "sdfootnote1sym" </w:instrText>
      </w:r>
      <w:r w:rsidRPr="00373085">
        <w:rPr>
          <w:color w:val="333333"/>
          <w:vertAlign w:val="superscript"/>
        </w:rPr>
        <w:fldChar w:fldCharType="separate"/>
      </w:r>
      <w:r w:rsidRPr="00373085">
        <w:rPr>
          <w:rStyle w:val="a4"/>
          <w:color w:val="808080"/>
          <w:bdr w:val="none" w:sz="0" w:space="0" w:color="auto" w:frame="1"/>
          <w:vertAlign w:val="superscript"/>
        </w:rPr>
        <w:t>1</w:t>
      </w:r>
      <w:r w:rsidRPr="00373085">
        <w:rPr>
          <w:color w:val="333333"/>
          <w:vertAlign w:val="superscript"/>
        </w:rPr>
        <w:fldChar w:fldCharType="end"/>
      </w:r>
      <w:bookmarkEnd w:id="0"/>
      <w:r w:rsidRPr="00373085">
        <w:rPr>
          <w:color w:val="333333"/>
          <w:vertAlign w:val="superscript"/>
        </w:rPr>
        <w:t> </w:t>
      </w:r>
      <w:r w:rsidRPr="00373085">
        <w:rPr>
          <w:color w:val="333333"/>
        </w:rPr>
        <w:t>опубликован на сайте Госдумы.</w:t>
      </w:r>
    </w:p>
    <w:p w14:paraId="7C143C27"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В случае отказа со стороны жильцов специализированные организации имеют право обратиться в суд. Документом предусмотрено ускоренное рассмотрение подобного заявления — 12-дневный срок со дня его поступления в суд. Изменения предлагается внести в законодательство о гражданском судопроизводстве.</w:t>
      </w:r>
    </w:p>
    <w:p w14:paraId="2F54A485"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"Отсутствие такого допуска хотя бы в одно из помещений многоквартирного дома создает угрозу жизни и здоровью для всех собственников (нанимателей) помещений многоквартирного дома", – указывается в пояснительной записке к документу. Предполагается, что изменения повысят безопасность использования внутридомового (внутриквартирного) газового оборудования.</w:t>
      </w:r>
    </w:p>
    <w:p w14:paraId="5D386200"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Напомним, что в конце 2023 года были </w:t>
      </w:r>
      <w:hyperlink r:id="rId13" w:history="1">
        <w:r w:rsidRPr="00373085">
          <w:rPr>
            <w:rStyle w:val="a4"/>
            <w:color w:val="808080"/>
            <w:bdr w:val="none" w:sz="0" w:space="0" w:color="auto" w:frame="1"/>
          </w:rPr>
          <w:t>разработаны</w:t>
        </w:r>
      </w:hyperlink>
      <w:r w:rsidRPr="00373085">
        <w:rPr>
          <w:color w:val="333333"/>
        </w:rPr>
        <w:t> поправки в КоАП, устанавливающие штрафы за недопуск газовщиков в квартиру до 10 тыс. руб.</w:t>
      </w:r>
    </w:p>
    <w:p w14:paraId="4817AC14" w14:textId="5714721D" w:rsidR="00312B91" w:rsidRPr="00373085" w:rsidRDefault="00312B91" w:rsidP="00373085">
      <w:pPr>
        <w:jc w:val="both"/>
        <w:rPr>
          <w:rFonts w:ascii="Times New Roman" w:hAnsi="Times New Roman" w:cs="Times New Roman"/>
        </w:rPr>
      </w:pPr>
    </w:p>
    <w:p w14:paraId="6A747DCF" w14:textId="77777777" w:rsidR="001D1513" w:rsidRPr="00373085" w:rsidRDefault="001D1513" w:rsidP="00B561E7">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Зарплату до 30 тыс. руб. предлагают освободить от НДФЛ</w:t>
      </w:r>
    </w:p>
    <w:p w14:paraId="2650DC1A"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На согласование в Правительство РФ поступил законопроект, предусматривающий поправки в налоговое законодательство в части расширения перечня доходов физлиц, освобождаемых от налогообложения. Проект подготовлен депутатами фракции ЛДПР, с текстом документа можно ознакомиться на официальном сайте партии (ldpr.ru/event/339736). Предполагается, что соответствующие поправки вступят в силу с 1 января 2025 года.</w:t>
      </w:r>
    </w:p>
    <w:p w14:paraId="0718A06C"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 xml:space="preserve">Согласно законопроекту </w:t>
      </w:r>
      <w:proofErr w:type="gramStart"/>
      <w:r w:rsidRPr="00373085">
        <w:rPr>
          <w:color w:val="333333"/>
        </w:rPr>
        <w:t>от НДФЛ</w:t>
      </w:r>
      <w:proofErr w:type="gramEnd"/>
      <w:r w:rsidRPr="00373085">
        <w:rPr>
          <w:color w:val="333333"/>
        </w:rPr>
        <w:t xml:space="preserve"> предлагается освободить доходы в виде оплаты труда работника в размере, не превышающем 30 тыс. руб. за календарный месяц, при условии, что сумма всех доходов такого налогоплательщика за налоговый период составляет не более 360 тыс. руб.</w:t>
      </w:r>
    </w:p>
    <w:p w14:paraId="56CF13F1"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Как указывается в пояснительной записке к законопроекту, освобождение вышеуказанного размера зарплаты от НДФЛ станет ощутимой мерой поддержки для малообеспеченных граждан. Снижение налоговой нагрузки для этой категории граждан позволит им увеличить их фактический доход и улучшить уровень жизни. Являясь более чем в два раза ниже среднемесячной зарплатой по стране (66 778 руб.), она, тем не менее, будет почти в 1,5 раза превышать размер МРОТ (с 1 января 2024 года МРОТ составил 19 242 руб. в месяц).</w:t>
      </w:r>
    </w:p>
    <w:p w14:paraId="613CF40B" w14:textId="339D4B76" w:rsidR="001D1513"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Напомним, ранее аналогичный </w:t>
      </w:r>
      <w:hyperlink r:id="rId14" w:history="1">
        <w:r w:rsidRPr="00373085">
          <w:rPr>
            <w:rStyle w:val="a4"/>
            <w:color w:val="808080"/>
            <w:bdr w:val="none" w:sz="0" w:space="0" w:color="auto" w:frame="1"/>
          </w:rPr>
          <w:t>законопроект</w:t>
        </w:r>
      </w:hyperlink>
      <w:r w:rsidRPr="00373085">
        <w:rPr>
          <w:color w:val="333333"/>
        </w:rPr>
        <w:t> уже вносился в Госдуму, но в начале этого года был отклонен. Как указало Правительство РФ снижение налоговой нагрузки по НДФЛ в настоящее время достигается посредством применения различных видов налоговых вычетов (стандартные, социальные, имущественные, инвестиционный), которые позволяют уменьшить налогооблагаемый доход вплоть до нуля, а также путем освобождения от налогообложения широкого перечня доходов (</w:t>
      </w:r>
      <w:hyperlink r:id="rId15" w:history="1">
        <w:r w:rsidRPr="00373085">
          <w:rPr>
            <w:rStyle w:val="a4"/>
            <w:color w:val="808080"/>
            <w:bdr w:val="none" w:sz="0" w:space="0" w:color="auto" w:frame="1"/>
          </w:rPr>
          <w:t>письмо Правительства РФ от 21 сентября 2023 г. № 9782-П13</w:t>
        </w:r>
      </w:hyperlink>
      <w:r w:rsidRPr="00373085">
        <w:rPr>
          <w:color w:val="333333"/>
        </w:rPr>
        <w:t>).</w:t>
      </w:r>
    </w:p>
    <w:p w14:paraId="3464C71C" w14:textId="77777777" w:rsidR="00B561E7" w:rsidRPr="00373085" w:rsidRDefault="00B561E7" w:rsidP="00B561E7">
      <w:pPr>
        <w:pStyle w:val="a3"/>
        <w:shd w:val="clear" w:color="auto" w:fill="FFFFFF"/>
        <w:spacing w:before="0" w:beforeAutospacing="0" w:after="0" w:afterAutospacing="0" w:line="270" w:lineRule="atLeast"/>
        <w:ind w:firstLine="708"/>
        <w:jc w:val="both"/>
        <w:rPr>
          <w:color w:val="333333"/>
        </w:rPr>
      </w:pPr>
    </w:p>
    <w:p w14:paraId="412C425C" w14:textId="77777777" w:rsidR="00B561E7" w:rsidRDefault="001D1513" w:rsidP="00B561E7">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С госслужащими-участниками СВО теперь нельзя расторгать</w:t>
      </w:r>
    </w:p>
    <w:p w14:paraId="40B8D6D1" w14:textId="19373D77" w:rsidR="001D1513" w:rsidRDefault="001D1513" w:rsidP="00B561E7">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 xml:space="preserve"> срочные контракты</w:t>
      </w:r>
    </w:p>
    <w:p w14:paraId="773DABDC" w14:textId="77777777" w:rsidR="00B561E7" w:rsidRPr="00373085" w:rsidRDefault="00B561E7" w:rsidP="00B561E7">
      <w:pPr>
        <w:shd w:val="clear" w:color="auto" w:fill="FFFFFF"/>
        <w:jc w:val="center"/>
        <w:outlineLvl w:val="0"/>
        <w:rPr>
          <w:rFonts w:ascii="Times New Roman" w:eastAsia="Times New Roman" w:hAnsi="Times New Roman" w:cs="Times New Roman"/>
          <w:b/>
          <w:bCs/>
          <w:color w:val="4D4D4D"/>
          <w:kern w:val="36"/>
        </w:rPr>
      </w:pPr>
    </w:p>
    <w:p w14:paraId="2744E757"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Подписан закон о трудовых гарантиях госслужащих, призванных на военную службу по мобилизации, а также заключивших контракт о прохождении военной службы либо о добровольном содействии в выполнении задач, возложенных на Вооруженные Силы или войска нацгвардии. Нанимателям запрещено расторгать с ними срочные контракты. Течение срока действия такого контракта приостанавливается до завершения военной службы. Это не касается случаев, когда контракт заключен на время выполнения определенного задания либо на период замещения отсутствующего госслужащего (</w:t>
      </w:r>
      <w:hyperlink r:id="rId16" w:history="1">
        <w:r w:rsidRPr="00373085">
          <w:rPr>
            <w:rStyle w:val="a4"/>
            <w:color w:val="808080"/>
            <w:bdr w:val="none" w:sz="0" w:space="0" w:color="auto" w:frame="1"/>
          </w:rPr>
          <w:t>Федеральный закон от 14 февраля 2024 г. № 10-ФЗ</w:t>
        </w:r>
      </w:hyperlink>
      <w:r w:rsidRPr="00373085">
        <w:rPr>
          <w:color w:val="333333"/>
        </w:rPr>
        <w:t>).</w:t>
      </w:r>
    </w:p>
    <w:p w14:paraId="196BB678" w14:textId="3ED802DE"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Закон вступ</w:t>
      </w:r>
      <w:r w:rsidR="00B561E7">
        <w:rPr>
          <w:color w:val="333333"/>
        </w:rPr>
        <w:t>ил</w:t>
      </w:r>
      <w:r w:rsidRPr="00373085">
        <w:rPr>
          <w:color w:val="333333"/>
        </w:rPr>
        <w:t xml:space="preserve"> в силу с 14 февраля 2024 г. и распространяется на правоотношения, возникшие с 21 сентября 2022 г.</w:t>
      </w:r>
    </w:p>
    <w:p w14:paraId="7E637FD2" w14:textId="77777777" w:rsidR="001D1513" w:rsidRPr="00373085" w:rsidRDefault="001D1513" w:rsidP="00B561E7">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С этого года можно получить налоговый вычет на обучение супруга</w:t>
      </w:r>
    </w:p>
    <w:p w14:paraId="6594FE13"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ФНС России на своем официальном сайте рассказала о том, как получить вычет по НДФЛ за расходы на обучение супруга. Напомним, что такая возможность появилась с 1 января 2024 года (</w:t>
      </w:r>
      <w:hyperlink r:id="rId17" w:anchor="block_2191" w:history="1">
        <w:r w:rsidRPr="00373085">
          <w:rPr>
            <w:rStyle w:val="a4"/>
            <w:color w:val="808080"/>
            <w:bdr w:val="none" w:sz="0" w:space="0" w:color="auto" w:frame="1"/>
          </w:rPr>
          <w:t>подп. 2 п. 1 ст. 219 Налогового кодекса</w:t>
        </w:r>
      </w:hyperlink>
      <w:r w:rsidRPr="00373085">
        <w:rPr>
          <w:color w:val="333333"/>
        </w:rPr>
        <w:t>). Вычет предоставляется в размере 13% от затрат на обучения мужа или жены налогоплательщика, произведенных начиная с 2024 года. За предыдущие периоды этот вычет не предоставляется.</w:t>
      </w:r>
    </w:p>
    <w:p w14:paraId="1FE4148B"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 xml:space="preserve">С этого года была проиндексирована максимальная сумма социального вычета – с 2024 года она составляет 13% от 150 тыс. руб., то есть налогоплательщик может вернуть себе не более 19 500 руб. Сюда входят траты не только на обучение (свое и супруга), но и </w:t>
      </w:r>
      <w:r w:rsidRPr="00373085">
        <w:rPr>
          <w:color w:val="333333"/>
        </w:rPr>
        <w:lastRenderedPageBreak/>
        <w:t>на лечение, фитнес, добровольное медицинское, пенсионное страхование и страхование жизни. Как поясняет налоговая служба, если в 2024 году муж оплатил обучение жены на 200 тыс. руб. и купил себе абонемент в фитнес за 50 тыс. руб., то максимальная сумма налога, который вернут из бюджета, все равно составит 19 500 руб.</w:t>
      </w:r>
    </w:p>
    <w:p w14:paraId="0BF4D2B8"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При этом ФНС России отмечает, что для тех, кто получает более высокую зарплату (если годовой доход превышает 5 млн руб.), размер налогового вычета больше – до 22 500 руб. Это происходит из-за повышенной ставки НДФЛ 15 % (</w:t>
      </w:r>
      <w:hyperlink r:id="rId18" w:anchor="block_2241" w:history="1">
        <w:r w:rsidRPr="00373085">
          <w:rPr>
            <w:rStyle w:val="a4"/>
            <w:color w:val="808080"/>
            <w:bdr w:val="none" w:sz="0" w:space="0" w:color="auto" w:frame="1"/>
          </w:rPr>
          <w:t>п. 1 ст. 224 НК РФ</w:t>
        </w:r>
      </w:hyperlink>
      <w:r w:rsidRPr="00373085">
        <w:rPr>
          <w:color w:val="333333"/>
        </w:rPr>
        <w:t>).</w:t>
      </w:r>
    </w:p>
    <w:p w14:paraId="4A44957D"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Вычет она обучение супруга можно получить уже в 2024 году. Для этого необходимо обратиться в налоговый орган за уведомлением, после чего передать его работодателю. Из зарплаты не будут удерживать НДФЛ, пока налогоплательщик не получит всю сумму вычета. При этом стоит учесть, что если работодатель применяет спецрежим АУСН, то он не сможет предоставить социальный вычет (</w:t>
      </w:r>
      <w:hyperlink r:id="rId19" w:anchor="block_1701" w:history="1">
        <w:r w:rsidRPr="00373085">
          <w:rPr>
            <w:rStyle w:val="a4"/>
            <w:color w:val="808080"/>
            <w:bdr w:val="none" w:sz="0" w:space="0" w:color="auto" w:frame="1"/>
          </w:rPr>
          <w:t>ч. 1 ст. 17 Федерального закона от 25 февраля 2022 г. № 17-ФЗ</w:t>
        </w:r>
      </w:hyperlink>
      <w:r w:rsidRPr="00373085">
        <w:rPr>
          <w:color w:val="333333"/>
        </w:rPr>
        <w:t>). В этом случае налогоплательщики могут получить вычет стандартным образом – подав декларацию по форме 3-НДФЛ в 2025 году.</w:t>
      </w:r>
    </w:p>
    <w:p w14:paraId="20F98AEA" w14:textId="77777777" w:rsidR="001D1513" w:rsidRPr="00373085" w:rsidRDefault="001D1513" w:rsidP="00B561E7">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Ключевая ставка сохранена на уровне 16% годовых</w:t>
      </w:r>
    </w:p>
    <w:p w14:paraId="4EB67A2B"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На сегодняшнем заседании, посвященном денежно-кредитной политике, Совет директоров Банка России рассмотрел вопрос об уровне ключевой ставки. Было </w:t>
      </w:r>
      <w:hyperlink r:id="rId20" w:history="1">
        <w:r w:rsidRPr="00373085">
          <w:rPr>
            <w:rStyle w:val="a4"/>
            <w:color w:val="808080"/>
            <w:bdr w:val="none" w:sz="0" w:space="0" w:color="auto" w:frame="1"/>
          </w:rPr>
          <w:t>принято решение</w:t>
        </w:r>
      </w:hyperlink>
      <w:r w:rsidRPr="00373085">
        <w:rPr>
          <w:color w:val="333333"/>
        </w:rPr>
        <w:t> сохранить ее на уровне 16% годовых</w:t>
      </w:r>
      <w:hyperlink r:id="rId21" w:anchor="sdfootnote1sym" w:history="1">
        <w:r w:rsidRPr="00373085">
          <w:rPr>
            <w:rStyle w:val="a4"/>
            <w:color w:val="808080"/>
            <w:bdr w:val="none" w:sz="0" w:space="0" w:color="auto" w:frame="1"/>
            <w:vertAlign w:val="superscript"/>
          </w:rPr>
          <w:t>1</w:t>
        </w:r>
      </w:hyperlink>
      <w:r w:rsidRPr="00373085">
        <w:rPr>
          <w:color w:val="333333"/>
        </w:rPr>
        <w:t>.</w:t>
      </w:r>
    </w:p>
    <w:p w14:paraId="4979A241"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Отметим, до этого размер ставки неоднократно увеличивали – с 7,5% в июле до 16% в декабре 2023 года.</w:t>
      </w:r>
    </w:p>
    <w:p w14:paraId="5A528143"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Согласно прогнозу Банка России, c учетом проводимой денежно-кредитной политики годовая инфляция снизится до 4-4,5% в 2024 году и будет находиться вблизи 4% в дальнейшем.</w:t>
      </w:r>
    </w:p>
    <w:p w14:paraId="2A35C587"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"Возвращение инфляции к цели в 2024 году и ее дальнейшая стабилизация вблизи 4% предполагают продолжительный период поддержания жестких денежно-кредитных условий в экономике", – подчеркивается в пресс-релизе.</w:t>
      </w:r>
    </w:p>
    <w:p w14:paraId="6BE78BE1" w14:textId="77777777" w:rsidR="001D1513" w:rsidRPr="00373085" w:rsidRDefault="001D1513" w:rsidP="00B561E7">
      <w:pPr>
        <w:pStyle w:val="a3"/>
        <w:shd w:val="clear" w:color="auto" w:fill="FFFFFF"/>
        <w:spacing w:before="0" w:beforeAutospacing="0" w:after="0" w:afterAutospacing="0" w:line="270" w:lineRule="atLeast"/>
        <w:ind w:firstLine="708"/>
        <w:jc w:val="both"/>
        <w:rPr>
          <w:color w:val="333333"/>
        </w:rPr>
      </w:pPr>
      <w:r w:rsidRPr="00373085">
        <w:rPr>
          <w:color w:val="333333"/>
        </w:rPr>
        <w:t>Проследить динамику изменения размера ставки можно в нашей </w:t>
      </w:r>
      <w:hyperlink r:id="rId22" w:history="1">
        <w:r w:rsidRPr="00373085">
          <w:rPr>
            <w:rStyle w:val="a4"/>
            <w:color w:val="808080"/>
            <w:bdr w:val="none" w:sz="0" w:space="0" w:color="auto" w:frame="1"/>
          </w:rPr>
          <w:t>бизнес-справке</w:t>
        </w:r>
      </w:hyperlink>
      <w:r w:rsidRPr="00373085">
        <w:rPr>
          <w:color w:val="333333"/>
        </w:rPr>
        <w:t>.</w:t>
      </w:r>
    </w:p>
    <w:p w14:paraId="2CEE2DA7" w14:textId="69B8B9B5" w:rsidR="001D1513" w:rsidRDefault="001D1513" w:rsidP="00B561E7">
      <w:pPr>
        <w:pStyle w:val="a3"/>
        <w:shd w:val="clear" w:color="auto" w:fill="FFFFFF"/>
        <w:spacing w:before="0" w:beforeAutospacing="0" w:after="0" w:afterAutospacing="0" w:line="270" w:lineRule="atLeast"/>
        <w:jc w:val="both"/>
        <w:rPr>
          <w:color w:val="333333"/>
        </w:rPr>
      </w:pPr>
      <w:r w:rsidRPr="00373085">
        <w:rPr>
          <w:color w:val="333333"/>
        </w:rPr>
        <w:t>Следующее заседание по вопросу изменения размера ключевой ставки запланировано на 22 марта 2024 года.</w:t>
      </w:r>
    </w:p>
    <w:p w14:paraId="6EB93CAD" w14:textId="77777777" w:rsidR="00B561E7" w:rsidRPr="00373085" w:rsidRDefault="00B561E7" w:rsidP="00B561E7">
      <w:pPr>
        <w:pStyle w:val="a3"/>
        <w:shd w:val="clear" w:color="auto" w:fill="FFFFFF"/>
        <w:spacing w:before="0" w:beforeAutospacing="0" w:after="0" w:afterAutospacing="0" w:line="270" w:lineRule="atLeast"/>
        <w:jc w:val="both"/>
        <w:rPr>
          <w:color w:val="333333"/>
        </w:rPr>
      </w:pPr>
    </w:p>
    <w:p w14:paraId="5D486588" w14:textId="5359B694" w:rsidR="001D1513" w:rsidRDefault="001D1513" w:rsidP="00B561E7">
      <w:pPr>
        <w:shd w:val="clear" w:color="auto" w:fill="FFFFFF"/>
        <w:jc w:val="center"/>
        <w:outlineLvl w:val="0"/>
        <w:rPr>
          <w:rFonts w:ascii="Times New Roman" w:eastAsia="Times New Roman" w:hAnsi="Times New Roman" w:cs="Times New Roman"/>
          <w:b/>
          <w:bCs/>
          <w:color w:val="4D4D4D"/>
          <w:kern w:val="36"/>
        </w:rPr>
      </w:pPr>
      <w:r w:rsidRPr="00373085">
        <w:rPr>
          <w:rFonts w:ascii="Times New Roman" w:eastAsia="Times New Roman" w:hAnsi="Times New Roman" w:cs="Times New Roman"/>
          <w:b/>
          <w:bCs/>
          <w:color w:val="4D4D4D"/>
          <w:kern w:val="36"/>
        </w:rPr>
        <w:t>Дополнительного выходного не будет: Госдума отклонила законопроекты об освобождении от работы в День знаний</w:t>
      </w:r>
    </w:p>
    <w:p w14:paraId="33BE1DD0" w14:textId="77777777" w:rsidR="00B561E7" w:rsidRPr="00373085" w:rsidRDefault="00B561E7" w:rsidP="00B561E7">
      <w:pPr>
        <w:shd w:val="clear" w:color="auto" w:fill="FFFFFF"/>
        <w:jc w:val="center"/>
        <w:outlineLvl w:val="0"/>
        <w:rPr>
          <w:rFonts w:ascii="Times New Roman" w:eastAsia="Times New Roman" w:hAnsi="Times New Roman" w:cs="Times New Roman"/>
          <w:b/>
          <w:bCs/>
          <w:color w:val="4D4D4D"/>
          <w:kern w:val="36"/>
        </w:rPr>
      </w:pPr>
    </w:p>
    <w:p w14:paraId="4818E676" w14:textId="77777777" w:rsidR="001D1513" w:rsidRPr="00373085" w:rsidRDefault="001D1513" w:rsidP="00B561E7">
      <w:pPr>
        <w:shd w:val="clear" w:color="auto" w:fill="FFFFFF"/>
        <w:spacing w:line="270" w:lineRule="atLeast"/>
        <w:ind w:firstLine="51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14 февраля 2024 г. депутаты Государственной Думы не поддержали законопроекты о внесении изменений в ТК РФ (</w:t>
      </w:r>
      <w:hyperlink r:id="rId23" w:history="1">
        <w:r w:rsidRPr="00373085">
          <w:rPr>
            <w:rFonts w:ascii="Times New Roman" w:eastAsia="Times New Roman" w:hAnsi="Times New Roman" w:cs="Times New Roman"/>
            <w:color w:val="808080"/>
            <w:u w:val="single"/>
            <w:bdr w:val="none" w:sz="0" w:space="0" w:color="auto" w:frame="1"/>
          </w:rPr>
          <w:t>Проекты федеральных законов № 432628-8</w:t>
        </w:r>
      </w:hyperlink>
      <w:r w:rsidRPr="00373085">
        <w:rPr>
          <w:rFonts w:ascii="Times New Roman" w:eastAsia="Times New Roman" w:hAnsi="Times New Roman" w:cs="Times New Roman"/>
          <w:color w:val="333333"/>
        </w:rPr>
        <w:t> и </w:t>
      </w:r>
      <w:hyperlink r:id="rId24" w:history="1">
        <w:r w:rsidRPr="00373085">
          <w:rPr>
            <w:rFonts w:ascii="Times New Roman" w:eastAsia="Times New Roman" w:hAnsi="Times New Roman" w:cs="Times New Roman"/>
            <w:color w:val="808080"/>
            <w:u w:val="single"/>
            <w:bdr w:val="none" w:sz="0" w:space="0" w:color="auto" w:frame="1"/>
          </w:rPr>
          <w:t>№ 428454-8</w:t>
        </w:r>
      </w:hyperlink>
      <w:r w:rsidRPr="00373085">
        <w:rPr>
          <w:rFonts w:ascii="Times New Roman" w:eastAsia="Times New Roman" w:hAnsi="Times New Roman" w:cs="Times New Roman"/>
          <w:color w:val="333333"/>
        </w:rPr>
        <w:t>):</w:t>
      </w:r>
    </w:p>
    <w:p w14:paraId="7E4E277D" w14:textId="77777777" w:rsidR="001D1513" w:rsidRPr="00373085" w:rsidRDefault="00EB31BF" w:rsidP="00B561E7">
      <w:pPr>
        <w:numPr>
          <w:ilvl w:val="0"/>
          <w:numId w:val="4"/>
        </w:numPr>
        <w:shd w:val="clear" w:color="auto" w:fill="FFFFFF"/>
        <w:spacing w:line="270" w:lineRule="atLeast"/>
        <w:ind w:left="0"/>
        <w:jc w:val="both"/>
        <w:rPr>
          <w:rFonts w:ascii="Times New Roman" w:eastAsia="Times New Roman" w:hAnsi="Times New Roman" w:cs="Times New Roman"/>
          <w:color w:val="333333"/>
        </w:rPr>
      </w:pPr>
      <w:hyperlink r:id="rId25" w:history="1">
        <w:r w:rsidR="001D1513" w:rsidRPr="00373085">
          <w:rPr>
            <w:rFonts w:ascii="Times New Roman" w:eastAsia="Times New Roman" w:hAnsi="Times New Roman" w:cs="Times New Roman"/>
            <w:color w:val="808080"/>
            <w:u w:val="single"/>
            <w:bdr w:val="none" w:sz="0" w:space="0" w:color="auto" w:frame="1"/>
          </w:rPr>
          <w:t>№ 432628-8</w:t>
        </w:r>
      </w:hyperlink>
      <w:r w:rsidR="001D1513" w:rsidRPr="00373085">
        <w:rPr>
          <w:rFonts w:ascii="Times New Roman" w:eastAsia="Times New Roman" w:hAnsi="Times New Roman" w:cs="Times New Roman"/>
          <w:color w:val="333333"/>
        </w:rPr>
        <w:t> о предоставлении 1 сентября (в День знаний) однодневного отпуска родителям (опекунам, приемным родителям) ребенка, получающего основное общее образование, и об обязанности предоставить в этот день родителям отпуск без сохранения заработной платы;</w:t>
      </w:r>
    </w:p>
    <w:p w14:paraId="174DD276" w14:textId="77777777" w:rsidR="001D1513" w:rsidRPr="00373085" w:rsidRDefault="00EB31BF" w:rsidP="00B561E7">
      <w:pPr>
        <w:numPr>
          <w:ilvl w:val="0"/>
          <w:numId w:val="4"/>
        </w:numPr>
        <w:shd w:val="clear" w:color="auto" w:fill="FFFFFF"/>
        <w:spacing w:line="270" w:lineRule="atLeast"/>
        <w:ind w:left="0"/>
        <w:jc w:val="both"/>
        <w:rPr>
          <w:rFonts w:ascii="Times New Roman" w:eastAsia="Times New Roman" w:hAnsi="Times New Roman" w:cs="Times New Roman"/>
          <w:color w:val="333333"/>
        </w:rPr>
      </w:pPr>
      <w:hyperlink r:id="rId26" w:history="1">
        <w:r w:rsidR="001D1513" w:rsidRPr="00373085">
          <w:rPr>
            <w:rFonts w:ascii="Times New Roman" w:eastAsia="Times New Roman" w:hAnsi="Times New Roman" w:cs="Times New Roman"/>
            <w:color w:val="808080"/>
            <w:u w:val="single"/>
            <w:bdr w:val="none" w:sz="0" w:space="0" w:color="auto" w:frame="1"/>
          </w:rPr>
          <w:t>№ 428454-8</w:t>
        </w:r>
      </w:hyperlink>
      <w:r w:rsidR="001D1513" w:rsidRPr="00373085">
        <w:rPr>
          <w:rFonts w:ascii="Times New Roman" w:eastAsia="Times New Roman" w:hAnsi="Times New Roman" w:cs="Times New Roman"/>
          <w:color w:val="333333"/>
        </w:rPr>
        <w:t> о предоставлении работникам, воспитывающим детей школьного возраста, права на освобождение от работы в День знаний.</w:t>
      </w:r>
    </w:p>
    <w:p w14:paraId="1F8FA9A6" w14:textId="77777777" w:rsidR="001D1513" w:rsidRPr="00373085" w:rsidRDefault="001D1513" w:rsidP="00B561E7">
      <w:pPr>
        <w:shd w:val="clear" w:color="auto" w:fill="FFFFFF"/>
        <w:spacing w:line="270" w:lineRule="atLeast"/>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Предполагалось, что у родителей должна быть возможность спокойно проводить ребенка в школу 1 сентября и присутствовать с ним в День знаний на торжественной школьной линейке.</w:t>
      </w:r>
    </w:p>
    <w:p w14:paraId="656C024B" w14:textId="77777777" w:rsidR="001D1513" w:rsidRPr="00373085" w:rsidRDefault="001D1513" w:rsidP="00B561E7">
      <w:pPr>
        <w:shd w:val="clear" w:color="auto" w:fill="FFFFFF"/>
        <w:spacing w:line="270" w:lineRule="atLeast"/>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Однако в Госдуме отметили, что действующими нормами ТК РФ предусмотрены различные возможности предоставления работнику выходного дня в День знаний:</w:t>
      </w:r>
    </w:p>
    <w:p w14:paraId="7BA0F1E6" w14:textId="77777777" w:rsidR="001D1513" w:rsidRPr="00373085" w:rsidRDefault="001D1513" w:rsidP="00B561E7">
      <w:pPr>
        <w:numPr>
          <w:ilvl w:val="0"/>
          <w:numId w:val="5"/>
        </w:numPr>
        <w:shd w:val="clear" w:color="auto" w:fill="FFFFFF"/>
        <w:spacing w:line="270" w:lineRule="atLeast"/>
        <w:ind w:left="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путем предоставления дня отпуска на один рабочий день (</w:t>
      </w:r>
      <w:hyperlink r:id="rId27" w:anchor="block_125" w:history="1">
        <w:r w:rsidRPr="00373085">
          <w:rPr>
            <w:rFonts w:ascii="Times New Roman" w:eastAsia="Times New Roman" w:hAnsi="Times New Roman" w:cs="Times New Roman"/>
            <w:color w:val="808080"/>
            <w:u w:val="single"/>
            <w:bdr w:val="none" w:sz="0" w:space="0" w:color="auto" w:frame="1"/>
          </w:rPr>
          <w:t>ст. 125 ТК РФ</w:t>
        </w:r>
      </w:hyperlink>
      <w:r w:rsidRPr="00373085">
        <w:rPr>
          <w:rFonts w:ascii="Times New Roman" w:eastAsia="Times New Roman" w:hAnsi="Times New Roman" w:cs="Times New Roman"/>
          <w:color w:val="333333"/>
        </w:rPr>
        <w:t>);</w:t>
      </w:r>
    </w:p>
    <w:p w14:paraId="686D1204" w14:textId="77777777" w:rsidR="001D1513" w:rsidRPr="00373085" w:rsidRDefault="001D1513" w:rsidP="00B561E7">
      <w:pPr>
        <w:numPr>
          <w:ilvl w:val="0"/>
          <w:numId w:val="5"/>
        </w:numPr>
        <w:shd w:val="clear" w:color="auto" w:fill="FFFFFF"/>
        <w:spacing w:line="270" w:lineRule="atLeast"/>
        <w:ind w:left="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путем предоставления отпуска без сохранения заработной платы (</w:t>
      </w:r>
      <w:hyperlink r:id="rId28" w:anchor="block_128" w:history="1">
        <w:r w:rsidRPr="00373085">
          <w:rPr>
            <w:rFonts w:ascii="Times New Roman" w:eastAsia="Times New Roman" w:hAnsi="Times New Roman" w:cs="Times New Roman"/>
            <w:color w:val="808080"/>
            <w:u w:val="single"/>
            <w:bdr w:val="none" w:sz="0" w:space="0" w:color="auto" w:frame="1"/>
          </w:rPr>
          <w:t>ст. 128 ТК РФ</w:t>
        </w:r>
      </w:hyperlink>
      <w:r w:rsidRPr="00373085">
        <w:rPr>
          <w:rFonts w:ascii="Times New Roman" w:eastAsia="Times New Roman" w:hAnsi="Times New Roman" w:cs="Times New Roman"/>
          <w:color w:val="333333"/>
        </w:rPr>
        <w:t>);</w:t>
      </w:r>
    </w:p>
    <w:p w14:paraId="3B592142" w14:textId="77777777" w:rsidR="001D1513" w:rsidRPr="00373085" w:rsidRDefault="001D1513" w:rsidP="00B561E7">
      <w:pPr>
        <w:numPr>
          <w:ilvl w:val="0"/>
          <w:numId w:val="5"/>
        </w:numPr>
        <w:shd w:val="clear" w:color="auto" w:fill="FFFFFF"/>
        <w:spacing w:line="270" w:lineRule="atLeast"/>
        <w:ind w:left="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путем предоставления дополнительных отпусков (</w:t>
      </w:r>
      <w:hyperlink r:id="rId29" w:anchor="block_1162" w:history="1">
        <w:r w:rsidRPr="00373085">
          <w:rPr>
            <w:rFonts w:ascii="Times New Roman" w:eastAsia="Times New Roman" w:hAnsi="Times New Roman" w:cs="Times New Roman"/>
            <w:color w:val="808080"/>
            <w:u w:val="single"/>
            <w:bdr w:val="none" w:sz="0" w:space="0" w:color="auto" w:frame="1"/>
          </w:rPr>
          <w:t>часть вторая ст. 116 ТК РФ</w:t>
        </w:r>
      </w:hyperlink>
      <w:r w:rsidRPr="00373085">
        <w:rPr>
          <w:rFonts w:ascii="Times New Roman" w:eastAsia="Times New Roman" w:hAnsi="Times New Roman" w:cs="Times New Roman"/>
          <w:color w:val="333333"/>
        </w:rPr>
        <w:t>).</w:t>
      </w:r>
    </w:p>
    <w:p w14:paraId="655DB9D7" w14:textId="77777777" w:rsidR="001D1513" w:rsidRPr="00373085" w:rsidRDefault="001D1513" w:rsidP="00B561E7">
      <w:pPr>
        <w:shd w:val="clear" w:color="auto" w:fill="FFFFFF"/>
        <w:spacing w:line="270" w:lineRule="atLeast"/>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В заключении к законопроекту </w:t>
      </w:r>
      <w:hyperlink r:id="rId30" w:anchor="0" w:history="1">
        <w:r w:rsidRPr="00373085">
          <w:rPr>
            <w:rFonts w:ascii="Times New Roman" w:eastAsia="Times New Roman" w:hAnsi="Times New Roman" w:cs="Times New Roman"/>
            <w:color w:val="808080"/>
            <w:u w:val="single"/>
            <w:bdr w:val="none" w:sz="0" w:space="0" w:color="auto" w:frame="1"/>
          </w:rPr>
          <w:t>№ 432628-8</w:t>
        </w:r>
      </w:hyperlink>
      <w:r w:rsidRPr="00373085">
        <w:rPr>
          <w:rFonts w:ascii="Times New Roman" w:eastAsia="Times New Roman" w:hAnsi="Times New Roman" w:cs="Times New Roman"/>
          <w:color w:val="333333"/>
        </w:rPr>
        <w:t xml:space="preserve"> также отмечается, что торжественные мероприятия в часть Дня знаний могут проводиться не только 1 сентября, например, в </w:t>
      </w:r>
      <w:r w:rsidRPr="00373085">
        <w:rPr>
          <w:rFonts w:ascii="Times New Roman" w:eastAsia="Times New Roman" w:hAnsi="Times New Roman" w:cs="Times New Roman"/>
          <w:color w:val="333333"/>
        </w:rPr>
        <w:lastRenderedPageBreak/>
        <w:t>случае, если указанная дата приходится на выходной день. Соответственно, требуется уточнить, как именно будет реализовано право работников на предоставление указанного отпуска в случае начала учебного года не в установленную законопроектом дату. Кроме того, проектируемые изменения содержат внутренние противоречия, поскольку они устанавливают для работодателя обязанность предоставить работнику указанный отпуск по одному и тому же основанию как с сохранением, так и без сохранения заработной платы. Помимо этого, в законопроекте особо выделены родители детей, получающих основное общее образование, в качестве работников, имеющих право на отпуск 1 сентября. Таким образом, из числа работников, имеющих право на отпуск 1 сентября, неоправданно исключены родители (опекуны, приемные родители) детей, получающих начальное и среднее общее образование.</w:t>
      </w:r>
    </w:p>
    <w:p w14:paraId="57AF5747" w14:textId="77777777" w:rsidR="001D1513" w:rsidRPr="00373085" w:rsidRDefault="001D1513" w:rsidP="00B561E7">
      <w:pPr>
        <w:shd w:val="clear" w:color="auto" w:fill="FFFFFF"/>
        <w:spacing w:line="270" w:lineRule="atLeast"/>
        <w:ind w:firstLine="708"/>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Что касается законопроекта </w:t>
      </w:r>
      <w:hyperlink r:id="rId31" w:history="1">
        <w:r w:rsidRPr="00373085">
          <w:rPr>
            <w:rFonts w:ascii="Times New Roman" w:eastAsia="Times New Roman" w:hAnsi="Times New Roman" w:cs="Times New Roman"/>
            <w:color w:val="808080"/>
            <w:u w:val="single"/>
            <w:bdr w:val="none" w:sz="0" w:space="0" w:color="auto" w:frame="1"/>
          </w:rPr>
          <w:t>№ 428454-8</w:t>
        </w:r>
      </w:hyperlink>
      <w:r w:rsidRPr="00373085">
        <w:rPr>
          <w:rFonts w:ascii="Times New Roman" w:eastAsia="Times New Roman" w:hAnsi="Times New Roman" w:cs="Times New Roman"/>
          <w:color w:val="333333"/>
        </w:rPr>
        <w:t>, то он использует понятие "дети школьного возраста", которое в законодательстве России отсутствует, что может привести к трудностям в толковании предлагаемого изменения.</w:t>
      </w:r>
    </w:p>
    <w:p w14:paraId="7CB42764" w14:textId="77777777" w:rsidR="001D1513" w:rsidRPr="00373085" w:rsidRDefault="001D1513" w:rsidP="00B561E7">
      <w:pPr>
        <w:shd w:val="clear" w:color="auto" w:fill="FFFFFF"/>
        <w:spacing w:line="270" w:lineRule="atLeast"/>
        <w:ind w:firstLine="708"/>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В эту же дату (14 февраля 2024 г.) Госдума также отклонила законопроекты:</w:t>
      </w:r>
    </w:p>
    <w:p w14:paraId="2658170C" w14:textId="77777777" w:rsidR="001D1513" w:rsidRPr="00373085" w:rsidRDefault="00EB31BF" w:rsidP="00B561E7">
      <w:pPr>
        <w:numPr>
          <w:ilvl w:val="0"/>
          <w:numId w:val="6"/>
        </w:numPr>
        <w:shd w:val="clear" w:color="auto" w:fill="FFFFFF"/>
        <w:spacing w:line="270" w:lineRule="atLeast"/>
        <w:ind w:left="0"/>
        <w:jc w:val="both"/>
        <w:rPr>
          <w:rFonts w:ascii="Times New Roman" w:eastAsia="Times New Roman" w:hAnsi="Times New Roman" w:cs="Times New Roman"/>
          <w:color w:val="333333"/>
        </w:rPr>
      </w:pPr>
      <w:hyperlink r:id="rId32" w:history="1">
        <w:r w:rsidR="001D1513" w:rsidRPr="00373085">
          <w:rPr>
            <w:rFonts w:ascii="Times New Roman" w:eastAsia="Times New Roman" w:hAnsi="Times New Roman" w:cs="Times New Roman"/>
            <w:color w:val="808080"/>
            <w:u w:val="single"/>
            <w:bdr w:val="none" w:sz="0" w:space="0" w:color="auto" w:frame="1"/>
          </w:rPr>
          <w:t>№ 417717-8</w:t>
        </w:r>
      </w:hyperlink>
      <w:r w:rsidR="001D1513" w:rsidRPr="00373085">
        <w:rPr>
          <w:rFonts w:ascii="Times New Roman" w:eastAsia="Times New Roman" w:hAnsi="Times New Roman" w:cs="Times New Roman"/>
          <w:color w:val="333333"/>
        </w:rPr>
        <w:t> о внесении изменения в </w:t>
      </w:r>
      <w:hyperlink r:id="rId33" w:history="1">
        <w:r w:rsidR="001D1513" w:rsidRPr="00373085">
          <w:rPr>
            <w:rFonts w:ascii="Times New Roman" w:eastAsia="Times New Roman" w:hAnsi="Times New Roman" w:cs="Times New Roman"/>
            <w:color w:val="808080"/>
            <w:u w:val="single"/>
            <w:bdr w:val="none" w:sz="0" w:space="0" w:color="auto" w:frame="1"/>
          </w:rPr>
          <w:t>ст. 92 ТК РФ</w:t>
        </w:r>
      </w:hyperlink>
      <w:r w:rsidR="001D1513" w:rsidRPr="00373085">
        <w:rPr>
          <w:rFonts w:ascii="Times New Roman" w:eastAsia="Times New Roman" w:hAnsi="Times New Roman" w:cs="Times New Roman"/>
          <w:color w:val="333333"/>
        </w:rPr>
        <w:t> (о сокращении продолжительности рабочего дня в целях защиты работника от воздействия повышенных температур)</w:t>
      </w:r>
    </w:p>
    <w:p w14:paraId="1C78FA9B" w14:textId="77777777" w:rsidR="001D1513" w:rsidRPr="00373085" w:rsidRDefault="001D1513" w:rsidP="00B561E7">
      <w:pPr>
        <w:numPr>
          <w:ilvl w:val="0"/>
          <w:numId w:val="6"/>
        </w:numPr>
        <w:shd w:val="clear" w:color="auto" w:fill="FFFFFF"/>
        <w:spacing w:line="270" w:lineRule="atLeast"/>
        <w:ind w:left="0"/>
        <w:jc w:val="both"/>
        <w:rPr>
          <w:rFonts w:ascii="Times New Roman" w:eastAsia="Times New Roman" w:hAnsi="Times New Roman" w:cs="Times New Roman"/>
          <w:color w:val="333333"/>
        </w:rPr>
      </w:pPr>
      <w:r w:rsidRPr="00373085">
        <w:rPr>
          <w:rFonts w:ascii="Times New Roman" w:eastAsia="Times New Roman" w:hAnsi="Times New Roman" w:cs="Times New Roman"/>
          <w:color w:val="333333"/>
        </w:rPr>
        <w:t>- гарантий и компенсаций, исходя из особых условий труда).</w:t>
      </w:r>
    </w:p>
    <w:p w14:paraId="6FEAEF5B" w14:textId="77777777" w:rsidR="00373085" w:rsidRPr="00373085" w:rsidRDefault="00373085" w:rsidP="00B561E7">
      <w:pPr>
        <w:shd w:val="clear" w:color="auto" w:fill="FFFFFF"/>
        <w:spacing w:before="180" w:line="540" w:lineRule="atLeast"/>
        <w:jc w:val="center"/>
        <w:outlineLvl w:val="0"/>
        <w:rPr>
          <w:rFonts w:ascii="Times New Roman" w:eastAsia="Times New Roman" w:hAnsi="Times New Roman" w:cs="Times New Roman"/>
          <w:b/>
          <w:bCs/>
          <w:color w:val="252525"/>
          <w:spacing w:val="2"/>
          <w:kern w:val="36"/>
        </w:rPr>
      </w:pPr>
      <w:r w:rsidRPr="00373085">
        <w:rPr>
          <w:rFonts w:ascii="Times New Roman" w:eastAsia="Times New Roman" w:hAnsi="Times New Roman" w:cs="Times New Roman"/>
          <w:b/>
          <w:bCs/>
          <w:color w:val="252525"/>
          <w:spacing w:val="2"/>
          <w:kern w:val="36"/>
        </w:rPr>
        <w:t>В Госдуме разъяснили ограничения в выращивании ипомеи трехцветной на даче</w:t>
      </w:r>
    </w:p>
    <w:p w14:paraId="504C8F88" w14:textId="77777777" w:rsidR="00B561E7" w:rsidRDefault="00B561E7" w:rsidP="00373085">
      <w:pPr>
        <w:jc w:val="both"/>
        <w:rPr>
          <w:rFonts w:ascii="Times New Roman" w:hAnsi="Times New Roman" w:cs="Times New Roman"/>
          <w:color w:val="252525"/>
          <w:spacing w:val="3"/>
          <w:shd w:val="clear" w:color="auto" w:fill="FFFFFF"/>
        </w:rPr>
      </w:pPr>
    </w:p>
    <w:p w14:paraId="466AB3C0" w14:textId="61FA0988" w:rsidR="001D1513" w:rsidRPr="00373085" w:rsidRDefault="00373085" w:rsidP="00B561E7">
      <w:pPr>
        <w:ind w:firstLine="708"/>
        <w:jc w:val="both"/>
        <w:rPr>
          <w:rFonts w:ascii="Times New Roman" w:hAnsi="Times New Roman" w:cs="Times New Roman"/>
          <w:color w:val="252525"/>
          <w:spacing w:val="3"/>
          <w:shd w:val="clear" w:color="auto" w:fill="FFFFFF"/>
        </w:rPr>
      </w:pPr>
      <w:r w:rsidRPr="00373085">
        <w:rPr>
          <w:rFonts w:ascii="Times New Roman" w:hAnsi="Times New Roman" w:cs="Times New Roman"/>
          <w:color w:val="252525"/>
          <w:spacing w:val="3"/>
          <w:shd w:val="clear" w:color="auto" w:fill="FFFFFF"/>
        </w:rPr>
        <w:t>Как ранее стало известно, за выращивание ипомеи трехцветной на дачном участке </w:t>
      </w:r>
      <w:hyperlink r:id="rId34" w:tgtFrame="_blank" w:history="1">
        <w:r w:rsidRPr="00373085">
          <w:rPr>
            <w:rFonts w:ascii="Times New Roman" w:hAnsi="Times New Roman" w:cs="Times New Roman"/>
            <w:color w:val="3377CC"/>
            <w:spacing w:val="3"/>
            <w:u w:val="single"/>
            <w:shd w:val="clear" w:color="auto" w:fill="FFFFFF"/>
          </w:rPr>
          <w:t>можно получить до двух лет лишения свободы</w:t>
        </w:r>
      </w:hyperlink>
      <w:r w:rsidRPr="00373085">
        <w:rPr>
          <w:rFonts w:ascii="Times New Roman" w:hAnsi="Times New Roman" w:cs="Times New Roman"/>
          <w:color w:val="252525"/>
          <w:spacing w:val="3"/>
          <w:shd w:val="clear" w:color="auto" w:fill="FFFFFF"/>
        </w:rPr>
        <w:t>. Но так сурово накажут не каждого уличенного дачника. Разъяснения в комментарии "РГ" по этому поводу дал депутат Госдумы (фракция "Единая Россия"), председатель Союза дачников Подмосковья Никита Чаплин.</w:t>
      </w:r>
    </w:p>
    <w:p w14:paraId="48ED93C1" w14:textId="77777777" w:rsidR="00373085" w:rsidRPr="00373085" w:rsidRDefault="00373085" w:rsidP="00B561E7">
      <w:pPr>
        <w:ind w:firstLine="708"/>
        <w:jc w:val="both"/>
        <w:rPr>
          <w:rFonts w:ascii="Times New Roman" w:eastAsia="Times New Roman" w:hAnsi="Times New Roman" w:cs="Times New Roman"/>
        </w:rPr>
      </w:pPr>
      <w:r w:rsidRPr="00373085">
        <w:rPr>
          <w:rFonts w:ascii="Times New Roman" w:eastAsia="Times New Roman" w:hAnsi="Times New Roman" w:cs="Times New Roman"/>
        </w:rPr>
        <w:t>Ранее о наказании за выращивании ипомеи </w:t>
      </w:r>
      <w:hyperlink r:id="rId35" w:tgtFrame="_blank" w:history="1">
        <w:r w:rsidRPr="00373085">
          <w:rPr>
            <w:rFonts w:ascii="Times New Roman" w:eastAsia="Times New Roman" w:hAnsi="Times New Roman" w:cs="Times New Roman"/>
            <w:color w:val="3377CC"/>
            <w:u w:val="single"/>
          </w:rPr>
          <w:t>сообщили СМИ</w:t>
        </w:r>
      </w:hyperlink>
      <w:r w:rsidRPr="00373085">
        <w:rPr>
          <w:rFonts w:ascii="Times New Roman" w:eastAsia="Times New Roman" w:hAnsi="Times New Roman" w:cs="Times New Roman"/>
        </w:rPr>
        <w:t> со ссылкой на главу думского комитета по собственности Сергея Гаврилова (КПРФ).</w:t>
      </w:r>
    </w:p>
    <w:p w14:paraId="5D4A1D24" w14:textId="77777777" w:rsidR="00373085" w:rsidRPr="00373085" w:rsidRDefault="00373085" w:rsidP="00B561E7">
      <w:pPr>
        <w:jc w:val="both"/>
        <w:rPr>
          <w:rFonts w:ascii="Times New Roman" w:eastAsia="Times New Roman" w:hAnsi="Times New Roman" w:cs="Times New Roman"/>
        </w:rPr>
      </w:pPr>
      <w:r w:rsidRPr="00373085">
        <w:rPr>
          <w:rFonts w:ascii="Times New Roman" w:eastAsia="Times New Roman" w:hAnsi="Times New Roman" w:cs="Times New Roman"/>
        </w:rPr>
        <w:t>"Ипомею трехцветную включили в перечень растений, подлежащих государственному контролю, - отметил Чаплин, - выращивание данного растения в большом количестве может привести к административным наказаниям". Он уточнил, что если количество вьюнов ипомеи превышает 10 на участке, независимо от стадии развития, то физические лица могут быть арестованы на срок до 15 суток или оштрафованы на сумму в 5 тысяч рублей. Организации также подлежат наказанию в виде штрафа в размере 300 тысяч рублей.</w:t>
      </w:r>
    </w:p>
    <w:p w14:paraId="7F4CD999" w14:textId="77777777" w:rsidR="00373085" w:rsidRPr="00373085" w:rsidRDefault="00373085" w:rsidP="00B561E7">
      <w:pPr>
        <w:ind w:firstLine="708"/>
        <w:jc w:val="both"/>
        <w:rPr>
          <w:rFonts w:ascii="Times New Roman" w:eastAsia="Times New Roman" w:hAnsi="Times New Roman" w:cs="Times New Roman"/>
        </w:rPr>
      </w:pPr>
      <w:r w:rsidRPr="00373085">
        <w:rPr>
          <w:rFonts w:ascii="Times New Roman" w:eastAsia="Times New Roman" w:hAnsi="Times New Roman" w:cs="Times New Roman"/>
        </w:rPr>
        <w:t>В каких случаях возможен уголовный срок? "Если количество ипомеи на участке превышает 100 вьюнов, то это уже квалифицируется как преступление. В таком случае, санкции включают в себя лишение свободы на срок до 2 лет.", - отметил депутат.</w:t>
      </w:r>
    </w:p>
    <w:p w14:paraId="3F7DCB21" w14:textId="77777777" w:rsidR="00373085" w:rsidRPr="00373085" w:rsidRDefault="00373085" w:rsidP="00B561E7">
      <w:pPr>
        <w:jc w:val="both"/>
        <w:rPr>
          <w:rFonts w:ascii="Times New Roman" w:hAnsi="Times New Roman" w:cs="Times New Roman"/>
        </w:rPr>
      </w:pPr>
    </w:p>
    <w:sectPr w:rsidR="00373085" w:rsidRPr="00373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592"/>
    <w:multiLevelType w:val="multilevel"/>
    <w:tmpl w:val="5C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B39A3"/>
    <w:multiLevelType w:val="multilevel"/>
    <w:tmpl w:val="D85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15760"/>
    <w:multiLevelType w:val="multilevel"/>
    <w:tmpl w:val="94F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B4437"/>
    <w:multiLevelType w:val="multilevel"/>
    <w:tmpl w:val="80C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526E71"/>
    <w:multiLevelType w:val="multilevel"/>
    <w:tmpl w:val="5DD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9167A"/>
    <w:multiLevelType w:val="multilevel"/>
    <w:tmpl w:val="0A1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1D1513"/>
    <w:rsid w:val="0030353D"/>
    <w:rsid w:val="00312B91"/>
    <w:rsid w:val="00373085"/>
    <w:rsid w:val="005D11C0"/>
    <w:rsid w:val="0066636A"/>
    <w:rsid w:val="00B561E7"/>
    <w:rsid w:val="00D13255"/>
    <w:rsid w:val="00E15507"/>
    <w:rsid w:val="00EB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news/1662213/" TargetMode="External"/><Relationship Id="rId18" Type="http://schemas.openxmlformats.org/officeDocument/2006/relationships/hyperlink" Target="https://base.garant.ru/10900200/3cc8460732effc45905a5a1a311b451e/" TargetMode="External"/><Relationship Id="rId26" Type="http://schemas.openxmlformats.org/officeDocument/2006/relationships/hyperlink" Target="https://base.garant.ru/76859443/" TargetMode="External"/><Relationship Id="rId21" Type="http://schemas.openxmlformats.org/officeDocument/2006/relationships/hyperlink" Target="https://www.garant.ru/news/1684049/" TargetMode="External"/><Relationship Id="rId34" Type="http://schemas.openxmlformats.org/officeDocument/2006/relationships/hyperlink" Target="https://rg.ru/2024/02/14/dachnikov-mogut-privlech-k-ugolovnoj-otvetstvennosti-po-narkoticheskim-statiam.html" TargetMode="External"/><Relationship Id="rId7" Type="http://schemas.openxmlformats.org/officeDocument/2006/relationships/hyperlink" Target="https://www.garant.ru/article/1679080/" TargetMode="External"/><Relationship Id="rId12" Type="http://schemas.openxmlformats.org/officeDocument/2006/relationships/hyperlink" Target="https://base.garant.ru/408521279/" TargetMode="External"/><Relationship Id="rId17" Type="http://schemas.openxmlformats.org/officeDocument/2006/relationships/hyperlink" Target="https://base.garant.ru/10900200/2c2d4c47652499da777b2c19de85035c/" TargetMode="External"/><Relationship Id="rId25" Type="http://schemas.openxmlformats.org/officeDocument/2006/relationships/hyperlink" Target="https://base.garant.ru/76859825/" TargetMode="External"/><Relationship Id="rId33" Type="http://schemas.openxmlformats.org/officeDocument/2006/relationships/hyperlink" Target="https://base.garant.ru/12125268/a01fd19fbf2aae1b9a36f043855d0c20/" TargetMode="External"/><Relationship Id="rId2" Type="http://schemas.openxmlformats.org/officeDocument/2006/relationships/styles" Target="styles.xml"/><Relationship Id="rId16" Type="http://schemas.openxmlformats.org/officeDocument/2006/relationships/hyperlink" Target="https://base.garant.ru/408538543/" TargetMode="External"/><Relationship Id="rId20" Type="http://schemas.openxmlformats.org/officeDocument/2006/relationships/hyperlink" Target="https://www.garant.ru/hotlaw/federal/1684212/" TargetMode="External"/><Relationship Id="rId29" Type="http://schemas.openxmlformats.org/officeDocument/2006/relationships/hyperlink" Target="https://base.garant.ru/12125268/3cecdc970468678631d939f358d4314d/" TargetMode="External"/><Relationship Id="rId1" Type="http://schemas.openxmlformats.org/officeDocument/2006/relationships/numbering" Target="numbering.xml"/><Relationship Id="rId6" Type="http://schemas.openxmlformats.org/officeDocument/2006/relationships/hyperlink" Target="https://www.garant.ru/news/1682246/" TargetMode="External"/><Relationship Id="rId11" Type="http://schemas.openxmlformats.org/officeDocument/2006/relationships/hyperlink" Target="https://base.garant.ru/408521279/" TargetMode="External"/><Relationship Id="rId24" Type="http://schemas.openxmlformats.org/officeDocument/2006/relationships/hyperlink" Target="https://base.garant.ru/76859443/" TargetMode="External"/><Relationship Id="rId32" Type="http://schemas.openxmlformats.org/officeDocument/2006/relationships/hyperlink" Target="https://base.garant.ru/76858463/" TargetMode="External"/><Relationship Id="rId37" Type="http://schemas.openxmlformats.org/officeDocument/2006/relationships/theme" Target="theme/theme1.xml"/><Relationship Id="rId5" Type="http://schemas.openxmlformats.org/officeDocument/2006/relationships/hyperlink" Target="https://www.garant.ru/news/1660645/" TargetMode="External"/><Relationship Id="rId15" Type="http://schemas.openxmlformats.org/officeDocument/2006/relationships/hyperlink" Target="https://base.garant.ru/76860116/" TargetMode="External"/><Relationship Id="rId23" Type="http://schemas.openxmlformats.org/officeDocument/2006/relationships/hyperlink" Target="https://base.garant.ru/76859825/" TargetMode="External"/><Relationship Id="rId28" Type="http://schemas.openxmlformats.org/officeDocument/2006/relationships/hyperlink" Target="https://base.garant.ru/12125268/089c3288c5448786f472572a85a4941a/" TargetMode="External"/><Relationship Id="rId36" Type="http://schemas.openxmlformats.org/officeDocument/2006/relationships/fontTable" Target="fontTable.xml"/><Relationship Id="rId10" Type="http://schemas.openxmlformats.org/officeDocument/2006/relationships/hyperlink" Target="https://base.garant.ru/408521279/" TargetMode="External"/><Relationship Id="rId19" Type="http://schemas.openxmlformats.org/officeDocument/2006/relationships/hyperlink" Target="https://base.garant.ru/403574288/a7b26eafd8fd23d18ca4410ac5359e0e/" TargetMode="External"/><Relationship Id="rId31" Type="http://schemas.openxmlformats.org/officeDocument/2006/relationships/hyperlink" Target="https://base.garant.ru/76859443/" TargetMode="External"/><Relationship Id="rId4" Type="http://schemas.openxmlformats.org/officeDocument/2006/relationships/webSettings" Target="webSettings.xml"/><Relationship Id="rId9" Type="http://schemas.openxmlformats.org/officeDocument/2006/relationships/hyperlink" Target="https://base.garant.ru/12173121/87e699c3346ead088f563bb1668b2e4b/" TargetMode="External"/><Relationship Id="rId14" Type="http://schemas.openxmlformats.org/officeDocument/2006/relationships/hyperlink" Target="https://www.garant.ru/news/1649812/" TargetMode="External"/><Relationship Id="rId22" Type="http://schemas.openxmlformats.org/officeDocument/2006/relationships/hyperlink" Target="https://base.garant.ru/10180094/" TargetMode="External"/><Relationship Id="rId27" Type="http://schemas.openxmlformats.org/officeDocument/2006/relationships/hyperlink" Target="https://base.garant.ru/12125268/7ccf1f5439bb68fc593de20e309a7853/" TargetMode="External"/><Relationship Id="rId30" Type="http://schemas.openxmlformats.org/officeDocument/2006/relationships/hyperlink" Target="https://www.garant.ru/news/1684095/" TargetMode="External"/><Relationship Id="rId35" Type="http://schemas.openxmlformats.org/officeDocument/2006/relationships/hyperlink" Target="https://rg.ru/2024/02/18/nazvan-dachnyj-cvetok-iz-za-kotorogo-mozhno-lishitsia-svobody.html" TargetMode="External"/><Relationship Id="rId8" Type="http://schemas.openxmlformats.org/officeDocument/2006/relationships/hyperlink" Target="https://www.garant.ru/ia/opinion/author/sergeeva/1680913/"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4</cp:revision>
  <cp:lastPrinted>2024-02-17T08:22:00Z</cp:lastPrinted>
  <dcterms:created xsi:type="dcterms:W3CDTF">2024-02-17T10:09:00Z</dcterms:created>
  <dcterms:modified xsi:type="dcterms:W3CDTF">2024-02-19T03:56:00Z</dcterms:modified>
</cp:coreProperties>
</file>