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45EC1" w14:textId="77777777" w:rsidR="001C112B" w:rsidRPr="001C112B" w:rsidRDefault="001C112B" w:rsidP="001C112B">
      <w:pPr>
        <w:shd w:val="clear" w:color="auto" w:fill="FFFFFF"/>
        <w:spacing w:after="0" w:line="240" w:lineRule="auto"/>
        <w:jc w:val="center"/>
        <w:outlineLvl w:val="0"/>
        <w:rPr>
          <w:rFonts w:ascii="Times New Roman" w:eastAsia="Times New Roman" w:hAnsi="Times New Roman" w:cs="Times New Roman"/>
          <w:b/>
          <w:bCs/>
          <w:color w:val="4D4D4D"/>
          <w:kern w:val="36"/>
          <w:sz w:val="26"/>
          <w:szCs w:val="26"/>
          <w:lang w:eastAsia="ru-RU"/>
        </w:rPr>
      </w:pPr>
      <w:r w:rsidRPr="001C112B">
        <w:rPr>
          <w:rFonts w:ascii="Times New Roman" w:eastAsia="Times New Roman" w:hAnsi="Times New Roman" w:cs="Times New Roman"/>
          <w:b/>
          <w:bCs/>
          <w:color w:val="4D4D4D"/>
          <w:kern w:val="36"/>
          <w:sz w:val="26"/>
          <w:szCs w:val="26"/>
          <w:lang w:eastAsia="ru-RU"/>
        </w:rPr>
        <w:t>Что изменится в России с 1 января 2024 года: увеличение МРОТ, пенсий и прожиточного минимума, изменение условий получения маткапитала, повышение призывного возраста</w:t>
      </w:r>
    </w:p>
    <w:p w14:paraId="002C1C43" w14:textId="77777777" w:rsidR="001C112B" w:rsidRDefault="001C112B" w:rsidP="001C112B">
      <w:pPr>
        <w:shd w:val="clear" w:color="auto" w:fill="FFFFFF"/>
        <w:spacing w:after="255" w:line="270" w:lineRule="atLeast"/>
        <w:outlineLvl w:val="2"/>
        <w:rPr>
          <w:rFonts w:ascii="Arial" w:eastAsia="Times New Roman" w:hAnsi="Arial" w:cs="Arial"/>
          <w:b/>
          <w:bCs/>
          <w:color w:val="4D4D4D"/>
          <w:sz w:val="24"/>
          <w:szCs w:val="24"/>
          <w:lang w:eastAsia="ru-RU"/>
        </w:rPr>
      </w:pPr>
    </w:p>
    <w:p w14:paraId="0D11F5BC" w14:textId="247A3ABD"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Повысится размер страховых пенсий</w:t>
      </w:r>
    </w:p>
    <w:p w14:paraId="050CD41D"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Страховые пенсии проиндексируют на 7,5%. Повышение затронет порядка 32,6 млн неработающих пенсионеров. В результате перерасчета с 1 января 2024 года средний размер их пенсии увеличится на 1572 руб. и составит 22 605 руб., а средний размер страховой пенсии по старости возрастет на 1631 руб. и достигнет 23 449 руб. Индексация пройдет автоматически в беззаявительном порядке.</w:t>
      </w:r>
    </w:p>
    <w:p w14:paraId="14214ED1"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27 ноября 2023 г. № 550-ФЗ "</w:t>
      </w:r>
      <w:hyperlink r:id="rId5"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изменений в статью 10 Федерального закона "О внесении изменений в отдельные законодательные акты Российской Федерации по вопросам назначения и выплаты пенсий</w:t>
        </w:r>
      </w:hyperlink>
      <w:r w:rsidRPr="001C112B">
        <w:rPr>
          <w:rFonts w:ascii="Times New Roman" w:eastAsia="Times New Roman" w:hAnsi="Times New Roman" w:cs="Times New Roman"/>
          <w:i/>
          <w:iCs/>
          <w:color w:val="333333"/>
          <w:sz w:val="24"/>
          <w:szCs w:val="24"/>
          <w:lang w:eastAsia="ru-RU"/>
        </w:rPr>
        <w:t>"</w:t>
      </w:r>
    </w:p>
    <w:p w14:paraId="5CD95D33"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 </w:t>
      </w:r>
    </w:p>
    <w:p w14:paraId="5D5C2492" w14:textId="77777777"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Возрастет величина прожиточного минимума</w:t>
      </w:r>
    </w:p>
    <w:p w14:paraId="32F3CC42"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На 2024 год в целом по России она установлена на душу населения в размере 15 453 руб., для трудоспособного населения – 16 844 руб., для пенсионеров – 13 290 руб., детей – 14 989 руб. Напомним, в 2023 году величина прожиточного минимума составляла 14 375 руб., 15 669 руб., 12 363 руб., 13 944 руб. соответственно.</w:t>
      </w:r>
    </w:p>
    <w:p w14:paraId="023C9E5D"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Часть 4 ст. 8 Федерального закона от 27 ноября 2023 г. № 540-ФЗ "</w:t>
      </w:r>
      <w:hyperlink r:id="rId6" w:anchor="block_804" w:history="1">
        <w:r w:rsidRPr="001C112B">
          <w:rPr>
            <w:rFonts w:ascii="Times New Roman" w:eastAsia="Times New Roman" w:hAnsi="Times New Roman" w:cs="Times New Roman"/>
            <w:i/>
            <w:iCs/>
            <w:color w:val="808080"/>
            <w:sz w:val="24"/>
            <w:szCs w:val="24"/>
            <w:u w:val="single"/>
            <w:bdr w:val="none" w:sz="0" w:space="0" w:color="auto" w:frame="1"/>
            <w:lang w:eastAsia="ru-RU"/>
          </w:rPr>
          <w:t>О федеральном бюджете на 2024 год и на плановый период 2025 и 2026 годов</w:t>
        </w:r>
      </w:hyperlink>
      <w:r w:rsidRPr="001C112B">
        <w:rPr>
          <w:rFonts w:ascii="Times New Roman" w:eastAsia="Times New Roman" w:hAnsi="Times New Roman" w:cs="Times New Roman"/>
          <w:i/>
          <w:iCs/>
          <w:color w:val="333333"/>
          <w:sz w:val="24"/>
          <w:szCs w:val="24"/>
          <w:lang w:eastAsia="ru-RU"/>
        </w:rPr>
        <w:t>"</w:t>
      </w:r>
    </w:p>
    <w:p w14:paraId="19C6ECFA" w14:textId="6484F191" w:rsidR="001C112B" w:rsidRPr="001C112B" w:rsidRDefault="001C112B" w:rsidP="008067F5">
      <w:pPr>
        <w:shd w:val="clear" w:color="auto" w:fill="FFFFFF"/>
        <w:spacing w:after="255" w:line="270" w:lineRule="atLeast"/>
        <w:jc w:val="both"/>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color w:val="333333"/>
          <w:sz w:val="24"/>
          <w:szCs w:val="24"/>
          <w:lang w:eastAsia="ru-RU"/>
        </w:rPr>
        <w:t> </w:t>
      </w:r>
      <w:r w:rsidRPr="001C112B">
        <w:rPr>
          <w:rFonts w:ascii="Times New Roman" w:eastAsia="Times New Roman" w:hAnsi="Times New Roman" w:cs="Times New Roman"/>
          <w:b/>
          <w:bCs/>
          <w:color w:val="4D4D4D"/>
          <w:sz w:val="24"/>
          <w:szCs w:val="24"/>
          <w:lang w:eastAsia="ru-RU"/>
        </w:rPr>
        <w:t>Будут проиндексированы некоторые пособия</w:t>
      </w:r>
    </w:p>
    <w:p w14:paraId="7F7E059D"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С 1 января 2024 года на 1,045 </w:t>
      </w:r>
      <w:hyperlink r:id="rId7" w:history="1">
        <w:r w:rsidRPr="001C112B">
          <w:rPr>
            <w:rFonts w:ascii="Times New Roman" w:eastAsia="Times New Roman" w:hAnsi="Times New Roman" w:cs="Times New Roman"/>
            <w:color w:val="808080"/>
            <w:sz w:val="24"/>
            <w:szCs w:val="24"/>
            <w:u w:val="single"/>
            <w:bdr w:val="none" w:sz="0" w:space="0" w:color="auto" w:frame="1"/>
            <w:lang w:eastAsia="ru-RU"/>
          </w:rPr>
          <w:t>будут проиндексированы</w:t>
        </w:r>
      </w:hyperlink>
      <w:r w:rsidRPr="001C112B">
        <w:rPr>
          <w:rFonts w:ascii="Times New Roman" w:eastAsia="Times New Roman" w:hAnsi="Times New Roman" w:cs="Times New Roman"/>
          <w:color w:val="333333"/>
          <w:sz w:val="24"/>
          <w:szCs w:val="24"/>
          <w:lang w:eastAsia="ru-RU"/>
        </w:rPr>
        <w:t> ежемесячное пособие на содержание детей и ежегодное пособие на проведение летнего оздоровительного отдыха детей. Тот же размер индексации установлен для пособий детям военнослужащих, лиц, проходящих службу в войсках нацгвардии и имеющих специальное звание полиции, и сотрудников некоторых федеральных органов исполнительной власти и федеральных госорганов, погибших при исполнении обязанностей военной службы, а также детям лиц, умерших вследствие военной травмы после увольнения со службы. Тот же коэффициент индексации предусмотрен для сумм, выплачиваемых на основании судебного акта по денежному обязательству в возмещение вреда, причиненного жизни или здоровью, за счет средств федерального бюджета.</w:t>
      </w:r>
    </w:p>
    <w:p w14:paraId="406160D8"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27 ноября 2023 г. № 540-ФЗ "</w:t>
      </w:r>
      <w:hyperlink r:id="rId8" w:history="1">
        <w:r w:rsidRPr="001C112B">
          <w:rPr>
            <w:rFonts w:ascii="Times New Roman" w:eastAsia="Times New Roman" w:hAnsi="Times New Roman" w:cs="Times New Roman"/>
            <w:i/>
            <w:iCs/>
            <w:color w:val="808080"/>
            <w:sz w:val="24"/>
            <w:szCs w:val="24"/>
            <w:u w:val="single"/>
            <w:bdr w:val="none" w:sz="0" w:space="0" w:color="auto" w:frame="1"/>
            <w:lang w:eastAsia="ru-RU"/>
          </w:rPr>
          <w:t>О федеральном бюджете на 2024 год и на плановый период 2025 и 2026 годов</w:t>
        </w:r>
      </w:hyperlink>
      <w:r w:rsidRPr="001C112B">
        <w:rPr>
          <w:rFonts w:ascii="Times New Roman" w:eastAsia="Times New Roman" w:hAnsi="Times New Roman" w:cs="Times New Roman"/>
          <w:i/>
          <w:iCs/>
          <w:color w:val="333333"/>
          <w:sz w:val="24"/>
          <w:szCs w:val="24"/>
          <w:lang w:eastAsia="ru-RU"/>
        </w:rPr>
        <w:t>"</w:t>
      </w:r>
    </w:p>
    <w:p w14:paraId="245C5FF5" w14:textId="77777777"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Изменятся условия выплаты маткапитала</w:t>
      </w:r>
    </w:p>
    <w:p w14:paraId="06DA0310"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Поправки </w:t>
      </w:r>
      <w:hyperlink r:id="rId9" w:history="1">
        <w:r w:rsidRPr="001C112B">
          <w:rPr>
            <w:rFonts w:ascii="Times New Roman" w:eastAsia="Times New Roman" w:hAnsi="Times New Roman" w:cs="Times New Roman"/>
            <w:color w:val="808080"/>
            <w:sz w:val="24"/>
            <w:szCs w:val="24"/>
            <w:u w:val="single"/>
            <w:bdr w:val="none" w:sz="0" w:space="0" w:color="auto" w:frame="1"/>
            <w:lang w:eastAsia="ru-RU"/>
          </w:rPr>
          <w:t>касаются</w:t>
        </w:r>
      </w:hyperlink>
      <w:r w:rsidRPr="001C112B">
        <w:rPr>
          <w:rFonts w:ascii="Times New Roman" w:eastAsia="Times New Roman" w:hAnsi="Times New Roman" w:cs="Times New Roman"/>
          <w:color w:val="333333"/>
          <w:sz w:val="24"/>
          <w:szCs w:val="24"/>
          <w:lang w:eastAsia="ru-RU"/>
        </w:rPr>
        <w:t> круга лиц, имеющих право на получение материнского (семейного) капитала. Так, с начала года на маткапитал смогут претендовать только те, кто имеет гражданство РФ на момент рождения ребенка, и только в том случае, если ребенок является гражданином РФ по рождению. Исключение предусмотрено для жителей новых регионов – им маткапитал будут предоставлять независимо от основания и сроков приобретения российского гражданства.</w:t>
      </w:r>
    </w:p>
    <w:p w14:paraId="74B4341B"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lastRenderedPageBreak/>
        <w:t>Кроме того, отцам-одиночкам, у которых есть право на получение семейного капитала, разрешат направлять его на формирование накопительной пенсии. А с 5 января появится возможность использовать средства маткапитала на реконструкцию дома блокированной застройки (таунхауса, дуплекса и т. п.).</w:t>
      </w:r>
    </w:p>
    <w:p w14:paraId="70323179" w14:textId="77777777" w:rsidR="001C112B" w:rsidRPr="001C112B" w:rsidRDefault="001C112B" w:rsidP="001C112B">
      <w:pPr>
        <w:numPr>
          <w:ilvl w:val="0"/>
          <w:numId w:val="1"/>
        </w:numPr>
        <w:shd w:val="clear" w:color="auto" w:fill="FFFFFF"/>
        <w:spacing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Федеральным законом от 25 декабря 2023 г. № 634-ФЗ "</w:t>
      </w:r>
      <w:hyperlink r:id="rId10"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изменений в статью 3 Федерального закона "О дополнительных мерах государственной поддержки семей, имеющих детей</w:t>
        </w:r>
      </w:hyperlink>
      <w:r w:rsidRPr="001C112B">
        <w:rPr>
          <w:rFonts w:ascii="Times New Roman" w:eastAsia="Times New Roman" w:hAnsi="Times New Roman" w:cs="Times New Roman"/>
          <w:i/>
          <w:iCs/>
          <w:color w:val="333333"/>
          <w:sz w:val="24"/>
          <w:szCs w:val="24"/>
          <w:lang w:eastAsia="ru-RU"/>
        </w:rPr>
        <w:t>"</w:t>
      </w:r>
    </w:p>
    <w:p w14:paraId="50A0D742" w14:textId="77777777" w:rsidR="001C112B" w:rsidRPr="001C112B" w:rsidRDefault="001C112B" w:rsidP="001C112B">
      <w:pPr>
        <w:numPr>
          <w:ilvl w:val="0"/>
          <w:numId w:val="1"/>
        </w:numPr>
        <w:shd w:val="clear" w:color="auto" w:fill="FFFFFF"/>
        <w:spacing w:before="60"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4 августа 2023 г. № 460-ФЗ "</w:t>
      </w:r>
      <w:hyperlink r:id="rId11"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изменений в статьи 7 и 12 Федерального закона "О дополнительных мерах государственной поддержки семей, имеющих детей</w:t>
        </w:r>
      </w:hyperlink>
      <w:r w:rsidRPr="001C112B">
        <w:rPr>
          <w:rFonts w:ascii="Times New Roman" w:eastAsia="Times New Roman" w:hAnsi="Times New Roman" w:cs="Times New Roman"/>
          <w:i/>
          <w:iCs/>
          <w:color w:val="333333"/>
          <w:sz w:val="24"/>
          <w:szCs w:val="24"/>
          <w:lang w:eastAsia="ru-RU"/>
        </w:rPr>
        <w:t>"</w:t>
      </w:r>
    </w:p>
    <w:p w14:paraId="456ED2D2" w14:textId="77777777" w:rsidR="001C112B" w:rsidRPr="001C112B" w:rsidRDefault="001C112B" w:rsidP="001C112B">
      <w:pPr>
        <w:numPr>
          <w:ilvl w:val="0"/>
          <w:numId w:val="1"/>
        </w:numPr>
        <w:shd w:val="clear" w:color="auto" w:fill="FFFFFF"/>
        <w:spacing w:before="60"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25 декабря 2023 г. № 682-ФЗ "</w:t>
      </w:r>
      <w:hyperlink r:id="rId12"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изменений в статью 10 Федерального закона "О дополнительных мерах государственной поддержки семей, имеющих детей</w:t>
        </w:r>
      </w:hyperlink>
      <w:r w:rsidRPr="001C112B">
        <w:rPr>
          <w:rFonts w:ascii="Times New Roman" w:eastAsia="Times New Roman" w:hAnsi="Times New Roman" w:cs="Times New Roman"/>
          <w:i/>
          <w:iCs/>
          <w:color w:val="333333"/>
          <w:sz w:val="24"/>
          <w:szCs w:val="24"/>
          <w:lang w:eastAsia="ru-RU"/>
        </w:rPr>
        <w:t>"</w:t>
      </w:r>
    </w:p>
    <w:p w14:paraId="479AA5F2"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 </w:t>
      </w:r>
    </w:p>
    <w:p w14:paraId="52B6FB86" w14:textId="77777777"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Родители смогут получать пособие по уходу за ребенком при досрочном выходе на работу</w:t>
      </w:r>
    </w:p>
    <w:p w14:paraId="50DC2922"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С 1 января будут расширены гарантии реализации права на ежемесячное пособие по уходу за ребенком работающим лицам, осуществляющим уход за детьми одновременно с трудовой деятельностью. Они </w:t>
      </w:r>
      <w:hyperlink r:id="rId13" w:history="1">
        <w:r w:rsidRPr="001C112B">
          <w:rPr>
            <w:rFonts w:ascii="Times New Roman" w:eastAsia="Times New Roman" w:hAnsi="Times New Roman" w:cs="Times New Roman"/>
            <w:color w:val="808080"/>
            <w:sz w:val="24"/>
            <w:szCs w:val="24"/>
            <w:u w:val="single"/>
            <w:bdr w:val="none" w:sz="0" w:space="0" w:color="auto" w:frame="1"/>
            <w:lang w:eastAsia="ru-RU"/>
          </w:rPr>
          <w:t>смогут получать</w:t>
        </w:r>
      </w:hyperlink>
      <w:r w:rsidRPr="001C112B">
        <w:rPr>
          <w:rFonts w:ascii="Times New Roman" w:eastAsia="Times New Roman" w:hAnsi="Times New Roman" w:cs="Times New Roman"/>
          <w:color w:val="333333"/>
          <w:sz w:val="24"/>
          <w:szCs w:val="24"/>
          <w:lang w:eastAsia="ru-RU"/>
        </w:rPr>
        <w:t> указанное пособие даже если выйдут на работу до достижения ребенком возраста 1,5 лет. Право на получение пособия сохранится и в случае, если в период предоставленного отпуска указанные лица работают у другого работодателя (независимо от того, трудятся ли они на условиях неполного рабочего времени или нет). Такие меры касаются матери или отца ребенка, либо других родственников, опекунов, фактически осуществляющих уход за ребенком.</w:t>
      </w:r>
    </w:p>
    <w:p w14:paraId="2922D4F2"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В свою очередь, ежемесячные выплаты по уходу за ребенком-инвалидом в возрасте до 18 лет или инвалидом с детства I группы наряду с неработающими гражданами начнут выплачивать также частично занятым родителям (усыновителям) или опекунам (попечителям), осуществляющим такой уход. Речь идет о лицах, работающих на условиях неполного рабочего времени, в том числе дистанционно или на дому. Размер выплаты для них составит 10 тыс. руб. в месяц.</w:t>
      </w:r>
    </w:p>
    <w:p w14:paraId="0A2177C9" w14:textId="77777777" w:rsidR="001C112B" w:rsidRPr="001C112B" w:rsidRDefault="001C112B" w:rsidP="001C112B">
      <w:pPr>
        <w:numPr>
          <w:ilvl w:val="0"/>
          <w:numId w:val="2"/>
        </w:numPr>
        <w:shd w:val="clear" w:color="auto" w:fill="FFFFFF"/>
        <w:spacing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19 декабря 2023 г. № 620-ФЗ "</w:t>
      </w:r>
      <w:hyperlink r:id="rId14"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изменений в статью 13 Федерального закона "О государственных пособиях гражданам, имеющим детей" и статью 11.1 Федерального закона "Об обязательном социальном страховании на случай временной нетрудоспособности и в связи с материнством</w:t>
        </w:r>
      </w:hyperlink>
      <w:r w:rsidRPr="001C112B">
        <w:rPr>
          <w:rFonts w:ascii="Times New Roman" w:eastAsia="Times New Roman" w:hAnsi="Times New Roman" w:cs="Times New Roman"/>
          <w:i/>
          <w:iCs/>
          <w:color w:val="333333"/>
          <w:sz w:val="24"/>
          <w:szCs w:val="24"/>
          <w:lang w:eastAsia="ru-RU"/>
        </w:rPr>
        <w:t>"</w:t>
      </w:r>
    </w:p>
    <w:p w14:paraId="40FD11EB" w14:textId="77777777" w:rsidR="001C112B" w:rsidRPr="001C112B" w:rsidRDefault="001C112B" w:rsidP="001C112B">
      <w:pPr>
        <w:numPr>
          <w:ilvl w:val="0"/>
          <w:numId w:val="2"/>
        </w:numPr>
        <w:shd w:val="clear" w:color="auto" w:fill="FFFFFF"/>
        <w:spacing w:before="60"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Указ Президента РФ от 1 декабря 2023 г. № 912 "</w:t>
      </w:r>
      <w:hyperlink r:id="rId15"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изменений в Указ Президента Российской Федерации от 26 февраля 2013 г. № 175 "О ежемесячных выплатах лицам, осуществляющим уход за детьми-инвалидами и инвалидами с детства I группы</w:t>
        </w:r>
      </w:hyperlink>
      <w:r w:rsidRPr="001C112B">
        <w:rPr>
          <w:rFonts w:ascii="Times New Roman" w:eastAsia="Times New Roman" w:hAnsi="Times New Roman" w:cs="Times New Roman"/>
          <w:i/>
          <w:iCs/>
          <w:color w:val="333333"/>
          <w:sz w:val="24"/>
          <w:szCs w:val="24"/>
          <w:lang w:eastAsia="ru-RU"/>
        </w:rPr>
        <w:t>"</w:t>
      </w:r>
    </w:p>
    <w:p w14:paraId="47A52B2E"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 </w:t>
      </w:r>
    </w:p>
    <w:p w14:paraId="7D5D65E5" w14:textId="77777777"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Повысится возраст выхода на пенсию по старости</w:t>
      </w:r>
    </w:p>
    <w:p w14:paraId="031AF8CF"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В 2024 году для женщин он составит 58 лет, для мужчин – 63 года. Вместе с тем будут скорректированы требования для получения страховой пенсии в части минимального стажа работы (15 лет) и пенсионного коэффициента (28,2).</w:t>
      </w:r>
    </w:p>
    <w:p w14:paraId="55F6ED0B" w14:textId="77777777" w:rsidR="001C112B" w:rsidRPr="001C112B" w:rsidRDefault="00DC4F87"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hyperlink r:id="rId16" w:history="1">
        <w:r w:rsidR="001C112B" w:rsidRPr="001C112B">
          <w:rPr>
            <w:rFonts w:ascii="Times New Roman" w:eastAsia="Times New Roman" w:hAnsi="Times New Roman" w:cs="Times New Roman"/>
            <w:i/>
            <w:iCs/>
            <w:color w:val="808080"/>
            <w:sz w:val="24"/>
            <w:szCs w:val="24"/>
            <w:u w:val="single"/>
            <w:bdr w:val="none" w:sz="0" w:space="0" w:color="auto" w:frame="1"/>
            <w:lang w:eastAsia="ru-RU"/>
          </w:rPr>
          <w:t>Приложение 3</w:t>
        </w:r>
      </w:hyperlink>
      <w:r w:rsidR="001C112B" w:rsidRPr="001C112B">
        <w:rPr>
          <w:rFonts w:ascii="Times New Roman" w:eastAsia="Times New Roman" w:hAnsi="Times New Roman" w:cs="Times New Roman"/>
          <w:i/>
          <w:iCs/>
          <w:color w:val="333333"/>
          <w:sz w:val="24"/>
          <w:szCs w:val="24"/>
          <w:lang w:eastAsia="ru-RU"/>
        </w:rPr>
        <w:t>, </w:t>
      </w:r>
      <w:hyperlink r:id="rId17" w:history="1">
        <w:r w:rsidR="001C112B" w:rsidRPr="001C112B">
          <w:rPr>
            <w:rFonts w:ascii="Times New Roman" w:eastAsia="Times New Roman" w:hAnsi="Times New Roman" w:cs="Times New Roman"/>
            <w:i/>
            <w:iCs/>
            <w:color w:val="808080"/>
            <w:sz w:val="24"/>
            <w:szCs w:val="24"/>
            <w:u w:val="single"/>
            <w:bdr w:val="none" w:sz="0" w:space="0" w:color="auto" w:frame="1"/>
            <w:lang w:eastAsia="ru-RU"/>
          </w:rPr>
          <w:t>6</w:t>
        </w:r>
      </w:hyperlink>
      <w:r w:rsidR="001C112B" w:rsidRPr="001C112B">
        <w:rPr>
          <w:rFonts w:ascii="Times New Roman" w:eastAsia="Times New Roman" w:hAnsi="Times New Roman" w:cs="Times New Roman"/>
          <w:i/>
          <w:iCs/>
          <w:color w:val="333333"/>
          <w:sz w:val="24"/>
          <w:szCs w:val="24"/>
          <w:lang w:eastAsia="ru-RU"/>
        </w:rPr>
        <w:t> к Федеральному закону от 28 декабря 2013 г. № 400-ФЗ "</w:t>
      </w:r>
      <w:hyperlink r:id="rId18" w:history="1">
        <w:r w:rsidR="001C112B" w:rsidRPr="001C112B">
          <w:rPr>
            <w:rFonts w:ascii="Times New Roman" w:eastAsia="Times New Roman" w:hAnsi="Times New Roman" w:cs="Times New Roman"/>
            <w:i/>
            <w:iCs/>
            <w:color w:val="808080"/>
            <w:sz w:val="24"/>
            <w:szCs w:val="24"/>
            <w:u w:val="single"/>
            <w:bdr w:val="none" w:sz="0" w:space="0" w:color="auto" w:frame="1"/>
            <w:lang w:eastAsia="ru-RU"/>
          </w:rPr>
          <w:t>О страховых пенсиях</w:t>
        </w:r>
      </w:hyperlink>
      <w:r w:rsidR="001C112B" w:rsidRPr="001C112B">
        <w:rPr>
          <w:rFonts w:ascii="Times New Roman" w:eastAsia="Times New Roman" w:hAnsi="Times New Roman" w:cs="Times New Roman"/>
          <w:i/>
          <w:iCs/>
          <w:color w:val="333333"/>
          <w:sz w:val="24"/>
          <w:szCs w:val="24"/>
          <w:lang w:eastAsia="ru-RU"/>
        </w:rPr>
        <w:t>"</w:t>
      </w:r>
    </w:p>
    <w:p w14:paraId="7CF09682"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 </w:t>
      </w:r>
    </w:p>
    <w:p w14:paraId="11EE8B3B" w14:textId="77777777"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Будет определен правовой статус Единой централизованной платформы в социальной сфере</w:t>
      </w:r>
    </w:p>
    <w:p w14:paraId="0760063E"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Эта платформа заменит ЕГИССО, которая станет частью единой цифровой платформы. Новая платформа обеспечит автоматизацию: предоставления мер соцзащиты (поддержки), соцуслуг, иных соцгарантий, в том числе пенсионного обеспечения, и выплат, предоставляемых гражданам РФ; проведения медико-социальной экспертизы, учета мероприятий по реабилитации (абилитации) инвалидов и детей-инвалидов, учета мероприятий по реабилитации пострадавших в результате несчастных случаев на производстве и профзаболеваний; обеспечения граждан, органов госвласти и местного самоуправления, организаций, предоставляющих меры соцзащиты (поддержки), информацией о соответствующих мерах. В рамках единой цифровой платформы будет обеспечиваться формирование и ведение классификатора мер и перечня категорий получателей соцзащиты (поддержки), иных классификаторов, справочников и реестров платформы, а также выявление граждан, нуждающихся в получении таких мер, а равно учет, обработка и хранение сведений о них, назначение и предоставление указанных мер и т. д.</w:t>
      </w:r>
    </w:p>
    <w:p w14:paraId="09DC27A8"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Кроме того, с начала года вводится обязанность по реализации мер соцподдержки в электронном виде с возможностью обращения за их получением через портал госуслуг. Сведения, необходимые для предоставления таких мер, планируется получать только путем межведомственного взаимодействия. Также обновятся правила информирования гражданина о правах, возникающих в связи с событием, наступление которого предоставляет ему возможность получения мер соцзащиты (поддержки), соцуслуг, иных соцгарантий и выплат, а также об условиях их назначения и предоставления.</w:t>
      </w:r>
    </w:p>
    <w:p w14:paraId="783B1B36" w14:textId="77777777" w:rsidR="001C112B" w:rsidRPr="001C112B" w:rsidRDefault="001C112B" w:rsidP="001C112B">
      <w:pPr>
        <w:numPr>
          <w:ilvl w:val="0"/>
          <w:numId w:val="3"/>
        </w:numPr>
        <w:shd w:val="clear" w:color="auto" w:fill="FFFFFF"/>
        <w:spacing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10 июля 2023 г. № 293-ФЗ "</w:t>
      </w:r>
      <w:hyperlink r:id="rId19"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w:t>
        </w:r>
      </w:hyperlink>
      <w:r w:rsidRPr="001C112B">
        <w:rPr>
          <w:rFonts w:ascii="Times New Roman" w:eastAsia="Times New Roman" w:hAnsi="Times New Roman" w:cs="Times New Roman"/>
          <w:i/>
          <w:iCs/>
          <w:color w:val="333333"/>
          <w:sz w:val="24"/>
          <w:szCs w:val="24"/>
          <w:lang w:eastAsia="ru-RU"/>
        </w:rPr>
        <w:t>"</w:t>
      </w:r>
    </w:p>
    <w:p w14:paraId="0E8FEBD8" w14:textId="77777777" w:rsidR="001C112B" w:rsidRPr="001C112B" w:rsidRDefault="001C112B" w:rsidP="001C112B">
      <w:pPr>
        <w:numPr>
          <w:ilvl w:val="0"/>
          <w:numId w:val="3"/>
        </w:numPr>
        <w:shd w:val="clear" w:color="auto" w:fill="FFFFFF"/>
        <w:spacing w:before="60"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19 декабря 2022 г. № 551-ФЗ "</w:t>
      </w:r>
      <w:hyperlink r:id="rId20"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изменения в Федеральный закон "О государственной социальной помощи</w:t>
        </w:r>
      </w:hyperlink>
      <w:r w:rsidRPr="001C112B">
        <w:rPr>
          <w:rFonts w:ascii="Times New Roman" w:eastAsia="Times New Roman" w:hAnsi="Times New Roman" w:cs="Times New Roman"/>
          <w:i/>
          <w:iCs/>
          <w:color w:val="333333"/>
          <w:sz w:val="24"/>
          <w:szCs w:val="24"/>
          <w:lang w:eastAsia="ru-RU"/>
        </w:rPr>
        <w:t>"</w:t>
      </w:r>
    </w:p>
    <w:p w14:paraId="42576F72" w14:textId="77777777" w:rsidR="001C112B" w:rsidRPr="001C112B" w:rsidRDefault="001C112B" w:rsidP="001C112B">
      <w:pPr>
        <w:numPr>
          <w:ilvl w:val="0"/>
          <w:numId w:val="3"/>
        </w:numPr>
        <w:shd w:val="clear" w:color="auto" w:fill="FFFFFF"/>
        <w:spacing w:before="60"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Постановление Правительства РФ от 14 ноября 2023 г. № 1910 "</w:t>
      </w:r>
      <w:hyperlink r:id="rId21" w:history="1">
        <w:r w:rsidRPr="001C112B">
          <w:rPr>
            <w:rFonts w:ascii="Times New Roman" w:eastAsia="Times New Roman" w:hAnsi="Times New Roman" w:cs="Times New Roman"/>
            <w:i/>
            <w:iCs/>
            <w:color w:val="808080"/>
            <w:sz w:val="24"/>
            <w:szCs w:val="24"/>
            <w:u w:val="single"/>
            <w:bdr w:val="none" w:sz="0" w:space="0" w:color="auto" w:frame="1"/>
            <w:lang w:eastAsia="ru-RU"/>
          </w:rPr>
          <w:t>Об утверждении Правил информирования гражданина о правах, возникающих в связи с событием, наступление которого предоставляет ему возможность получения мер социальной защиты (поддержки), социальных услуг, предоставляемых в рамках социального обслуживания и государственной социальной помощи, иных социальных гарантий и выплат, а также об условиях их назначения и предоставления</w:t>
        </w:r>
      </w:hyperlink>
      <w:r w:rsidRPr="001C112B">
        <w:rPr>
          <w:rFonts w:ascii="Times New Roman" w:eastAsia="Times New Roman" w:hAnsi="Times New Roman" w:cs="Times New Roman"/>
          <w:i/>
          <w:iCs/>
          <w:color w:val="333333"/>
          <w:sz w:val="24"/>
          <w:szCs w:val="24"/>
          <w:lang w:eastAsia="ru-RU"/>
        </w:rPr>
        <w:t>"</w:t>
      </w:r>
    </w:p>
    <w:p w14:paraId="7DBF4B0A" w14:textId="77777777" w:rsidR="008067F5" w:rsidRDefault="008067F5"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p>
    <w:p w14:paraId="38F703AB" w14:textId="5B343AC4"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Социальные и страховые пенсии будут назначать в беззаявительном порядке</w:t>
      </w:r>
    </w:p>
    <w:p w14:paraId="77547D53"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 xml:space="preserve">Речь идет о страховой и социальной пенсии по случаю потери кормильца, а также социальной пенсии детям, оба родителя которых неизвестны. Такие пенсии с начала года будут назначать в беззаявительном порядке. СФР получит из органов ЗАГС необходимые сведения и в течение 5 рабочих дней назначит выплаты. Автоматически (без заявлений) </w:t>
      </w:r>
      <w:r w:rsidRPr="001C112B">
        <w:rPr>
          <w:rFonts w:ascii="Times New Roman" w:eastAsia="Times New Roman" w:hAnsi="Times New Roman" w:cs="Times New Roman"/>
          <w:color w:val="333333"/>
          <w:sz w:val="24"/>
          <w:szCs w:val="24"/>
          <w:lang w:eastAsia="ru-RU"/>
        </w:rPr>
        <w:lastRenderedPageBreak/>
        <w:t>также начнут проводить перерасчет фиксированной выплаты к пенсии за стаж в районах Крайнего Севера и в сельском хозяйстве. О принятии решения о перерасчете граждан уведомят через портал госуслуг или по почте в течение 3 рабочих дней.</w:t>
      </w:r>
    </w:p>
    <w:p w14:paraId="5EBC2B5A" w14:textId="2EAEB6AB"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p>
    <w:p w14:paraId="50086065" w14:textId="77777777"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Продолжительность ожидаемого периода выплаты накопительной пенсии на 2024 год не изменится</w:t>
      </w:r>
    </w:p>
    <w:p w14:paraId="6C66DBB4"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Ожидаемый период, применяемый для расчета размера накопительной пенсии, на следующий год установлен продолжительностью 264 месяца. Напомним, до 1 января 2016 года ожидаемый период выплаты накопительной пенсии устанавливался продолжительностью 19 лет (228 месяцев). А теперь он ежегодно определяется федеральным законом на основании официальных статистических данных о продолжительности жизни получателей накопительной пенсии в соответствии со специальной методикой оценки.</w:t>
      </w:r>
    </w:p>
    <w:p w14:paraId="57D98EEE"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27 ноября 2023 г. № 551-ФЗ "</w:t>
      </w:r>
      <w:hyperlink r:id="rId22" w:history="1">
        <w:r w:rsidRPr="001C112B">
          <w:rPr>
            <w:rFonts w:ascii="Times New Roman" w:eastAsia="Times New Roman" w:hAnsi="Times New Roman" w:cs="Times New Roman"/>
            <w:i/>
            <w:iCs/>
            <w:color w:val="808080"/>
            <w:sz w:val="24"/>
            <w:szCs w:val="24"/>
            <w:u w:val="single"/>
            <w:bdr w:val="none" w:sz="0" w:space="0" w:color="auto" w:frame="1"/>
            <w:lang w:eastAsia="ru-RU"/>
          </w:rPr>
          <w:t>Об ожидаемом периоде выплаты накопительной пенсии на 2024 год</w:t>
        </w:r>
      </w:hyperlink>
      <w:r w:rsidRPr="001C112B">
        <w:rPr>
          <w:rFonts w:ascii="Times New Roman" w:eastAsia="Times New Roman" w:hAnsi="Times New Roman" w:cs="Times New Roman"/>
          <w:i/>
          <w:iCs/>
          <w:color w:val="333333"/>
          <w:sz w:val="24"/>
          <w:szCs w:val="24"/>
          <w:lang w:eastAsia="ru-RU"/>
        </w:rPr>
        <w:t>"</w:t>
      </w:r>
    </w:p>
    <w:p w14:paraId="1A38F2F8" w14:textId="77777777" w:rsidR="001C112B" w:rsidRPr="001C112B" w:rsidRDefault="001C112B" w:rsidP="001C112B">
      <w:pPr>
        <w:shd w:val="clear" w:color="auto" w:fill="FFFFFF"/>
        <w:spacing w:after="255" w:line="270" w:lineRule="atLeast"/>
        <w:jc w:val="both"/>
        <w:outlineLvl w:val="2"/>
        <w:rPr>
          <w:rFonts w:ascii="Times New Roman" w:eastAsia="Times New Roman" w:hAnsi="Times New Roman" w:cs="Times New Roman"/>
          <w:b/>
          <w:bCs/>
          <w:color w:val="4D4D4D"/>
          <w:sz w:val="24"/>
          <w:szCs w:val="24"/>
          <w:lang w:eastAsia="ru-RU"/>
        </w:rPr>
      </w:pPr>
      <w:r w:rsidRPr="001C112B">
        <w:rPr>
          <w:rFonts w:ascii="Times New Roman" w:eastAsia="Times New Roman" w:hAnsi="Times New Roman" w:cs="Times New Roman"/>
          <w:b/>
          <w:bCs/>
          <w:color w:val="4D4D4D"/>
          <w:sz w:val="24"/>
          <w:szCs w:val="24"/>
          <w:lang w:eastAsia="ru-RU"/>
        </w:rPr>
        <w:t>Нотариусы будут бесплатно удостоверять доверенности граждан-получателей бесплатной юридической помощи</w:t>
      </w:r>
    </w:p>
    <w:p w14:paraId="15CDE16C" w14:textId="77777777" w:rsidR="001C112B" w:rsidRPr="001C112B" w:rsidRDefault="001C112B" w:rsidP="001C112B">
      <w:pPr>
        <w:shd w:val="clear" w:color="auto" w:fill="FFFFFF"/>
        <w:spacing w:after="255" w:line="270" w:lineRule="atLeast"/>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color w:val="333333"/>
          <w:sz w:val="24"/>
          <w:szCs w:val="24"/>
          <w:lang w:eastAsia="ru-RU"/>
        </w:rPr>
        <w:t>Речь идет о юридической помощи на представление интересов в суде и госорганах. Для бесплатного оформления доверенности достаточно будет представить нотариусу соглашение, заключенное с адвокатом или с государственным юридическим бюро. А затраты компенсируют за счет средств регионального бюджета. С начала года в НК РФ появится новая льгота по уплате госпошлины при обращении за совершением нотариальных действий, связанных с удостоверением доверенности на представление интересов физлица в судах, государственных и муниципальных органах, организациях при оказании бесплатной юридической помощи.</w:t>
      </w:r>
    </w:p>
    <w:p w14:paraId="3D8FBCC9" w14:textId="77777777" w:rsidR="001C112B" w:rsidRPr="001C112B" w:rsidRDefault="001C112B" w:rsidP="001C112B">
      <w:pPr>
        <w:numPr>
          <w:ilvl w:val="0"/>
          <w:numId w:val="4"/>
        </w:numPr>
        <w:shd w:val="clear" w:color="auto" w:fill="FFFFFF"/>
        <w:spacing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10 июля 2023 г. № 325-ФЗ "</w:t>
      </w:r>
      <w:hyperlink r:id="rId23"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изменений в Федеральный закон "О бесплатной юридической помощи в Российской Федерации" и статью 44 Федерального закона "Об общих принципах организации публичной власти в субъектах Российской Федерации</w:t>
        </w:r>
      </w:hyperlink>
      <w:r w:rsidRPr="001C112B">
        <w:rPr>
          <w:rFonts w:ascii="Times New Roman" w:eastAsia="Times New Roman" w:hAnsi="Times New Roman" w:cs="Times New Roman"/>
          <w:i/>
          <w:iCs/>
          <w:color w:val="333333"/>
          <w:sz w:val="24"/>
          <w:szCs w:val="24"/>
          <w:lang w:eastAsia="ru-RU"/>
        </w:rPr>
        <w:t>"</w:t>
      </w:r>
    </w:p>
    <w:p w14:paraId="4E4A4768" w14:textId="593F4CA9" w:rsidR="001C112B" w:rsidRPr="001C112B" w:rsidRDefault="001C112B" w:rsidP="001C112B">
      <w:pPr>
        <w:numPr>
          <w:ilvl w:val="0"/>
          <w:numId w:val="4"/>
        </w:numPr>
        <w:shd w:val="clear" w:color="auto" w:fill="FFFFFF"/>
        <w:spacing w:before="60" w:after="0" w:line="270" w:lineRule="atLeast"/>
        <w:ind w:left="870"/>
        <w:jc w:val="both"/>
        <w:rPr>
          <w:rFonts w:ascii="Times New Roman" w:eastAsia="Times New Roman" w:hAnsi="Times New Roman" w:cs="Times New Roman"/>
          <w:color w:val="333333"/>
          <w:sz w:val="24"/>
          <w:szCs w:val="24"/>
          <w:lang w:eastAsia="ru-RU"/>
        </w:rPr>
      </w:pPr>
      <w:r w:rsidRPr="001C112B">
        <w:rPr>
          <w:rFonts w:ascii="Times New Roman" w:eastAsia="Times New Roman" w:hAnsi="Times New Roman" w:cs="Times New Roman"/>
          <w:i/>
          <w:iCs/>
          <w:color w:val="333333"/>
          <w:sz w:val="24"/>
          <w:szCs w:val="24"/>
          <w:lang w:eastAsia="ru-RU"/>
        </w:rPr>
        <w:t>Федеральный закон от 10 июля 2023 г. № 300-ФЗ "</w:t>
      </w:r>
      <w:hyperlink r:id="rId24"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изменения в статью 333.38 части второй Налогового кодекса Российской Федерации</w:t>
        </w:r>
      </w:hyperlink>
      <w:hyperlink r:id="rId25"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изменения в статью 333.38 части второй Налогового кодекса Российской Федерации</w:t>
        </w:r>
      </w:hyperlink>
      <w:r w:rsidR="00DC4F87">
        <w:rPr>
          <w:rFonts w:ascii="Times New Roman" w:eastAsia="Times New Roman" w:hAnsi="Times New Roman" w:cs="Times New Roman"/>
          <w:i/>
          <w:iCs/>
          <w:color w:val="808080"/>
          <w:sz w:val="24"/>
          <w:szCs w:val="24"/>
          <w:u w:val="single"/>
          <w:bdr w:val="none" w:sz="0" w:space="0" w:color="auto" w:frame="1"/>
          <w:lang w:eastAsia="ru-RU"/>
        </w:rPr>
        <w:t xml:space="preserve"> «</w:t>
      </w:r>
      <w:hyperlink r:id="rId26" w:history="1">
        <w:r w:rsidRPr="001C112B">
          <w:rPr>
            <w:rFonts w:ascii="Times New Roman" w:eastAsia="Times New Roman" w:hAnsi="Times New Roman" w:cs="Times New Roman"/>
            <w:i/>
            <w:iCs/>
            <w:color w:val="808080"/>
            <w:sz w:val="24"/>
            <w:szCs w:val="24"/>
            <w:u w:val="single"/>
            <w:bdr w:val="none" w:sz="0" w:space="0" w:color="auto" w:frame="1"/>
            <w:lang w:eastAsia="ru-RU"/>
          </w:rPr>
          <w:t>О внесении изменения в статью 333.38 части второй Налогового кодекса Российской Федерации</w:t>
        </w:r>
      </w:hyperlink>
      <w:r w:rsidR="00DC4F87">
        <w:rPr>
          <w:rFonts w:ascii="Times New Roman" w:eastAsia="Times New Roman" w:hAnsi="Times New Roman" w:cs="Times New Roman"/>
          <w:i/>
          <w:iCs/>
          <w:color w:val="333333"/>
          <w:sz w:val="24"/>
          <w:szCs w:val="24"/>
          <w:lang w:eastAsia="ru-RU"/>
        </w:rPr>
        <w:t>».</w:t>
      </w:r>
    </w:p>
    <w:p w14:paraId="2AADC00D" w14:textId="77777777" w:rsidR="00640764" w:rsidRPr="001C112B" w:rsidRDefault="00640764" w:rsidP="001C112B">
      <w:pPr>
        <w:jc w:val="both"/>
        <w:rPr>
          <w:rFonts w:ascii="Times New Roman" w:hAnsi="Times New Roman" w:cs="Times New Roman"/>
          <w:sz w:val="24"/>
          <w:szCs w:val="24"/>
        </w:rPr>
      </w:pPr>
    </w:p>
    <w:sectPr w:rsidR="00640764" w:rsidRPr="001C11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E10471"/>
    <w:multiLevelType w:val="multilevel"/>
    <w:tmpl w:val="2E4EE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86D24CB"/>
    <w:multiLevelType w:val="multilevel"/>
    <w:tmpl w:val="5D68D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726783"/>
    <w:multiLevelType w:val="multilevel"/>
    <w:tmpl w:val="A0EC1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4AA179C"/>
    <w:multiLevelType w:val="multilevel"/>
    <w:tmpl w:val="F266C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694"/>
    <w:rsid w:val="000801CF"/>
    <w:rsid w:val="001C112B"/>
    <w:rsid w:val="00640764"/>
    <w:rsid w:val="008067F5"/>
    <w:rsid w:val="00AC2694"/>
    <w:rsid w:val="00DC4F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6C541"/>
  <w15:chartTrackingRefBased/>
  <w15:docId w15:val="{B6E3B749-6088-496B-A701-33EFB0A34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3">
    <w:name w:val="heading 3"/>
    <w:basedOn w:val="a"/>
    <w:link w:val="30"/>
    <w:uiPriority w:val="9"/>
    <w:qFormat/>
    <w:rsid w:val="001C112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1C112B"/>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1C112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1C112B"/>
    <w:rPr>
      <w:color w:val="0000FF"/>
      <w:u w:val="single"/>
    </w:rPr>
  </w:style>
  <w:style w:type="character" w:styleId="a5">
    <w:name w:val="Emphasis"/>
    <w:basedOn w:val="a0"/>
    <w:uiPriority w:val="20"/>
    <w:qFormat/>
    <w:rsid w:val="001C112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50799">
      <w:bodyDiv w:val="1"/>
      <w:marLeft w:val="0"/>
      <w:marRight w:val="0"/>
      <w:marTop w:val="0"/>
      <w:marBottom w:val="0"/>
      <w:divBdr>
        <w:top w:val="none" w:sz="0" w:space="0" w:color="auto"/>
        <w:left w:val="none" w:sz="0" w:space="0" w:color="auto"/>
        <w:bottom w:val="none" w:sz="0" w:space="0" w:color="auto"/>
        <w:right w:val="none" w:sz="0" w:space="0" w:color="auto"/>
      </w:divBdr>
    </w:div>
    <w:div w:id="81226778">
      <w:bodyDiv w:val="1"/>
      <w:marLeft w:val="0"/>
      <w:marRight w:val="0"/>
      <w:marTop w:val="0"/>
      <w:marBottom w:val="0"/>
      <w:divBdr>
        <w:top w:val="none" w:sz="0" w:space="0" w:color="auto"/>
        <w:left w:val="none" w:sz="0" w:space="0" w:color="auto"/>
        <w:bottom w:val="none" w:sz="0" w:space="0" w:color="auto"/>
        <w:right w:val="none" w:sz="0" w:space="0" w:color="auto"/>
      </w:divBdr>
    </w:div>
    <w:div w:id="173810020">
      <w:bodyDiv w:val="1"/>
      <w:marLeft w:val="0"/>
      <w:marRight w:val="0"/>
      <w:marTop w:val="0"/>
      <w:marBottom w:val="0"/>
      <w:divBdr>
        <w:top w:val="none" w:sz="0" w:space="0" w:color="auto"/>
        <w:left w:val="none" w:sz="0" w:space="0" w:color="auto"/>
        <w:bottom w:val="none" w:sz="0" w:space="0" w:color="auto"/>
        <w:right w:val="none" w:sz="0" w:space="0" w:color="auto"/>
      </w:divBdr>
    </w:div>
    <w:div w:id="338895781">
      <w:bodyDiv w:val="1"/>
      <w:marLeft w:val="0"/>
      <w:marRight w:val="0"/>
      <w:marTop w:val="0"/>
      <w:marBottom w:val="0"/>
      <w:divBdr>
        <w:top w:val="none" w:sz="0" w:space="0" w:color="auto"/>
        <w:left w:val="none" w:sz="0" w:space="0" w:color="auto"/>
        <w:bottom w:val="none" w:sz="0" w:space="0" w:color="auto"/>
        <w:right w:val="none" w:sz="0" w:space="0" w:color="auto"/>
      </w:divBdr>
    </w:div>
    <w:div w:id="398329873">
      <w:bodyDiv w:val="1"/>
      <w:marLeft w:val="0"/>
      <w:marRight w:val="0"/>
      <w:marTop w:val="0"/>
      <w:marBottom w:val="0"/>
      <w:divBdr>
        <w:top w:val="none" w:sz="0" w:space="0" w:color="auto"/>
        <w:left w:val="none" w:sz="0" w:space="0" w:color="auto"/>
        <w:bottom w:val="none" w:sz="0" w:space="0" w:color="auto"/>
        <w:right w:val="none" w:sz="0" w:space="0" w:color="auto"/>
      </w:divBdr>
    </w:div>
    <w:div w:id="876165524">
      <w:bodyDiv w:val="1"/>
      <w:marLeft w:val="0"/>
      <w:marRight w:val="0"/>
      <w:marTop w:val="0"/>
      <w:marBottom w:val="0"/>
      <w:divBdr>
        <w:top w:val="none" w:sz="0" w:space="0" w:color="auto"/>
        <w:left w:val="none" w:sz="0" w:space="0" w:color="auto"/>
        <w:bottom w:val="none" w:sz="0" w:space="0" w:color="auto"/>
        <w:right w:val="none" w:sz="0" w:space="0" w:color="auto"/>
      </w:divBdr>
    </w:div>
    <w:div w:id="958293921">
      <w:bodyDiv w:val="1"/>
      <w:marLeft w:val="0"/>
      <w:marRight w:val="0"/>
      <w:marTop w:val="0"/>
      <w:marBottom w:val="0"/>
      <w:divBdr>
        <w:top w:val="none" w:sz="0" w:space="0" w:color="auto"/>
        <w:left w:val="none" w:sz="0" w:space="0" w:color="auto"/>
        <w:bottom w:val="none" w:sz="0" w:space="0" w:color="auto"/>
        <w:right w:val="none" w:sz="0" w:space="0" w:color="auto"/>
      </w:divBdr>
    </w:div>
    <w:div w:id="995497611">
      <w:bodyDiv w:val="1"/>
      <w:marLeft w:val="0"/>
      <w:marRight w:val="0"/>
      <w:marTop w:val="0"/>
      <w:marBottom w:val="0"/>
      <w:divBdr>
        <w:top w:val="none" w:sz="0" w:space="0" w:color="auto"/>
        <w:left w:val="none" w:sz="0" w:space="0" w:color="auto"/>
        <w:bottom w:val="none" w:sz="0" w:space="0" w:color="auto"/>
        <w:right w:val="none" w:sz="0" w:space="0" w:color="auto"/>
      </w:divBdr>
    </w:div>
    <w:div w:id="1293747269">
      <w:bodyDiv w:val="1"/>
      <w:marLeft w:val="0"/>
      <w:marRight w:val="0"/>
      <w:marTop w:val="0"/>
      <w:marBottom w:val="0"/>
      <w:divBdr>
        <w:top w:val="none" w:sz="0" w:space="0" w:color="auto"/>
        <w:left w:val="none" w:sz="0" w:space="0" w:color="auto"/>
        <w:bottom w:val="none" w:sz="0" w:space="0" w:color="auto"/>
        <w:right w:val="none" w:sz="0" w:space="0" w:color="auto"/>
      </w:divBdr>
    </w:div>
    <w:div w:id="1860192514">
      <w:bodyDiv w:val="1"/>
      <w:marLeft w:val="0"/>
      <w:marRight w:val="0"/>
      <w:marTop w:val="0"/>
      <w:marBottom w:val="0"/>
      <w:divBdr>
        <w:top w:val="none" w:sz="0" w:space="0" w:color="auto"/>
        <w:left w:val="none" w:sz="0" w:space="0" w:color="auto"/>
        <w:bottom w:val="none" w:sz="0" w:space="0" w:color="auto"/>
        <w:right w:val="none" w:sz="0" w:space="0" w:color="auto"/>
      </w:divBdr>
    </w:div>
    <w:div w:id="2042971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408079281/" TargetMode="External"/><Relationship Id="rId13" Type="http://schemas.openxmlformats.org/officeDocument/2006/relationships/hyperlink" Target="https://www.garant.ru/news/1664700/" TargetMode="External"/><Relationship Id="rId18" Type="http://schemas.openxmlformats.org/officeDocument/2006/relationships/hyperlink" Target="https://base.garant.ru/70552688/" TargetMode="External"/><Relationship Id="rId26" Type="http://schemas.openxmlformats.org/officeDocument/2006/relationships/hyperlink" Target="https://base.garant.ru/407362860/" TargetMode="External"/><Relationship Id="rId3" Type="http://schemas.openxmlformats.org/officeDocument/2006/relationships/settings" Target="settings.xml"/><Relationship Id="rId21" Type="http://schemas.openxmlformats.org/officeDocument/2006/relationships/hyperlink" Target="https://base.garant.ru/408020337/" TargetMode="External"/><Relationship Id="rId7" Type="http://schemas.openxmlformats.org/officeDocument/2006/relationships/hyperlink" Target="https://www.garant.ru/news/1661008/" TargetMode="External"/><Relationship Id="rId12" Type="http://schemas.openxmlformats.org/officeDocument/2006/relationships/hyperlink" Target="https://base.garant.ru/408277205/" TargetMode="External"/><Relationship Id="rId17" Type="http://schemas.openxmlformats.org/officeDocument/2006/relationships/hyperlink" Target="https://base.garant.ru/70552688/7dede6ac8f25be619ed07c17ed1c62c9/" TargetMode="External"/><Relationship Id="rId25" Type="http://schemas.openxmlformats.org/officeDocument/2006/relationships/hyperlink" Target="https://base.garant.ru/407362860/" TargetMode="External"/><Relationship Id="rId2" Type="http://schemas.openxmlformats.org/officeDocument/2006/relationships/styles" Target="styles.xml"/><Relationship Id="rId16" Type="http://schemas.openxmlformats.org/officeDocument/2006/relationships/hyperlink" Target="https://base.garant.ru/70552688/3e22e51c74db8e0b182fad67b502e640/" TargetMode="External"/><Relationship Id="rId20" Type="http://schemas.openxmlformats.org/officeDocument/2006/relationships/hyperlink" Target="https://base.garant.ru/405962835/" TargetMode="External"/><Relationship Id="rId1" Type="http://schemas.openxmlformats.org/officeDocument/2006/relationships/numbering" Target="numbering.xml"/><Relationship Id="rId6" Type="http://schemas.openxmlformats.org/officeDocument/2006/relationships/hyperlink" Target="https://base.garant.ru/408079281/31de5683116b8d79b08fa2d768e33df6/" TargetMode="External"/><Relationship Id="rId11" Type="http://schemas.openxmlformats.org/officeDocument/2006/relationships/hyperlink" Target="https://base.garant.ru/407484135/" TargetMode="External"/><Relationship Id="rId24" Type="http://schemas.openxmlformats.org/officeDocument/2006/relationships/hyperlink" Target="https://base.garant.ru/407362860/" TargetMode="External"/><Relationship Id="rId5" Type="http://schemas.openxmlformats.org/officeDocument/2006/relationships/hyperlink" Target="https://base.garant.ru/408079033/" TargetMode="External"/><Relationship Id="rId15" Type="http://schemas.openxmlformats.org/officeDocument/2006/relationships/hyperlink" Target="https://base.garant.ru/408109829/" TargetMode="External"/><Relationship Id="rId23" Type="http://schemas.openxmlformats.org/officeDocument/2006/relationships/hyperlink" Target="https://base.garant.ru/407363338/" TargetMode="External"/><Relationship Id="rId28" Type="http://schemas.openxmlformats.org/officeDocument/2006/relationships/theme" Target="theme/theme1.xml"/><Relationship Id="rId10" Type="http://schemas.openxmlformats.org/officeDocument/2006/relationships/hyperlink" Target="https://base.garant.ru/408274723/" TargetMode="External"/><Relationship Id="rId19" Type="http://schemas.openxmlformats.org/officeDocument/2006/relationships/hyperlink" Target="https://base.garant.ru/407362838/" TargetMode="External"/><Relationship Id="rId4" Type="http://schemas.openxmlformats.org/officeDocument/2006/relationships/webSettings" Target="webSettings.xml"/><Relationship Id="rId9" Type="http://schemas.openxmlformats.org/officeDocument/2006/relationships/hyperlink" Target="https://www.garant.ru/news/1665565/" TargetMode="External"/><Relationship Id="rId14" Type="http://schemas.openxmlformats.org/officeDocument/2006/relationships/hyperlink" Target="https://base.garant.ru/408231731/" TargetMode="External"/><Relationship Id="rId22" Type="http://schemas.openxmlformats.org/officeDocument/2006/relationships/hyperlink" Target="https://base.garant.ru/408079005/"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Pages>
  <Words>1768</Words>
  <Characters>10084</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Цыбина Лариса Загировна</dc:creator>
  <cp:keywords/>
  <dc:description/>
  <cp:lastModifiedBy>Цыбина Лариса Загировна</cp:lastModifiedBy>
  <cp:revision>4</cp:revision>
  <dcterms:created xsi:type="dcterms:W3CDTF">2024-01-12T17:21:00Z</dcterms:created>
  <dcterms:modified xsi:type="dcterms:W3CDTF">2024-01-15T06:23:00Z</dcterms:modified>
</cp:coreProperties>
</file>