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0D9" w:rsidRDefault="003F6753" w:rsidP="00271F92">
      <w:pPr>
        <w:jc w:val="center"/>
      </w:pPr>
      <w:r>
        <w:t>Обзор изменений законодательства</w:t>
      </w:r>
    </w:p>
    <w:p w:rsidR="000650D9" w:rsidRPr="00FF1E54" w:rsidRDefault="000650D9" w:rsidP="004858EF">
      <w:pPr>
        <w:pStyle w:val="aa"/>
        <w:ind w:firstLine="851"/>
        <w:jc w:val="center"/>
      </w:pPr>
      <w:r w:rsidRPr="00271F92">
        <w:rPr>
          <w:u w:val="single"/>
        </w:rPr>
        <w:t>С 27 марта ужесточат наказания за нарушения в области перс</w:t>
      </w:r>
      <w:r w:rsidR="00271F92" w:rsidRPr="00271F92">
        <w:rPr>
          <w:u w:val="single"/>
        </w:rPr>
        <w:t xml:space="preserve">ональных </w:t>
      </w:r>
      <w:r w:rsidRPr="00271F92">
        <w:rPr>
          <w:u w:val="single"/>
        </w:rPr>
        <w:t>данных и безопасности Рунета</w:t>
      </w:r>
    </w:p>
    <w:p w:rsidR="000650D9" w:rsidRPr="00FF1E54" w:rsidRDefault="000650D9" w:rsidP="00FF1E54">
      <w:pPr>
        <w:pStyle w:val="aa"/>
        <w:ind w:firstLine="851"/>
        <w:jc w:val="both"/>
      </w:pPr>
      <w:r w:rsidRPr="00FF1E54">
        <w:t>Президент подписал закон с поправками об административной ответственности, в частности, за нарушения в области персональных данных и безопасности Рунета. Большинство изменений вступят в силу 27 марта. Рассмотрим некоторые из них.</w:t>
      </w:r>
    </w:p>
    <w:p w:rsidR="000650D9" w:rsidRPr="00FF1E54" w:rsidRDefault="000650D9" w:rsidP="00FF1E54">
      <w:pPr>
        <w:pStyle w:val="aa"/>
        <w:ind w:firstLine="851"/>
        <w:jc w:val="both"/>
      </w:pPr>
      <w:r w:rsidRPr="00FF1E54">
        <w:t>Нарушения в области персональных данных</w:t>
      </w:r>
      <w:bookmarkStart w:id="0" w:name="_GoBack"/>
      <w:bookmarkEnd w:id="0"/>
    </w:p>
    <w:p w:rsidR="000650D9" w:rsidRPr="00FF1E54" w:rsidRDefault="000650D9" w:rsidP="00FF1E54">
      <w:pPr>
        <w:pStyle w:val="aa"/>
        <w:ind w:firstLine="851"/>
        <w:jc w:val="both"/>
      </w:pPr>
      <w:r w:rsidRPr="00FF1E54">
        <w:t>Незаконная или нецелевая обработка</w:t>
      </w:r>
    </w:p>
    <w:p w:rsidR="000650D9" w:rsidRPr="00FF1E54" w:rsidRDefault="000650D9" w:rsidP="00FF1E54">
      <w:pPr>
        <w:pStyle w:val="aa"/>
        <w:ind w:firstLine="851"/>
        <w:jc w:val="both"/>
      </w:pPr>
      <w:r w:rsidRPr="00FF1E54">
        <w:t>За обработку личных данных в незаконных случаях должностных лиц и ИП будут штрафовать на сумму от 10 ты</w:t>
      </w:r>
      <w:r w:rsidR="004858EF">
        <w:t>с. до 20 тыс. руб., а компании -</w:t>
      </w:r>
      <w:r w:rsidRPr="00FF1E54">
        <w:t xml:space="preserve"> от 60 тыс. до 100 тыс. руб. То же по общему правилу коснется обработки вопреки целям сбора такой информации.</w:t>
      </w:r>
    </w:p>
    <w:p w:rsidR="000650D9" w:rsidRPr="00FF1E54" w:rsidRDefault="000650D9" w:rsidP="00FF1E54">
      <w:pPr>
        <w:pStyle w:val="aa"/>
        <w:ind w:firstLine="851"/>
        <w:jc w:val="both"/>
      </w:pPr>
      <w:r w:rsidRPr="00FF1E54">
        <w:t>Сейчас грозит предупреждение или штраф. Его размеры в 2 раза меньше.</w:t>
      </w:r>
    </w:p>
    <w:p w:rsidR="000650D9" w:rsidRPr="00FF1E54" w:rsidRDefault="000650D9" w:rsidP="00FF1E54">
      <w:pPr>
        <w:pStyle w:val="aa"/>
        <w:ind w:firstLine="851"/>
        <w:jc w:val="both"/>
      </w:pPr>
      <w:r w:rsidRPr="00FF1E54">
        <w:t>Введут штраф за повторное нарушение:</w:t>
      </w:r>
    </w:p>
    <w:p w:rsidR="000650D9" w:rsidRPr="00FF1E54" w:rsidRDefault="004858EF" w:rsidP="00FF1E54">
      <w:pPr>
        <w:pStyle w:val="aa"/>
        <w:ind w:firstLine="851"/>
        <w:jc w:val="both"/>
      </w:pPr>
      <w:r>
        <w:t>для должностных лиц -</w:t>
      </w:r>
      <w:r w:rsidR="000650D9" w:rsidRPr="00FF1E54">
        <w:t xml:space="preserve"> от 20 тыс. до 50 тыс. руб.;</w:t>
      </w:r>
    </w:p>
    <w:p w:rsidR="000650D9" w:rsidRPr="00FF1E54" w:rsidRDefault="004858EF" w:rsidP="00FF1E54">
      <w:pPr>
        <w:pStyle w:val="aa"/>
        <w:ind w:firstLine="851"/>
        <w:jc w:val="both"/>
      </w:pPr>
      <w:r>
        <w:t>ИП -</w:t>
      </w:r>
      <w:r w:rsidR="000650D9" w:rsidRPr="00FF1E54">
        <w:t xml:space="preserve"> от 50 тыс. до 100 тыс. руб.;</w:t>
      </w:r>
    </w:p>
    <w:p w:rsidR="000650D9" w:rsidRPr="00FF1E54" w:rsidRDefault="00E83D17" w:rsidP="00FF1E54">
      <w:pPr>
        <w:pStyle w:val="aa"/>
        <w:ind w:firstLine="851"/>
        <w:jc w:val="both"/>
      </w:pPr>
      <w:r>
        <w:t xml:space="preserve">компаний - </w:t>
      </w:r>
      <w:r w:rsidR="000650D9" w:rsidRPr="00FF1E54">
        <w:t>от 100 тыс. до 300 тыс. руб.</w:t>
      </w:r>
    </w:p>
    <w:p w:rsidR="000650D9" w:rsidRPr="00FF1E54" w:rsidRDefault="000650D9" w:rsidP="00FF1E54">
      <w:pPr>
        <w:pStyle w:val="aa"/>
        <w:ind w:firstLine="851"/>
        <w:jc w:val="both"/>
      </w:pPr>
      <w:r w:rsidRPr="00FF1E54">
        <w:t>Нет письменного согласия гражданина</w:t>
      </w:r>
    </w:p>
    <w:p w:rsidR="000650D9" w:rsidRPr="00FF1E54" w:rsidRDefault="000650D9" w:rsidP="00FF1E54">
      <w:pPr>
        <w:pStyle w:val="aa"/>
        <w:ind w:firstLine="851"/>
        <w:jc w:val="both"/>
      </w:pPr>
      <w:r w:rsidRPr="00FF1E54">
        <w:t>Вдвое увеличат штрафы, например, за обработку персональных данных без письменного согласия гражданина, если оно обязательно. Должностные лица и ИП заплатят от 20 ты</w:t>
      </w:r>
      <w:r w:rsidR="00E83D17">
        <w:t>с. до 40 тыс. руб., а компании -</w:t>
      </w:r>
      <w:r w:rsidRPr="00FF1E54">
        <w:t xml:space="preserve"> от 30 тыс. до 150 тыс. руб.</w:t>
      </w:r>
    </w:p>
    <w:p w:rsidR="000650D9" w:rsidRPr="00FF1E54" w:rsidRDefault="000650D9" w:rsidP="00FF1E54">
      <w:pPr>
        <w:pStyle w:val="aa"/>
        <w:ind w:firstLine="851"/>
        <w:jc w:val="both"/>
      </w:pPr>
      <w:r w:rsidRPr="00FF1E54">
        <w:t>Появится состав о повторном нарушении. Он предусматривает штраф:</w:t>
      </w:r>
    </w:p>
    <w:p w:rsidR="000650D9" w:rsidRPr="00FF1E54" w:rsidRDefault="00E83D17" w:rsidP="00FF1E54">
      <w:pPr>
        <w:pStyle w:val="aa"/>
        <w:ind w:firstLine="851"/>
        <w:jc w:val="both"/>
      </w:pPr>
      <w:r>
        <w:t>для должностных лиц -</w:t>
      </w:r>
      <w:r w:rsidR="000650D9" w:rsidRPr="00FF1E54">
        <w:t xml:space="preserve"> от 40 тыс. до 100 тыс. руб.;</w:t>
      </w:r>
    </w:p>
    <w:p w:rsidR="000650D9" w:rsidRPr="00FF1E54" w:rsidRDefault="00E83D17" w:rsidP="00FF1E54">
      <w:pPr>
        <w:pStyle w:val="aa"/>
        <w:ind w:firstLine="851"/>
        <w:jc w:val="both"/>
      </w:pPr>
      <w:r>
        <w:t>ИП -</w:t>
      </w:r>
      <w:r w:rsidR="000650D9" w:rsidRPr="00FF1E54">
        <w:t xml:space="preserve"> от 100 тыс. до 300 тыс. руб.;</w:t>
      </w:r>
    </w:p>
    <w:p w:rsidR="000650D9" w:rsidRPr="00FF1E54" w:rsidRDefault="00E83D17" w:rsidP="00FF1E54">
      <w:pPr>
        <w:pStyle w:val="aa"/>
        <w:ind w:firstLine="851"/>
        <w:jc w:val="both"/>
      </w:pPr>
      <w:r>
        <w:t>компаний -</w:t>
      </w:r>
      <w:r w:rsidR="000650D9" w:rsidRPr="00FF1E54">
        <w:t xml:space="preserve"> от 300 тыс. до 500 тыс. руб.</w:t>
      </w:r>
    </w:p>
    <w:p w:rsidR="000650D9" w:rsidRPr="00FF1E54" w:rsidRDefault="000650D9" w:rsidP="00FF1E54">
      <w:pPr>
        <w:pStyle w:val="aa"/>
        <w:ind w:firstLine="851"/>
        <w:jc w:val="both"/>
      </w:pPr>
      <w:r w:rsidRPr="00FF1E54">
        <w:t>Нет доступа к политике обработки</w:t>
      </w:r>
    </w:p>
    <w:p w:rsidR="000650D9" w:rsidRPr="00FF1E54" w:rsidRDefault="000650D9" w:rsidP="00FF1E54">
      <w:pPr>
        <w:pStyle w:val="aa"/>
        <w:ind w:firstLine="851"/>
        <w:jc w:val="both"/>
      </w:pPr>
      <w:r w:rsidRPr="00FF1E54">
        <w:t>Если не обеспечить неограниченный доступ к политике по обработке персональных данных или к информации о выполняемых требованиях к их защите, то штраф составит:</w:t>
      </w:r>
    </w:p>
    <w:p w:rsidR="000650D9" w:rsidRPr="00FF1E54" w:rsidRDefault="00E83D17" w:rsidP="00FF1E54">
      <w:pPr>
        <w:pStyle w:val="aa"/>
        <w:ind w:firstLine="851"/>
        <w:jc w:val="both"/>
      </w:pPr>
      <w:r>
        <w:t>для должностных лиц -</w:t>
      </w:r>
      <w:r w:rsidR="000650D9" w:rsidRPr="00FF1E54">
        <w:t xml:space="preserve"> от 6 тыс. до 12 тыс. руб.;</w:t>
      </w:r>
    </w:p>
    <w:p w:rsidR="000650D9" w:rsidRPr="00FF1E54" w:rsidRDefault="00E83D17" w:rsidP="00FF1E54">
      <w:pPr>
        <w:pStyle w:val="aa"/>
        <w:ind w:firstLine="851"/>
        <w:jc w:val="both"/>
      </w:pPr>
      <w:r>
        <w:t>ИП -</w:t>
      </w:r>
      <w:r w:rsidR="000650D9" w:rsidRPr="00FF1E54">
        <w:t xml:space="preserve"> от 10 тыс. до 20 тыс. руб.;</w:t>
      </w:r>
    </w:p>
    <w:p w:rsidR="000650D9" w:rsidRPr="00FF1E54" w:rsidRDefault="009B27A5" w:rsidP="00FF1E54">
      <w:pPr>
        <w:pStyle w:val="aa"/>
        <w:ind w:firstLine="851"/>
        <w:jc w:val="both"/>
      </w:pPr>
      <w:r>
        <w:t>компаний -</w:t>
      </w:r>
      <w:r w:rsidR="000650D9" w:rsidRPr="00FF1E54">
        <w:t xml:space="preserve"> от 30 тыс. до 60 тыс. руб.</w:t>
      </w:r>
    </w:p>
    <w:p w:rsidR="000650D9" w:rsidRPr="00FF1E54" w:rsidRDefault="000650D9" w:rsidP="00FF1E54">
      <w:pPr>
        <w:pStyle w:val="aa"/>
        <w:ind w:firstLine="851"/>
        <w:jc w:val="both"/>
      </w:pPr>
      <w:r w:rsidRPr="00FF1E54">
        <w:t>Сейчас нарушителей предупреждают или штрафуют, но на сумму в 2 раза меньше.</w:t>
      </w:r>
    </w:p>
    <w:p w:rsidR="000650D9" w:rsidRPr="00FF1E54" w:rsidRDefault="000650D9" w:rsidP="00FF1E54">
      <w:pPr>
        <w:pStyle w:val="aa"/>
        <w:ind w:firstLine="851"/>
        <w:jc w:val="both"/>
      </w:pPr>
      <w:r w:rsidRPr="00FF1E54">
        <w:t>Несоблюдение правил безопасности Рунета</w:t>
      </w:r>
    </w:p>
    <w:p w:rsidR="000650D9" w:rsidRPr="00FF1E54" w:rsidRDefault="000650D9" w:rsidP="00FF1E54">
      <w:pPr>
        <w:pStyle w:val="aa"/>
        <w:ind w:firstLine="851"/>
        <w:jc w:val="both"/>
      </w:pPr>
      <w:r w:rsidRPr="00FF1E54">
        <w:t xml:space="preserve">Интернет-провайдеров станут наказывать, например, за невыполнение порядка установки, эксплуатации и модернизации </w:t>
      </w:r>
      <w:proofErr w:type="spellStart"/>
      <w:r w:rsidRPr="00FF1E54">
        <w:t>техсредств</w:t>
      </w:r>
      <w:proofErr w:type="spellEnd"/>
      <w:r w:rsidRPr="00FF1E54">
        <w:t xml:space="preserve"> борьбы с угрозами Рунету.</w:t>
      </w:r>
    </w:p>
    <w:p w:rsidR="000650D9" w:rsidRPr="00FF1E54" w:rsidRDefault="000650D9" w:rsidP="00FF1E54">
      <w:pPr>
        <w:pStyle w:val="aa"/>
        <w:ind w:firstLine="851"/>
        <w:jc w:val="both"/>
      </w:pPr>
      <w:r w:rsidRPr="00FF1E54">
        <w:t>За первое нарушение штраф составит:</w:t>
      </w:r>
    </w:p>
    <w:p w:rsidR="000650D9" w:rsidRPr="00FF1E54" w:rsidRDefault="009B27A5" w:rsidP="00FF1E54">
      <w:pPr>
        <w:pStyle w:val="aa"/>
        <w:ind w:firstLine="851"/>
        <w:jc w:val="both"/>
      </w:pPr>
      <w:r>
        <w:t>для должностных лиц -</w:t>
      </w:r>
      <w:r w:rsidR="000650D9" w:rsidRPr="00FF1E54">
        <w:t xml:space="preserve"> от 15 тыс. до 30 тыс. руб.;</w:t>
      </w:r>
    </w:p>
    <w:p w:rsidR="000650D9" w:rsidRPr="00FF1E54" w:rsidRDefault="009B27A5" w:rsidP="00FF1E54">
      <w:pPr>
        <w:pStyle w:val="aa"/>
        <w:ind w:firstLine="851"/>
        <w:jc w:val="both"/>
      </w:pPr>
      <w:r>
        <w:t>ИП -</w:t>
      </w:r>
      <w:r w:rsidR="000650D9" w:rsidRPr="00FF1E54">
        <w:t xml:space="preserve"> от 30 тыс. до 50 тыс. руб.;</w:t>
      </w:r>
    </w:p>
    <w:p w:rsidR="000650D9" w:rsidRPr="00FF1E54" w:rsidRDefault="009B27A5" w:rsidP="00FF1E54">
      <w:pPr>
        <w:pStyle w:val="aa"/>
        <w:ind w:firstLine="851"/>
        <w:jc w:val="both"/>
      </w:pPr>
      <w:r>
        <w:t>компаний -</w:t>
      </w:r>
      <w:r w:rsidR="000650D9" w:rsidRPr="00FF1E54">
        <w:t xml:space="preserve"> от 300 тыс. до 500 тыс. руб.</w:t>
      </w:r>
    </w:p>
    <w:p w:rsidR="000650D9" w:rsidRPr="00FF1E54" w:rsidRDefault="000650D9" w:rsidP="00FF1E54">
      <w:pPr>
        <w:pStyle w:val="aa"/>
        <w:ind w:firstLine="851"/>
        <w:jc w:val="both"/>
      </w:pPr>
      <w:r w:rsidRPr="00FF1E54">
        <w:t>При повторном нарушении ИП и компании заплатят вдв</w:t>
      </w:r>
      <w:r w:rsidR="009B27A5">
        <w:t xml:space="preserve">ое больше, а должностные лица </w:t>
      </w:r>
      <w:proofErr w:type="gramStart"/>
      <w:r w:rsidR="009B27A5">
        <w:t>-</w:t>
      </w:r>
      <w:r w:rsidRPr="00FF1E54">
        <w:t>о</w:t>
      </w:r>
      <w:proofErr w:type="gramEnd"/>
      <w:r w:rsidRPr="00FF1E54">
        <w:t>т 30 тыс. до 50 тыс. руб.</w:t>
      </w:r>
    </w:p>
    <w:p w:rsidR="00FC69FC" w:rsidRDefault="000650D9" w:rsidP="00FD02CC">
      <w:pPr>
        <w:pStyle w:val="aa"/>
        <w:ind w:firstLine="851"/>
        <w:jc w:val="both"/>
      </w:pPr>
      <w:r w:rsidRPr="00FF1E54">
        <w:t>Документ:</w:t>
      </w:r>
      <w:r w:rsidRPr="00FF1E54">
        <w:tab/>
        <w:t>Ф</w:t>
      </w:r>
      <w:r w:rsidR="009B27A5">
        <w:t>едеральный закон от 24.02.2021 №</w:t>
      </w:r>
      <w:r w:rsidRPr="00FF1E54">
        <w:t xml:space="preserve"> 19-ФЗ</w:t>
      </w:r>
      <w:r w:rsidR="00A24C72">
        <w:t>.</w:t>
      </w:r>
    </w:p>
    <w:p w:rsidR="00FD02CC" w:rsidRPr="000239CE" w:rsidRDefault="00FD02CC" w:rsidP="000239CE">
      <w:pPr>
        <w:pStyle w:val="aa"/>
        <w:ind w:firstLine="851"/>
        <w:jc w:val="center"/>
        <w:rPr>
          <w:u w:val="single"/>
        </w:rPr>
      </w:pPr>
      <w:r w:rsidRPr="000239CE">
        <w:rPr>
          <w:u w:val="single"/>
        </w:rPr>
        <w:t>Ужесточена административная ответственность за неповиновение распоряжениям сотрудников правоохранительных органов</w:t>
      </w:r>
    </w:p>
    <w:p w:rsidR="00FD02CC" w:rsidRDefault="00FD02CC" w:rsidP="00FD02CC">
      <w:pPr>
        <w:pStyle w:val="aa"/>
        <w:ind w:firstLine="851"/>
        <w:jc w:val="both"/>
      </w:pPr>
      <w:proofErr w:type="gramStart"/>
      <w:r>
        <w:t xml:space="preserve">За совершение административных правонарушений, предусмотренных статьей 19.3 КоАП РФ в виде неповиновения законному распоряжению или требованию сотрудника полиции, военнослужащего либо сотрудника органа или учреждения уголовно-исполнительной системы либо сотрудника войск национальной гвардии РФ в связи с исполнением ими обязанностей по охране общественного порядка и обеспечению общественной безопасности, а равно воспрепятствование исполнению ими служебных </w:t>
      </w:r>
      <w:r>
        <w:lastRenderedPageBreak/>
        <w:t>обязанностей устанавливается повышенный размер штрафа для граждан в</w:t>
      </w:r>
      <w:proofErr w:type="gramEnd"/>
      <w:r>
        <w:t xml:space="preserve"> сумме от двух до четырех тысяч рублей (в случае повторного правонарушения - от десяти тысяч до двадцати тысяч рублей), а также закрепляется возможность применения к ним административного наказания в виде обязательных работ.</w:t>
      </w:r>
    </w:p>
    <w:p w:rsidR="00FD02CC" w:rsidRDefault="00FD02CC" w:rsidP="00FD02CC">
      <w:pPr>
        <w:pStyle w:val="aa"/>
        <w:ind w:firstLine="851"/>
        <w:jc w:val="both"/>
      </w:pPr>
      <w:r>
        <w:t>Кроме того, организаторы публичных мероприятий теперь могут быть привлечены к административной ответственности, в том числе, за несоблюдение ими финансовой дисциплины.</w:t>
      </w:r>
    </w:p>
    <w:p w:rsidR="00FD02CC" w:rsidRDefault="00FD02CC" w:rsidP="00FD02CC">
      <w:pPr>
        <w:pStyle w:val="aa"/>
        <w:ind w:firstLine="851"/>
        <w:jc w:val="both"/>
      </w:pPr>
      <w:proofErr w:type="gramStart"/>
      <w:r>
        <w:t>Так, нарушение организатором публичного мероприятия порядка сбора, возврата, перечисления в доход федерального бюджета или расходования денежных средств на организацию и проведение публичного мероприятия, непредставление или несвоевременное представление в уполномоченный орган отчета о расходовании собранных для организации и проведения публичного мероприятия денежных средств и (или) иного имущества либо его представление в неполном объеме или в искаженном виде повлечет наложение административного штрафа</w:t>
      </w:r>
      <w:proofErr w:type="gramEnd"/>
      <w:r>
        <w:t>: на граждан - в размере от десяти тысяч до двадцати тысяч рублей; на должностных лиц - от двадцати тысяч до сорока тысяч рублей; на юридических лиц - от семидесяти тысяч до двухсот тысяч рублей.</w:t>
      </w:r>
    </w:p>
    <w:p w:rsidR="00846B80" w:rsidRDefault="00FD02CC" w:rsidP="00E559B4">
      <w:pPr>
        <w:pStyle w:val="aa"/>
        <w:ind w:firstLine="851"/>
        <w:jc w:val="both"/>
      </w:pPr>
      <w:proofErr w:type="gramStart"/>
      <w:r>
        <w:t>Также определено, что в случае перечисления (передачи) денежных средств и (или) иного имущества для организации и проведения публичного мероприятия, совершенного лицом, которое не вправе перечислять (передавать) денежные средства и (или) иное имущество в этих целях в соответствии с федеральным законом, размер административного штрафа составит: для граждан - от десяти тысяч до пятнадцати тысяч рублей;</w:t>
      </w:r>
      <w:proofErr w:type="gramEnd"/>
      <w:r>
        <w:t xml:space="preserve"> для должностных лиц - от пятнадцати тысяч до тридцати тысяч рублей; для юридических лиц - от пятидесяти тысяч до ста тысяч рублей.</w:t>
      </w:r>
    </w:p>
    <w:p w:rsidR="00DD76E8" w:rsidRDefault="00DD76E8" w:rsidP="00FE39DC">
      <w:pPr>
        <w:pStyle w:val="aa"/>
        <w:ind w:firstLine="851"/>
        <w:jc w:val="center"/>
      </w:pPr>
      <w:r w:rsidRPr="008D297F">
        <w:rPr>
          <w:u w:val="single"/>
        </w:rPr>
        <w:t>Ф</w:t>
      </w:r>
      <w:r w:rsidR="00FE39DC">
        <w:rPr>
          <w:u w:val="single"/>
        </w:rPr>
        <w:t>едеральный закон от 24.02.2021 №</w:t>
      </w:r>
      <w:r w:rsidRPr="008D297F">
        <w:rPr>
          <w:u w:val="single"/>
        </w:rPr>
        <w:t xml:space="preserve"> 18-ФЗ </w:t>
      </w:r>
      <w:r w:rsidR="00FE39DC">
        <w:rPr>
          <w:u w:val="single"/>
        </w:rPr>
        <w:t>«</w:t>
      </w:r>
      <w:r w:rsidRPr="008D297F">
        <w:rPr>
          <w:u w:val="single"/>
        </w:rPr>
        <w:t xml:space="preserve">О внесении изменений в статьи 17 и 18 Федерального закона </w:t>
      </w:r>
      <w:r w:rsidR="00FE39DC">
        <w:rPr>
          <w:u w:val="single"/>
        </w:rPr>
        <w:t>«</w:t>
      </w:r>
      <w:r w:rsidRPr="008D297F">
        <w:rPr>
          <w:u w:val="single"/>
        </w:rPr>
        <w:t>О страховых пенсиях</w:t>
      </w:r>
      <w:r w:rsidR="00FE39DC">
        <w:rPr>
          <w:u w:val="single"/>
        </w:rPr>
        <w:t>»</w:t>
      </w:r>
    </w:p>
    <w:p w:rsidR="00DD76E8" w:rsidRDefault="00DD76E8" w:rsidP="00DD76E8">
      <w:pPr>
        <w:pStyle w:val="aa"/>
        <w:ind w:firstLine="851"/>
        <w:jc w:val="both"/>
      </w:pPr>
      <w:r>
        <w:t>Устранена правовая неопределенность по вопросу сохранения права родителя (опекуна) инвалида с детства на сохранение повышенной фиксированной выплаты к пенсии</w:t>
      </w:r>
      <w:r w:rsidR="00FE39DC">
        <w:t>.</w:t>
      </w:r>
    </w:p>
    <w:p w:rsidR="00DD76E8" w:rsidRDefault="00DD76E8" w:rsidP="00DD76E8">
      <w:pPr>
        <w:pStyle w:val="aa"/>
        <w:ind w:firstLine="851"/>
        <w:jc w:val="both"/>
      </w:pPr>
      <w:proofErr w:type="gramStart"/>
      <w:r>
        <w:t>Конституционный Суд РФ в пост</w:t>
      </w:r>
      <w:r w:rsidR="00FE39DC">
        <w:t>ановлении от 22 апреля 2020 г. №</w:t>
      </w:r>
      <w:r>
        <w:t xml:space="preserve"> 20-П указал на необходимость уточнения положений законодательства в связи с наличием разночтений при рассмотрении вопроса о праве родителей (опекунов) инвалидов с детства после достижения ими совершеннолетия и признания недееспособными, получать повышенную выплату к страховой пенсии по старости или страховой пенсии по инвалидности в связи с наличием иждивенца.</w:t>
      </w:r>
      <w:proofErr w:type="gramEnd"/>
    </w:p>
    <w:p w:rsidR="00DD76E8" w:rsidRDefault="00DD76E8" w:rsidP="00DD76E8">
      <w:pPr>
        <w:pStyle w:val="aa"/>
        <w:ind w:firstLine="851"/>
        <w:jc w:val="both"/>
      </w:pPr>
      <w:r>
        <w:t>После достижения инвалидом 18 лет родителю (опекуну) необходимо доказывать факт нахождения инвалида на его иждивении.</w:t>
      </w:r>
    </w:p>
    <w:p w:rsidR="00DD76E8" w:rsidRDefault="00DD76E8" w:rsidP="00DD76E8">
      <w:pPr>
        <w:pStyle w:val="aa"/>
        <w:ind w:firstLine="851"/>
        <w:jc w:val="both"/>
      </w:pPr>
      <w:r>
        <w:t xml:space="preserve">При этом нередко суды, </w:t>
      </w:r>
      <w:proofErr w:type="gramStart"/>
      <w:r>
        <w:t>сравнив доходы ребенка и родителя и отказывали в такой</w:t>
      </w:r>
      <w:proofErr w:type="gramEnd"/>
      <w:r>
        <w:t xml:space="preserve"> доплате, если пенсия инвалида оказывалась больше, чем пенсия его родителя.</w:t>
      </w:r>
    </w:p>
    <w:p w:rsidR="00DD76E8" w:rsidRDefault="00DD76E8" w:rsidP="00DD76E8">
      <w:pPr>
        <w:pStyle w:val="aa"/>
        <w:ind w:firstLine="851"/>
        <w:jc w:val="both"/>
      </w:pPr>
      <w:proofErr w:type="gramStart"/>
      <w:r>
        <w:t xml:space="preserve">Законом установлено, в частности, что родителям, которые являются опекунами лиц из числа недееспособных инвалидов с детства (если эти лица не находятся на полном </w:t>
      </w:r>
      <w:proofErr w:type="spellStart"/>
      <w:r>
        <w:t>гособеспечении</w:t>
      </w:r>
      <w:proofErr w:type="spellEnd"/>
      <w:r>
        <w:t>), повышение фиксированной выплаты к пенсии устанавливается в сумме, равной одной третьей суммы, предусмотренной частью 1 статьи 16 Федерального закона "О страховых пенсиях", на каждого недееспособного инвалида с детства, но не более чем на трех недееспособных инвалидов</w:t>
      </w:r>
      <w:proofErr w:type="gramEnd"/>
      <w:r>
        <w:t xml:space="preserve"> с детства.</w:t>
      </w:r>
    </w:p>
    <w:p w:rsidR="00121671" w:rsidRDefault="00DD76E8" w:rsidP="00121671">
      <w:pPr>
        <w:pStyle w:val="aa"/>
        <w:ind w:firstLine="851"/>
        <w:jc w:val="both"/>
      </w:pPr>
      <w:r>
        <w:t>Лицу, которому было установлено повышение фиксированной выплаты к страховой пенсии и которому осуществлен перерасчет размера фиксированной выплаты в связи с достижением ребенком возраста 18 лет, при поступлении в течение 12 месяцев со дня перерасчета документов, подтверждающих признание инвалида с детства недееспособным, производится перерасчет размера фиксированной выплаты без заявления о перерасчете.</w:t>
      </w:r>
    </w:p>
    <w:p w:rsidR="00CF5296" w:rsidRDefault="003B09AF" w:rsidP="00CF5296">
      <w:pPr>
        <w:pStyle w:val="aa"/>
        <w:ind w:firstLine="851"/>
        <w:jc w:val="center"/>
        <w:rPr>
          <w:u w:val="single"/>
        </w:rPr>
      </w:pPr>
      <w:r w:rsidRPr="009B27A5">
        <w:rPr>
          <w:u w:val="single"/>
        </w:rPr>
        <w:t xml:space="preserve">С 1 марта принимать карту </w:t>
      </w:r>
      <w:r w:rsidR="009B27A5">
        <w:rPr>
          <w:u w:val="single"/>
        </w:rPr>
        <w:t>«</w:t>
      </w:r>
      <w:r w:rsidRPr="009B27A5">
        <w:rPr>
          <w:u w:val="single"/>
        </w:rPr>
        <w:t>Мир</w:t>
      </w:r>
      <w:r w:rsidR="009B27A5">
        <w:rPr>
          <w:u w:val="single"/>
        </w:rPr>
        <w:t>»</w:t>
      </w:r>
      <w:r w:rsidRPr="009B27A5">
        <w:rPr>
          <w:u w:val="single"/>
        </w:rPr>
        <w:t xml:space="preserve"> должны больше продавцов</w:t>
      </w:r>
    </w:p>
    <w:p w:rsidR="003B09AF" w:rsidRPr="00FF1E54" w:rsidRDefault="003B09AF" w:rsidP="00CF5296">
      <w:pPr>
        <w:pStyle w:val="aa"/>
        <w:ind w:firstLine="851"/>
        <w:jc w:val="both"/>
      </w:pPr>
      <w:r w:rsidRPr="00FF1E54">
        <w:lastRenderedPageBreak/>
        <w:t xml:space="preserve">Давать возможность потребителям расплачиваться картой </w:t>
      </w:r>
      <w:r w:rsidR="009B27A5">
        <w:t>«</w:t>
      </w:r>
      <w:r w:rsidRPr="00FF1E54">
        <w:t>Мир</w:t>
      </w:r>
      <w:r w:rsidR="009B27A5">
        <w:t>»</w:t>
      </w:r>
      <w:r w:rsidRPr="00FF1E54">
        <w:t xml:space="preserve"> с 1 марта обязаны те, чья выручка от продажи товаров, выполнения работ, оказания услуг </w:t>
      </w:r>
      <w:proofErr w:type="gramStart"/>
      <w:r w:rsidRPr="00FF1E54">
        <w:t>за</w:t>
      </w:r>
      <w:proofErr w:type="gramEnd"/>
      <w:r w:rsidRPr="00FF1E54">
        <w:t xml:space="preserve"> предыдущий календарный год превышает 30 </w:t>
      </w:r>
      <w:proofErr w:type="gramStart"/>
      <w:r w:rsidRPr="00FF1E54">
        <w:t>млн</w:t>
      </w:r>
      <w:proofErr w:type="gramEnd"/>
      <w:r w:rsidRPr="00FF1E54">
        <w:t xml:space="preserve"> руб. С 1 июля пороговая сумма составит 20 млн руб.</w:t>
      </w:r>
    </w:p>
    <w:p w:rsidR="003B09AF" w:rsidRPr="00FF1E54" w:rsidRDefault="003B09AF" w:rsidP="00FF1E54">
      <w:pPr>
        <w:pStyle w:val="aa"/>
        <w:ind w:firstLine="851"/>
        <w:jc w:val="both"/>
      </w:pPr>
      <w:r w:rsidRPr="00FF1E54">
        <w:t xml:space="preserve">Сейчас карту </w:t>
      </w:r>
      <w:r w:rsidR="009B27A5">
        <w:t>«</w:t>
      </w:r>
      <w:r w:rsidRPr="00FF1E54">
        <w:t>Мир</w:t>
      </w:r>
      <w:r w:rsidR="009B27A5">
        <w:t>»</w:t>
      </w:r>
      <w:r w:rsidRPr="00FF1E54">
        <w:t xml:space="preserve"> должны принимать те, чья годовая выручка превышает 40 </w:t>
      </w:r>
      <w:proofErr w:type="gramStart"/>
      <w:r w:rsidRPr="00FF1E54">
        <w:t>млн</w:t>
      </w:r>
      <w:proofErr w:type="gramEnd"/>
      <w:r w:rsidRPr="00FF1E54">
        <w:t xml:space="preserve"> руб.</w:t>
      </w:r>
    </w:p>
    <w:p w:rsidR="003B09AF" w:rsidRPr="00FF1E54" w:rsidRDefault="003B09AF" w:rsidP="00FF1E54">
      <w:pPr>
        <w:pStyle w:val="aa"/>
        <w:ind w:firstLine="851"/>
        <w:jc w:val="both"/>
      </w:pPr>
      <w:r w:rsidRPr="00FF1E54">
        <w:t>За неисполнение обязанности грозит штраф. Его р</w:t>
      </w:r>
      <w:r w:rsidR="009B27A5">
        <w:t>азмер для должностных лиц и ИП -</w:t>
      </w:r>
      <w:r w:rsidRPr="00FF1E54">
        <w:t xml:space="preserve"> от 15 тыс. до 30 тыс. руб., а для компаний </w:t>
      </w:r>
      <w:r w:rsidR="009B27A5">
        <w:t>-</w:t>
      </w:r>
      <w:r w:rsidRPr="00FF1E54">
        <w:t xml:space="preserve"> от 30 тыс. до 50 тыс. руб.</w:t>
      </w:r>
    </w:p>
    <w:p w:rsidR="003B09AF" w:rsidRPr="00FF1E54" w:rsidRDefault="003B09AF" w:rsidP="00FF1E54">
      <w:pPr>
        <w:pStyle w:val="aa"/>
        <w:ind w:firstLine="851"/>
        <w:jc w:val="both"/>
      </w:pPr>
      <w:r w:rsidRPr="00FF1E54">
        <w:t>Нап</w:t>
      </w:r>
      <w:r w:rsidR="009B27A5">
        <w:t>омним, можно не принимать карту «</w:t>
      </w:r>
      <w:r w:rsidRPr="00FF1E54">
        <w:t>Мир</w:t>
      </w:r>
      <w:r w:rsidR="009B27A5">
        <w:t>»</w:t>
      </w:r>
      <w:r w:rsidRPr="00FF1E54">
        <w:t xml:space="preserve"> в торговом объекте, если годовая выручка от продажи товаров в нем составила меньше 5 </w:t>
      </w:r>
      <w:proofErr w:type="gramStart"/>
      <w:r w:rsidRPr="00FF1E54">
        <w:t>млн</w:t>
      </w:r>
      <w:proofErr w:type="gramEnd"/>
      <w:r w:rsidRPr="00FF1E54">
        <w:t xml:space="preserve"> руб. То же касается мест оплаты, где не предоставляют мобильную связь или доступ к интернету.</w:t>
      </w:r>
    </w:p>
    <w:p w:rsidR="003B09AF" w:rsidRPr="00FF1E54" w:rsidRDefault="003B09AF" w:rsidP="00FF1E54">
      <w:pPr>
        <w:pStyle w:val="aa"/>
        <w:ind w:firstLine="851"/>
        <w:jc w:val="both"/>
      </w:pPr>
      <w:r w:rsidRPr="00FF1E54">
        <w:t>Документ:</w:t>
      </w:r>
      <w:r w:rsidR="009B27A5">
        <w:t xml:space="preserve"> </w:t>
      </w:r>
      <w:r w:rsidRPr="00FF1E54">
        <w:t>Федеральный закон от</w:t>
      </w:r>
      <w:r w:rsidR="009B27A5">
        <w:t xml:space="preserve"> 31.07.2020 №</w:t>
      </w:r>
      <w:r w:rsidRPr="00FF1E54">
        <w:t xml:space="preserve"> 290-ФЗ</w:t>
      </w:r>
      <w:r w:rsidR="009B27A5">
        <w:t>.</w:t>
      </w:r>
    </w:p>
    <w:p w:rsidR="007854C8" w:rsidRPr="00FF1E54" w:rsidRDefault="007854C8" w:rsidP="009B27A5">
      <w:pPr>
        <w:pStyle w:val="aa"/>
        <w:ind w:firstLine="851"/>
        <w:jc w:val="center"/>
      </w:pPr>
      <w:r w:rsidRPr="009B27A5">
        <w:rPr>
          <w:u w:val="single"/>
        </w:rPr>
        <w:t>ПФР сможет включать в электронную трудовую книжку записи о работе до 2020 года</w:t>
      </w:r>
    </w:p>
    <w:p w:rsidR="007854C8" w:rsidRPr="00FF1E54" w:rsidRDefault="007854C8" w:rsidP="00FF1E54">
      <w:pPr>
        <w:pStyle w:val="aa"/>
        <w:ind w:firstLine="851"/>
        <w:jc w:val="both"/>
      </w:pPr>
      <w:r w:rsidRPr="00FF1E54">
        <w:t xml:space="preserve">ПФР начнет по просьбе граждан переносить записи о трудовой деятельности за период до 2020 года из бумажной трудовой книжки в </w:t>
      </w:r>
      <w:proofErr w:type="gramStart"/>
      <w:r w:rsidRPr="00FF1E54">
        <w:t>электронную</w:t>
      </w:r>
      <w:proofErr w:type="gramEnd"/>
      <w:r w:rsidRPr="00FF1E54">
        <w:t>. При несовпадении данных со сведениями в фонде информацию уточнят у работодателе</w:t>
      </w:r>
      <w:r w:rsidR="009B27A5">
        <w:t>й. Закон вступит в силу 7 марта.</w:t>
      </w:r>
    </w:p>
    <w:p w:rsidR="007854C8" w:rsidRPr="00FF1E54" w:rsidRDefault="007854C8" w:rsidP="00FF1E54">
      <w:pPr>
        <w:pStyle w:val="aa"/>
        <w:ind w:firstLine="851"/>
        <w:jc w:val="both"/>
      </w:pPr>
      <w:r w:rsidRPr="00FF1E54">
        <w:t>Отметим, сейчас в СТД-ПФР есть информация только</w:t>
      </w:r>
      <w:r w:rsidR="009B27A5">
        <w:t xml:space="preserve"> о стаже работника до 2020 года.</w:t>
      </w:r>
    </w:p>
    <w:p w:rsidR="000650D9" w:rsidRPr="00FF1E54" w:rsidRDefault="009B27A5" w:rsidP="00FF1E54">
      <w:pPr>
        <w:pStyle w:val="aa"/>
        <w:ind w:firstLine="851"/>
        <w:jc w:val="both"/>
      </w:pPr>
      <w:r>
        <w:t xml:space="preserve">Документ: </w:t>
      </w:r>
      <w:r w:rsidR="007854C8" w:rsidRPr="00FF1E54">
        <w:t xml:space="preserve">Федеральный закон от 24.02.2021 </w:t>
      </w:r>
      <w:r>
        <w:t>№</w:t>
      </w:r>
      <w:r w:rsidR="007854C8" w:rsidRPr="00FF1E54">
        <w:t xml:space="preserve"> 30-ФЗ</w:t>
      </w:r>
      <w:r>
        <w:t>.</w:t>
      </w:r>
    </w:p>
    <w:p w:rsidR="00E12618" w:rsidRPr="00515B17" w:rsidRDefault="00E12618" w:rsidP="008268AC">
      <w:pPr>
        <w:pStyle w:val="aa"/>
        <w:jc w:val="center"/>
        <w:rPr>
          <w:u w:val="single"/>
        </w:rPr>
      </w:pPr>
      <w:r w:rsidRPr="00515B17">
        <w:rPr>
          <w:u w:val="single"/>
        </w:rPr>
        <w:t xml:space="preserve">Расширен перечень банков, на </w:t>
      </w:r>
      <w:proofErr w:type="spellStart"/>
      <w:r w:rsidRPr="00515B17">
        <w:rPr>
          <w:u w:val="single"/>
        </w:rPr>
        <w:t>спецсчета</w:t>
      </w:r>
      <w:proofErr w:type="spellEnd"/>
      <w:r w:rsidRPr="00515B17">
        <w:rPr>
          <w:u w:val="single"/>
        </w:rPr>
        <w:t xml:space="preserve"> которых участниками закупок вносятся денежные средства, предназначенные для обеспечения заявок</w:t>
      </w:r>
    </w:p>
    <w:p w:rsidR="00E12618" w:rsidRPr="00FF1E54" w:rsidRDefault="00E12618" w:rsidP="00FF1E54">
      <w:pPr>
        <w:pStyle w:val="aa"/>
        <w:ind w:firstLine="851"/>
        <w:jc w:val="both"/>
      </w:pPr>
      <w:proofErr w:type="gramStart"/>
      <w:r w:rsidRPr="00FF1E54">
        <w:t xml:space="preserve">В соответствии с Федеральным законом </w:t>
      </w:r>
      <w:r w:rsidR="008268AC">
        <w:t>«</w:t>
      </w:r>
      <w:r w:rsidRPr="00FF1E54">
        <w:t>О контрактной системе в сфере закупок товаров, работ, услуг для обеспечения госуд</w:t>
      </w:r>
      <w:r w:rsidR="008268AC">
        <w:t>арственных и муниципальных нужд»</w:t>
      </w:r>
      <w:r w:rsidRPr="00FF1E54">
        <w:t xml:space="preserve"> Правительством РФ был утвержден перечень банков, на специальные счета которых вносятся предназначенные для обеспечения заявок денежные средства участников открытого конкурса в электронной форме, конкурса с ограниченным участием в электронной форме, двухэтапного конкурса в электронной форме, электронного аукциона, а также денежные</w:t>
      </w:r>
      <w:proofErr w:type="gramEnd"/>
      <w:r w:rsidRPr="00FF1E54">
        <w:t xml:space="preserve"> средства участников закрытых электронных процедур.</w:t>
      </w:r>
    </w:p>
    <w:p w:rsidR="00E12618" w:rsidRPr="00FF1E54" w:rsidRDefault="00E12618" w:rsidP="00FF1E54">
      <w:pPr>
        <w:pStyle w:val="aa"/>
        <w:ind w:firstLine="851"/>
        <w:jc w:val="both"/>
      </w:pPr>
      <w:r w:rsidRPr="00FF1E54">
        <w:t xml:space="preserve">В этот перечень включена позиция </w:t>
      </w:r>
      <w:r w:rsidR="008268AC">
        <w:t>«</w:t>
      </w:r>
      <w:r w:rsidRPr="00FF1E54">
        <w:t>Государственный специализированный Российский экспортно-импорт</w:t>
      </w:r>
      <w:r w:rsidR="008268AC">
        <w:t>ный банк (акционерное общество)»</w:t>
      </w:r>
      <w:r w:rsidRPr="00FF1E54">
        <w:t>.</w:t>
      </w:r>
    </w:p>
    <w:p w:rsidR="0076016E" w:rsidRPr="00FF1E54" w:rsidRDefault="0076016E" w:rsidP="00400E3E">
      <w:pPr>
        <w:pStyle w:val="aa"/>
        <w:ind w:firstLine="851"/>
        <w:jc w:val="center"/>
      </w:pPr>
      <w:proofErr w:type="spellStart"/>
      <w:r w:rsidRPr="008268AC">
        <w:rPr>
          <w:u w:val="single"/>
        </w:rPr>
        <w:t>Минпромторг</w:t>
      </w:r>
      <w:proofErr w:type="spellEnd"/>
      <w:r w:rsidRPr="008268AC">
        <w:rPr>
          <w:u w:val="single"/>
        </w:rPr>
        <w:t xml:space="preserve"> рассказал, как рассчитывать НМЦК в</w:t>
      </w:r>
      <w:r w:rsidR="00400E3E">
        <w:rPr>
          <w:u w:val="single"/>
        </w:rPr>
        <w:t xml:space="preserve"> рамках квотирования по Закону №</w:t>
      </w:r>
      <w:r w:rsidRPr="008268AC">
        <w:rPr>
          <w:u w:val="single"/>
        </w:rPr>
        <w:t xml:space="preserve"> 44-ФЗ</w:t>
      </w:r>
    </w:p>
    <w:p w:rsidR="0076016E" w:rsidRPr="00FF1E54" w:rsidRDefault="0076016E" w:rsidP="00FF1E54">
      <w:pPr>
        <w:pStyle w:val="aa"/>
        <w:ind w:firstLine="851"/>
        <w:jc w:val="both"/>
      </w:pPr>
      <w:r w:rsidRPr="00FF1E54">
        <w:t>С начала года действует постановление о минимальной доле закупок российских товаров. Ведомство разъяснило, как рассчитать НМЦК в рамках квотирования.</w:t>
      </w:r>
    </w:p>
    <w:p w:rsidR="0076016E" w:rsidRPr="00FF1E54" w:rsidRDefault="0076016E" w:rsidP="00FF1E54">
      <w:pPr>
        <w:pStyle w:val="aa"/>
        <w:ind w:firstLine="851"/>
        <w:jc w:val="both"/>
      </w:pPr>
      <w:r w:rsidRPr="00FF1E54">
        <w:t>Шаг 1. Найти товар в соответствующем реестре российской, евразийской и отечественной радиоэлектронной продукции.</w:t>
      </w:r>
    </w:p>
    <w:p w:rsidR="0076016E" w:rsidRPr="00FF1E54" w:rsidRDefault="0076016E" w:rsidP="00FF1E54">
      <w:pPr>
        <w:pStyle w:val="aa"/>
        <w:ind w:firstLine="851"/>
        <w:jc w:val="both"/>
      </w:pPr>
      <w:r w:rsidRPr="00FF1E54">
        <w:t>Шаг 2. Направить запрос минимум 3-м поставщикам продукции в ГИСП. В нем учитываются характеристики из КТРУ (при наличии). Контакты следует брать из карточки предприятия.</w:t>
      </w:r>
    </w:p>
    <w:p w:rsidR="0076016E" w:rsidRPr="00FF1E54" w:rsidRDefault="0076016E" w:rsidP="00FF1E54">
      <w:pPr>
        <w:pStyle w:val="aa"/>
        <w:ind w:firstLine="851"/>
        <w:jc w:val="both"/>
      </w:pPr>
      <w:r w:rsidRPr="00FF1E54">
        <w:t xml:space="preserve">Если компаний меньше или сведений о них нет в системе либо такие сведения неполные, то стоит фиксировать это. Например, сделать скриншот. Его надо отправить в </w:t>
      </w:r>
      <w:proofErr w:type="spellStart"/>
      <w:r w:rsidRPr="00FF1E54">
        <w:t>Минпромторг</w:t>
      </w:r>
      <w:proofErr w:type="spellEnd"/>
      <w:r w:rsidRPr="00FF1E54">
        <w:t xml:space="preserve"> (Metod@minprom.gov.ru). Отметим, что ведомство не поясняет, можно ли направлять в этом случае запросы поставщикам не из ГИСП либо пользоваться общедоступной информацией.</w:t>
      </w:r>
    </w:p>
    <w:p w:rsidR="0076016E" w:rsidRPr="00FF1E54" w:rsidRDefault="0076016E" w:rsidP="00FF1E54">
      <w:pPr>
        <w:pStyle w:val="aa"/>
        <w:ind w:firstLine="851"/>
        <w:jc w:val="both"/>
      </w:pPr>
      <w:r w:rsidRPr="00FF1E54">
        <w:t xml:space="preserve">Скриншот может потребоваться, чтобы </w:t>
      </w:r>
      <w:proofErr w:type="gramStart"/>
      <w:r w:rsidRPr="00FF1E54">
        <w:t>отчитаться о невозможности</w:t>
      </w:r>
      <w:proofErr w:type="gramEnd"/>
      <w:r w:rsidRPr="00FF1E54">
        <w:t xml:space="preserve"> соблюсти минимальную долю.</w:t>
      </w:r>
    </w:p>
    <w:p w:rsidR="0076016E" w:rsidRPr="00FF1E54" w:rsidRDefault="0076016E" w:rsidP="00FF1E54">
      <w:pPr>
        <w:pStyle w:val="aa"/>
        <w:ind w:firstLine="851"/>
        <w:jc w:val="both"/>
      </w:pPr>
      <w:r w:rsidRPr="00FF1E54">
        <w:t xml:space="preserve">Шаг 3. Получить коммерческие предложения от поставщиков и рассчитать </w:t>
      </w:r>
      <w:r w:rsidR="00400E3E">
        <w:t>НМЦК по правилам ст. 22 Закона №</w:t>
      </w:r>
      <w:r w:rsidRPr="00FF1E54">
        <w:t xml:space="preserve"> 44-ФЗ.</w:t>
      </w:r>
    </w:p>
    <w:p w:rsidR="001F0FBB" w:rsidRDefault="0076016E" w:rsidP="00FF1E54">
      <w:pPr>
        <w:pStyle w:val="aa"/>
        <w:ind w:firstLine="851"/>
        <w:jc w:val="both"/>
      </w:pPr>
      <w:r w:rsidRPr="00FF1E54">
        <w:t>Документ:</w:t>
      </w:r>
      <w:r w:rsidR="00400E3E">
        <w:t xml:space="preserve"> </w:t>
      </w:r>
      <w:r w:rsidRPr="00FF1E54">
        <w:t xml:space="preserve">Информационное сообщение </w:t>
      </w:r>
      <w:proofErr w:type="spellStart"/>
      <w:r w:rsidRPr="00FF1E54">
        <w:t>Минпромторга</w:t>
      </w:r>
      <w:proofErr w:type="spellEnd"/>
      <w:r w:rsidRPr="00FF1E54">
        <w:t xml:space="preserve"> России от 01.02.2021</w:t>
      </w:r>
      <w:r w:rsidR="00400E3E">
        <w:t>.</w:t>
      </w:r>
    </w:p>
    <w:p w:rsidR="008E1424" w:rsidRPr="00FF1E54" w:rsidRDefault="008E1424" w:rsidP="00B35898">
      <w:pPr>
        <w:pStyle w:val="aa"/>
        <w:ind w:firstLine="851"/>
        <w:jc w:val="center"/>
      </w:pPr>
      <w:r w:rsidRPr="001F0FBB">
        <w:rPr>
          <w:u w:val="single"/>
        </w:rPr>
        <w:lastRenderedPageBreak/>
        <w:t>Мировое соглашение не помогло обжаловать решение контролер</w:t>
      </w:r>
      <w:r w:rsidR="00B35898">
        <w:rPr>
          <w:u w:val="single"/>
        </w:rPr>
        <w:t>ов о включении в РНП по Закону №</w:t>
      </w:r>
      <w:r w:rsidRPr="001F0FBB">
        <w:rPr>
          <w:u w:val="single"/>
        </w:rPr>
        <w:t xml:space="preserve"> 44-ФЗ</w:t>
      </w:r>
    </w:p>
    <w:p w:rsidR="008E1424" w:rsidRPr="00FF1E54" w:rsidRDefault="008E1424" w:rsidP="00FF1E54">
      <w:pPr>
        <w:pStyle w:val="aa"/>
        <w:ind w:firstLine="851"/>
        <w:jc w:val="both"/>
      </w:pPr>
      <w:r w:rsidRPr="00FF1E54">
        <w:t>Заказчик не принял товар, поскольку тот не отвечал условиям закупки. Он отказался от контракта.</w:t>
      </w:r>
    </w:p>
    <w:p w:rsidR="00B35898" w:rsidRDefault="008E1424" w:rsidP="00FF1E54">
      <w:pPr>
        <w:pStyle w:val="aa"/>
        <w:ind w:firstLine="851"/>
        <w:jc w:val="both"/>
      </w:pPr>
      <w:r w:rsidRPr="00FF1E54">
        <w:t>После получения решения об отказе исполнитель надлежащий товар так и не поставил. Сведения включили в РНП.</w:t>
      </w:r>
    </w:p>
    <w:p w:rsidR="008E1424" w:rsidRPr="00FF1E54" w:rsidRDefault="008E1424" w:rsidP="00FF1E54">
      <w:pPr>
        <w:pStyle w:val="aa"/>
        <w:ind w:firstLine="851"/>
        <w:jc w:val="both"/>
      </w:pPr>
      <w:r w:rsidRPr="00FF1E54">
        <w:t>Через несколько месяцев стороны заключили мировое соглашение. Они договорились:</w:t>
      </w:r>
    </w:p>
    <w:p w:rsidR="008E1424" w:rsidRPr="00FF1E54" w:rsidRDefault="008E1424" w:rsidP="00FF1E54">
      <w:pPr>
        <w:pStyle w:val="aa"/>
        <w:ind w:firstLine="851"/>
        <w:jc w:val="both"/>
      </w:pPr>
      <w:r w:rsidRPr="00FF1E54">
        <w:t>возобновить действие контракта;</w:t>
      </w:r>
    </w:p>
    <w:p w:rsidR="008E1424" w:rsidRPr="00FF1E54" w:rsidRDefault="008E1424" w:rsidP="00FF1E54">
      <w:pPr>
        <w:pStyle w:val="aa"/>
        <w:ind w:firstLine="851"/>
        <w:jc w:val="both"/>
      </w:pPr>
      <w:r w:rsidRPr="00FF1E54">
        <w:t>считать решение об одностороннем отказе недействительным.</w:t>
      </w:r>
    </w:p>
    <w:p w:rsidR="008E1424" w:rsidRPr="00FF1E54" w:rsidRDefault="008E1424" w:rsidP="00FF1E54">
      <w:pPr>
        <w:pStyle w:val="aa"/>
        <w:ind w:firstLine="851"/>
        <w:jc w:val="both"/>
      </w:pPr>
      <w:r w:rsidRPr="00FF1E54">
        <w:t>По этой причине исполнитель обжаловал в суде решение контролеров о включении в РНП.</w:t>
      </w:r>
    </w:p>
    <w:p w:rsidR="008E1424" w:rsidRPr="00FF1E54" w:rsidRDefault="008E1424" w:rsidP="00FF1E54">
      <w:pPr>
        <w:pStyle w:val="aa"/>
        <w:ind w:firstLine="851"/>
        <w:jc w:val="both"/>
      </w:pPr>
      <w:r w:rsidRPr="00FF1E54">
        <w:t>Первая инстанция поддержала исполнителя. Апелляция и кассация заняли другую позицию:</w:t>
      </w:r>
    </w:p>
    <w:p w:rsidR="008E1424" w:rsidRPr="00FF1E54" w:rsidRDefault="008E1424" w:rsidP="00FF1E54">
      <w:pPr>
        <w:pStyle w:val="aa"/>
        <w:ind w:firstLine="851"/>
        <w:jc w:val="both"/>
      </w:pPr>
      <w:r w:rsidRPr="00FF1E54">
        <w:t>заключение контракта предполагает, что победителю понятны его условия. Проблем при исполнении возникнуть не должно;</w:t>
      </w:r>
    </w:p>
    <w:p w:rsidR="008E1424" w:rsidRPr="00FF1E54" w:rsidRDefault="008E1424" w:rsidP="00FF1E54">
      <w:pPr>
        <w:pStyle w:val="aa"/>
        <w:ind w:firstLine="851"/>
        <w:jc w:val="both"/>
      </w:pPr>
      <w:r w:rsidRPr="00FF1E54">
        <w:t>заказчик не вправе сам признать недействительным вступивший в силу отказ от контракта;</w:t>
      </w:r>
    </w:p>
    <w:p w:rsidR="008E1424" w:rsidRPr="00FF1E54" w:rsidRDefault="008E1424" w:rsidP="00FF1E54">
      <w:pPr>
        <w:pStyle w:val="aa"/>
        <w:ind w:firstLine="851"/>
        <w:jc w:val="both"/>
      </w:pPr>
      <w:r w:rsidRPr="00FF1E54">
        <w:t>мировое соглашение не влияет на законность решения контролеров. Суд не оценивает доказательства и обстоятельства спора в этом случае;</w:t>
      </w:r>
    </w:p>
    <w:p w:rsidR="008E1424" w:rsidRPr="00FF1E54" w:rsidRDefault="008E1424" w:rsidP="00FF1E54">
      <w:pPr>
        <w:pStyle w:val="aa"/>
        <w:ind w:firstLine="851"/>
        <w:jc w:val="both"/>
      </w:pPr>
      <w:r w:rsidRPr="00FF1E54">
        <w:t>отказ заказчика от претензий не имеет значения, поскольку ответственность к недобросовестному лицу применяется независимо от последующего волеизъявления сторон по контракту;</w:t>
      </w:r>
    </w:p>
    <w:p w:rsidR="008E1424" w:rsidRPr="00FF1E54" w:rsidRDefault="008E1424" w:rsidP="00FF1E54">
      <w:pPr>
        <w:pStyle w:val="aa"/>
        <w:ind w:firstLine="851"/>
        <w:jc w:val="both"/>
      </w:pPr>
      <w:r w:rsidRPr="00FF1E54">
        <w:t>решение контролеров утверждено до мирового соглашения с учетом документов и материалов на момент его принятия. Дальнейшие действия сторон на него не влияют;</w:t>
      </w:r>
    </w:p>
    <w:p w:rsidR="008E1424" w:rsidRPr="00FF1E54" w:rsidRDefault="008E1424" w:rsidP="00FF1E54">
      <w:pPr>
        <w:pStyle w:val="aa"/>
        <w:ind w:firstLine="851"/>
        <w:jc w:val="both"/>
      </w:pPr>
      <w:r w:rsidRPr="00FF1E54">
        <w:t>поведение исполнителя недобросовестное. Основания для включения в РНП были.</w:t>
      </w:r>
    </w:p>
    <w:p w:rsidR="008E1424" w:rsidRPr="00FF1E54" w:rsidRDefault="008E1424" w:rsidP="00FF1E54">
      <w:pPr>
        <w:pStyle w:val="aa"/>
        <w:ind w:firstLine="851"/>
        <w:jc w:val="both"/>
      </w:pPr>
      <w:r w:rsidRPr="00FF1E54">
        <w:t>ВС РФ не стал пересматривать дело.</w:t>
      </w:r>
    </w:p>
    <w:p w:rsidR="008E1424" w:rsidRPr="00FF1E54" w:rsidRDefault="008E1424" w:rsidP="00FF1E54">
      <w:pPr>
        <w:pStyle w:val="aa"/>
        <w:ind w:firstLine="851"/>
        <w:jc w:val="both"/>
      </w:pPr>
      <w:r w:rsidRPr="00FF1E54">
        <w:t>Документ:</w:t>
      </w:r>
      <w:r w:rsidRPr="00FF1E54">
        <w:tab/>
        <w:t>О</w:t>
      </w:r>
      <w:r w:rsidR="00B35898">
        <w:t xml:space="preserve">пределение ВС РФ от 15.02.2021 № </w:t>
      </w:r>
      <w:r w:rsidRPr="00FF1E54">
        <w:t>305-ЭС20-24521</w:t>
      </w:r>
      <w:r w:rsidR="00B35898">
        <w:t>.</w:t>
      </w:r>
    </w:p>
    <w:p w:rsidR="00522847" w:rsidRPr="00FF1E54" w:rsidRDefault="00522847" w:rsidP="00B35898">
      <w:pPr>
        <w:pStyle w:val="aa"/>
        <w:ind w:firstLine="851"/>
        <w:jc w:val="center"/>
      </w:pPr>
      <w:r w:rsidRPr="00B35898">
        <w:rPr>
          <w:u w:val="single"/>
        </w:rPr>
        <w:t>Должна ли управляющая компания устранять строительные дефекты крыши в МКД, разобрался ВС РФ</w:t>
      </w:r>
    </w:p>
    <w:p w:rsidR="00522847" w:rsidRPr="00FF1E54" w:rsidRDefault="00522847" w:rsidP="00FF1E54">
      <w:pPr>
        <w:pStyle w:val="aa"/>
        <w:ind w:firstLine="851"/>
        <w:jc w:val="both"/>
      </w:pPr>
      <w:r w:rsidRPr="00FF1E54">
        <w:t xml:space="preserve">Граждане пожаловались на протечки крыши многоквартирного дома. </w:t>
      </w:r>
      <w:proofErr w:type="spellStart"/>
      <w:r w:rsidRPr="00FF1E54">
        <w:t>Жилинспекция</w:t>
      </w:r>
      <w:proofErr w:type="spellEnd"/>
      <w:r w:rsidRPr="00FF1E54">
        <w:t xml:space="preserve"> потребовала от управляющей компании их устранить. УК обжаловала предписание в суде, экспертиза признала повреждения в кровле строительными дефектами.</w:t>
      </w:r>
    </w:p>
    <w:p w:rsidR="00522847" w:rsidRPr="00FF1E54" w:rsidRDefault="00522847" w:rsidP="00FF1E54">
      <w:pPr>
        <w:pStyle w:val="aa"/>
        <w:ind w:firstLine="851"/>
        <w:jc w:val="both"/>
      </w:pPr>
      <w:r w:rsidRPr="00FF1E54">
        <w:t xml:space="preserve">Первая и кассационная инстанции решили, что недостатки возникли в ходе строительства. Их должен по гарантии устранить застройщик. Предписание </w:t>
      </w:r>
      <w:proofErr w:type="spellStart"/>
      <w:r w:rsidRPr="00FF1E54">
        <w:t>жилинспекции</w:t>
      </w:r>
      <w:proofErr w:type="spellEnd"/>
      <w:r w:rsidRPr="00FF1E54">
        <w:t xml:space="preserve"> нельзя исполнить, так как:</w:t>
      </w:r>
    </w:p>
    <w:p w:rsidR="00522847" w:rsidRPr="00FF1E54" w:rsidRDefault="00522847" w:rsidP="00FF1E54">
      <w:pPr>
        <w:pStyle w:val="aa"/>
        <w:ind w:firstLine="851"/>
        <w:jc w:val="both"/>
      </w:pPr>
      <w:r w:rsidRPr="00FF1E54">
        <w:t>у компании нет денег на ремонт;</w:t>
      </w:r>
    </w:p>
    <w:p w:rsidR="00522847" w:rsidRPr="00FF1E54" w:rsidRDefault="00522847" w:rsidP="00FF1E54">
      <w:pPr>
        <w:pStyle w:val="aa"/>
        <w:ind w:firstLine="851"/>
        <w:jc w:val="both"/>
      </w:pPr>
      <w:r w:rsidRPr="00FF1E54">
        <w:t>нет согласия общего собрания собственников МКД на капремонт.</w:t>
      </w:r>
    </w:p>
    <w:p w:rsidR="00522847" w:rsidRPr="00FF1E54" w:rsidRDefault="00522847" w:rsidP="00FF1E54">
      <w:pPr>
        <w:pStyle w:val="aa"/>
        <w:ind w:firstLine="851"/>
        <w:jc w:val="both"/>
      </w:pPr>
      <w:r w:rsidRPr="00FF1E54">
        <w:t xml:space="preserve">Апелляция высказала другое мнение. Управляющая компания должна по договору с собственниками содержать общее имущество дома. Она обязана починить кровлю независимо от того, кто виноват в дефектах. На необходимость капремонта крыши </w:t>
      </w:r>
      <w:proofErr w:type="spellStart"/>
      <w:r w:rsidRPr="00FF1E54">
        <w:t>жилинспекция</w:t>
      </w:r>
      <w:proofErr w:type="spellEnd"/>
      <w:r w:rsidRPr="00FF1E54">
        <w:t xml:space="preserve"> не указывала.</w:t>
      </w:r>
    </w:p>
    <w:p w:rsidR="00522847" w:rsidRPr="00FF1E54" w:rsidRDefault="00522847" w:rsidP="00FF1E54">
      <w:pPr>
        <w:pStyle w:val="aa"/>
        <w:ind w:firstLine="851"/>
        <w:jc w:val="both"/>
      </w:pPr>
      <w:r w:rsidRPr="00FF1E54">
        <w:t xml:space="preserve">ВС РФ поддержал эту позицию. Работы по ремонту и обслуживанию кровли включены в минимальный перечень работ и услуг по содержанию общего имущества в МКД. Их управляющая компания должна </w:t>
      </w:r>
      <w:proofErr w:type="gramStart"/>
      <w:r w:rsidRPr="00FF1E54">
        <w:t>выполнять</w:t>
      </w:r>
      <w:proofErr w:type="gramEnd"/>
      <w:r w:rsidRPr="00FF1E54">
        <w:t xml:space="preserve"> безусловно. На это не влияет обязанность застройщика устранить повреждения в рамках гарантийного срока.</w:t>
      </w:r>
    </w:p>
    <w:p w:rsidR="00522847" w:rsidRPr="00FF1E54" w:rsidRDefault="00522847" w:rsidP="00FF1E54">
      <w:pPr>
        <w:pStyle w:val="aa"/>
        <w:ind w:firstLine="851"/>
        <w:jc w:val="both"/>
      </w:pPr>
      <w:r w:rsidRPr="00FF1E54">
        <w:t>Аналогичный подход в практике уже встречался.</w:t>
      </w:r>
    </w:p>
    <w:p w:rsidR="00A97F19" w:rsidRPr="00FF1E54" w:rsidRDefault="00522847" w:rsidP="00FF1E54">
      <w:pPr>
        <w:pStyle w:val="aa"/>
        <w:ind w:firstLine="851"/>
        <w:jc w:val="both"/>
      </w:pPr>
      <w:r w:rsidRPr="00FF1E54">
        <w:t>Документ:</w:t>
      </w:r>
      <w:r w:rsidR="00442611">
        <w:t xml:space="preserve"> </w:t>
      </w:r>
      <w:r w:rsidRPr="00FF1E54">
        <w:t xml:space="preserve">Определение ВС РФ от 20.02.2021 </w:t>
      </w:r>
      <w:r w:rsidR="00442611">
        <w:t>№</w:t>
      </w:r>
      <w:r w:rsidRPr="00FF1E54">
        <w:t xml:space="preserve"> 309-ЭС20-20751</w:t>
      </w:r>
      <w:r w:rsidR="00442611">
        <w:t>.</w:t>
      </w:r>
    </w:p>
    <w:p w:rsidR="00A7394A" w:rsidRPr="00442611" w:rsidRDefault="00442611" w:rsidP="00442611">
      <w:pPr>
        <w:pStyle w:val="aa"/>
        <w:ind w:firstLine="851"/>
        <w:jc w:val="center"/>
        <w:rPr>
          <w:u w:val="single"/>
        </w:rPr>
      </w:pPr>
      <w:r>
        <w:rPr>
          <w:u w:val="single"/>
        </w:rPr>
        <w:lastRenderedPageBreak/>
        <w:t>«</w:t>
      </w:r>
      <w:r w:rsidR="00A7394A" w:rsidRPr="00442611">
        <w:rPr>
          <w:u w:val="single"/>
        </w:rPr>
        <w:t xml:space="preserve">Методические рекомендации по оценке технических заключений специализированных организаций по обследованию технического </w:t>
      </w:r>
      <w:r>
        <w:rPr>
          <w:u w:val="single"/>
        </w:rPr>
        <w:t>состояния многоквартирных домов»</w:t>
      </w:r>
    </w:p>
    <w:p w:rsidR="00A7394A" w:rsidRPr="00442611" w:rsidRDefault="00A7394A" w:rsidP="00442611">
      <w:pPr>
        <w:pStyle w:val="aa"/>
        <w:ind w:firstLine="851"/>
        <w:jc w:val="center"/>
        <w:rPr>
          <w:u w:val="single"/>
        </w:rPr>
      </w:pPr>
      <w:r w:rsidRPr="00442611">
        <w:rPr>
          <w:u w:val="single"/>
        </w:rPr>
        <w:t xml:space="preserve">(утв. </w:t>
      </w:r>
      <w:proofErr w:type="spellStart"/>
      <w:r w:rsidRPr="00442611">
        <w:rPr>
          <w:u w:val="single"/>
        </w:rPr>
        <w:t>Госкорпорацией</w:t>
      </w:r>
      <w:proofErr w:type="spellEnd"/>
      <w:r w:rsidRPr="00442611">
        <w:rPr>
          <w:u w:val="single"/>
        </w:rPr>
        <w:t xml:space="preserve"> </w:t>
      </w:r>
      <w:r w:rsidR="00442611">
        <w:rPr>
          <w:u w:val="single"/>
        </w:rPr>
        <w:t>«</w:t>
      </w:r>
      <w:r w:rsidRPr="00442611">
        <w:rPr>
          <w:u w:val="single"/>
        </w:rPr>
        <w:t xml:space="preserve">Фонд </w:t>
      </w:r>
      <w:r w:rsidR="00442611">
        <w:rPr>
          <w:u w:val="single"/>
        </w:rPr>
        <w:t>содействия реформированию ЖКХ»</w:t>
      </w:r>
      <w:r w:rsidRPr="00442611">
        <w:rPr>
          <w:u w:val="single"/>
        </w:rPr>
        <w:t xml:space="preserve"> 30.12.2020)</w:t>
      </w:r>
    </w:p>
    <w:p w:rsidR="00A7394A" w:rsidRPr="00FF1E54" w:rsidRDefault="00A7394A" w:rsidP="00FF1E54">
      <w:pPr>
        <w:pStyle w:val="aa"/>
        <w:ind w:firstLine="851"/>
        <w:jc w:val="both"/>
      </w:pPr>
      <w:r w:rsidRPr="00FF1E54">
        <w:t>Рекомендован порядок оценки технических заключений специализированных организаций по обследованию технического состояния многоквартирных домов</w:t>
      </w:r>
    </w:p>
    <w:p w:rsidR="00A7394A" w:rsidRPr="00FF1E54" w:rsidRDefault="00A7394A" w:rsidP="00FF1E54">
      <w:pPr>
        <w:pStyle w:val="aa"/>
        <w:ind w:firstLine="851"/>
        <w:jc w:val="both"/>
      </w:pPr>
      <w:r w:rsidRPr="00FF1E54">
        <w:t>Методические рекомендации разработаны для осуществления жителями многоквартирных домов, экспертами Общероссийского народного фронта (ОНФ), иными заинтересованными лицами оценки соответствия технических заключений специализированных организаций по обследованию технического состояния многоквартирных домов требованиям, установленным действующим законодательством и нормативно-технической документацией.</w:t>
      </w:r>
    </w:p>
    <w:p w:rsidR="00A7394A" w:rsidRPr="00FF1E54" w:rsidRDefault="00A7394A" w:rsidP="00FF1E54">
      <w:pPr>
        <w:pStyle w:val="aa"/>
        <w:ind w:firstLine="851"/>
        <w:jc w:val="both"/>
      </w:pPr>
      <w:r w:rsidRPr="00FF1E54">
        <w:t xml:space="preserve">Признание многоквартирного дома аварийным производится в соответствии с </w:t>
      </w:r>
      <w:r w:rsidR="00442611">
        <w:t>«</w:t>
      </w:r>
      <w:r w:rsidRPr="00FF1E54">
        <w:t>Положением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w:t>
      </w:r>
      <w:r w:rsidR="00442611">
        <w:t>мом и жилого дома садовым домом»</w:t>
      </w:r>
      <w:r w:rsidRPr="00FF1E54">
        <w:t xml:space="preserve">, утвержденным Постановлением </w:t>
      </w:r>
      <w:r w:rsidR="00442611">
        <w:t>Правительства РФ от 28.01.2006 №</w:t>
      </w:r>
      <w:r w:rsidRPr="00FF1E54">
        <w:t xml:space="preserve"> 47.</w:t>
      </w:r>
    </w:p>
    <w:p w:rsidR="00A7394A" w:rsidRPr="00FF1E54" w:rsidRDefault="00A7394A" w:rsidP="00FF1E54">
      <w:pPr>
        <w:pStyle w:val="aa"/>
        <w:ind w:firstLine="851"/>
        <w:jc w:val="both"/>
      </w:pPr>
      <w:r w:rsidRPr="00FF1E54">
        <w:t>Орган местного самоуправления (в некоторых случаях - орган исполнительной власти субъекта РФ) создает межведомственную комиссию, которая проводит оценку соответствия многоквартирного дома требованиям указанного Положения и принимает одно из следующих решений:</w:t>
      </w:r>
    </w:p>
    <w:p w:rsidR="00A7394A" w:rsidRPr="00FF1E54" w:rsidRDefault="00A7394A" w:rsidP="00FF1E54">
      <w:pPr>
        <w:pStyle w:val="aa"/>
        <w:ind w:firstLine="851"/>
        <w:jc w:val="both"/>
      </w:pPr>
      <w:r w:rsidRPr="00FF1E54">
        <w:t>о выявлении оснований для признания многоквартирного дома аварийным и подлежащим реконструкции;</w:t>
      </w:r>
    </w:p>
    <w:p w:rsidR="00A7394A" w:rsidRPr="00FF1E54" w:rsidRDefault="00A7394A" w:rsidP="00FF1E54">
      <w:pPr>
        <w:pStyle w:val="aa"/>
        <w:ind w:firstLine="851"/>
        <w:jc w:val="both"/>
      </w:pPr>
      <w:r w:rsidRPr="00FF1E54">
        <w:t>о выявлении оснований для признания многоквартирного дома аварийным и подлежащим сносу;</w:t>
      </w:r>
    </w:p>
    <w:p w:rsidR="00A7394A" w:rsidRPr="00FF1E54" w:rsidRDefault="00A7394A" w:rsidP="00FF1E54">
      <w:pPr>
        <w:pStyle w:val="aa"/>
        <w:ind w:firstLine="851"/>
        <w:jc w:val="both"/>
      </w:pPr>
      <w:r w:rsidRPr="00FF1E54">
        <w:t>об отсутствии оснований для признания многоквартирного дома аварийным и подлежащим сносу или реконструкции.</w:t>
      </w:r>
    </w:p>
    <w:p w:rsidR="007576BB" w:rsidRPr="00FF1E54" w:rsidRDefault="007576BB" w:rsidP="00FF1E54">
      <w:pPr>
        <w:pStyle w:val="aa"/>
        <w:ind w:firstLine="851"/>
        <w:jc w:val="both"/>
        <w:rPr>
          <w:u w:val="single"/>
        </w:rPr>
      </w:pPr>
      <w:r w:rsidRPr="00FF1E54">
        <w:rPr>
          <w:u w:val="single"/>
        </w:rPr>
        <w:t>Банкам рекомендуют усилить работу по защите клиентов от мошенников</w:t>
      </w:r>
    </w:p>
    <w:p w:rsidR="007576BB" w:rsidRPr="00442611" w:rsidRDefault="007576BB" w:rsidP="00FF1E54">
      <w:pPr>
        <w:pStyle w:val="aa"/>
        <w:ind w:firstLine="851"/>
        <w:jc w:val="both"/>
      </w:pPr>
      <w:r w:rsidRPr="00442611">
        <w:t>ЦБ РФ посоветовал банкам активнее предупреждать клиентов о том, что нельзя передавать посторонним персональные данные, информацию о банковских картах, пароли из СМС, секретные слова и т.д.</w:t>
      </w:r>
    </w:p>
    <w:p w:rsidR="007576BB" w:rsidRPr="00FF1E54" w:rsidRDefault="007576BB" w:rsidP="00FF1E54">
      <w:pPr>
        <w:pStyle w:val="aa"/>
        <w:ind w:firstLine="851"/>
        <w:jc w:val="both"/>
      </w:pPr>
      <w:r w:rsidRPr="00FF1E54">
        <w:t>При этом рекомендовано достичь максимального охвата информирования (не менее 80% клиентов-физлиц). Особое внимание важно уделять доступности данных для инвалидов.</w:t>
      </w:r>
    </w:p>
    <w:p w:rsidR="007576BB" w:rsidRPr="00FF1E54" w:rsidRDefault="007576BB" w:rsidP="00FF1E54">
      <w:pPr>
        <w:pStyle w:val="aa"/>
        <w:ind w:firstLine="851"/>
        <w:jc w:val="both"/>
      </w:pPr>
      <w:r w:rsidRPr="00FF1E54">
        <w:t>Кроме того, регулятор среди прочего рекомендует размещать сведения:</w:t>
      </w:r>
    </w:p>
    <w:p w:rsidR="007576BB" w:rsidRPr="00FF1E54" w:rsidRDefault="007576BB" w:rsidP="00FF1E54">
      <w:pPr>
        <w:pStyle w:val="aa"/>
        <w:ind w:firstLine="851"/>
        <w:jc w:val="both"/>
      </w:pPr>
      <w:r w:rsidRPr="00FF1E54">
        <w:t>в мобильном приложении банка (на заставках и при подтверждении операций по счету);</w:t>
      </w:r>
    </w:p>
    <w:p w:rsidR="007576BB" w:rsidRPr="00FF1E54" w:rsidRDefault="007576BB" w:rsidP="00FF1E54">
      <w:pPr>
        <w:pStyle w:val="aa"/>
        <w:ind w:firstLine="851"/>
        <w:jc w:val="both"/>
      </w:pPr>
      <w:r w:rsidRPr="00FF1E54">
        <w:t>на экранах банкоматов (на самых приоритетных заставках с повторением после каждой другой заставки и при подтверждении операций по счету);</w:t>
      </w:r>
    </w:p>
    <w:p w:rsidR="007576BB" w:rsidRPr="00FF1E54" w:rsidRDefault="007576BB" w:rsidP="00FF1E54">
      <w:pPr>
        <w:pStyle w:val="aa"/>
        <w:ind w:firstLine="851"/>
        <w:jc w:val="both"/>
      </w:pPr>
      <w:r w:rsidRPr="00FF1E54">
        <w:t>на сайте банка (в том числе в разделе о борьбе с мошенничеством, о котором рекомендуют постоянно напоминать на главной странице);</w:t>
      </w:r>
    </w:p>
    <w:p w:rsidR="007576BB" w:rsidRPr="00FF1E54" w:rsidRDefault="007576BB" w:rsidP="00FF1E54">
      <w:pPr>
        <w:pStyle w:val="aa"/>
        <w:ind w:firstLine="851"/>
        <w:jc w:val="both"/>
      </w:pPr>
      <w:r w:rsidRPr="00FF1E54">
        <w:t>в офисах банка (на витринах, у входа, около банкоматов, в местах обслуживания и пр.);</w:t>
      </w:r>
    </w:p>
    <w:p w:rsidR="007576BB" w:rsidRPr="00FF1E54" w:rsidRDefault="007576BB" w:rsidP="00FF1E54">
      <w:pPr>
        <w:pStyle w:val="aa"/>
        <w:ind w:firstLine="851"/>
        <w:jc w:val="both"/>
      </w:pPr>
      <w:r w:rsidRPr="00FF1E54">
        <w:t xml:space="preserve">в рекламе и </w:t>
      </w:r>
      <w:proofErr w:type="spellStart"/>
      <w:r w:rsidRPr="00FF1E54">
        <w:t>соцсетях</w:t>
      </w:r>
      <w:proofErr w:type="spellEnd"/>
      <w:r w:rsidRPr="00FF1E54">
        <w:t>.</w:t>
      </w:r>
    </w:p>
    <w:p w:rsidR="007576BB" w:rsidRPr="00FF1E54" w:rsidRDefault="007576BB" w:rsidP="00FF1E54">
      <w:pPr>
        <w:pStyle w:val="aa"/>
        <w:ind w:firstLine="851"/>
        <w:jc w:val="both"/>
      </w:pPr>
      <w:r w:rsidRPr="00FF1E54">
        <w:t>Советуют также хотя бы 1 раз в квартал уведомлять по СМС минимум 80% всех клиентов о борьбе с мошенничеством.</w:t>
      </w:r>
    </w:p>
    <w:p w:rsidR="007576BB" w:rsidRPr="00FF1E54" w:rsidRDefault="007576BB" w:rsidP="00FF1E54">
      <w:pPr>
        <w:pStyle w:val="aa"/>
        <w:ind w:firstLine="851"/>
        <w:jc w:val="both"/>
      </w:pPr>
      <w:r w:rsidRPr="00FF1E54">
        <w:t>Эти меры помогут сократить количество операций без согласия клиентов.</w:t>
      </w:r>
    </w:p>
    <w:p w:rsidR="00383AD2" w:rsidRPr="00FF1E54" w:rsidRDefault="003D4E9F" w:rsidP="00867081">
      <w:pPr>
        <w:pStyle w:val="aa"/>
        <w:jc w:val="both"/>
      </w:pPr>
      <w:r>
        <w:t xml:space="preserve">             Документ: </w:t>
      </w:r>
      <w:r w:rsidR="007576BB" w:rsidRPr="00FF1E54">
        <w:t>Методические рекоменда</w:t>
      </w:r>
      <w:r>
        <w:t>ции Банка России от 19.02.2021 №</w:t>
      </w:r>
      <w:r w:rsidR="007576BB" w:rsidRPr="00FF1E54">
        <w:t xml:space="preserve"> 3-МР</w:t>
      </w:r>
      <w:r>
        <w:t>.</w:t>
      </w:r>
    </w:p>
    <w:sectPr w:rsidR="00383AD2" w:rsidRPr="00FF1E54">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8B3" w:rsidRDefault="001D08B3" w:rsidP="00D80BEB">
      <w:pPr>
        <w:spacing w:after="0" w:line="240" w:lineRule="auto"/>
      </w:pPr>
      <w:r>
        <w:separator/>
      </w:r>
    </w:p>
  </w:endnote>
  <w:endnote w:type="continuationSeparator" w:id="0">
    <w:p w:rsidR="001D08B3" w:rsidRDefault="001D08B3" w:rsidP="00D80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434829"/>
      <w:docPartObj>
        <w:docPartGallery w:val="Page Numbers (Bottom of Page)"/>
        <w:docPartUnique/>
      </w:docPartObj>
    </w:sdtPr>
    <w:sdtContent>
      <w:p w:rsidR="00D80BEB" w:rsidRDefault="00D80BEB">
        <w:pPr>
          <w:pStyle w:val="af7"/>
          <w:jc w:val="center"/>
        </w:pPr>
        <w:r>
          <w:fldChar w:fldCharType="begin"/>
        </w:r>
        <w:r>
          <w:instrText>PAGE   \* MERGEFORMAT</w:instrText>
        </w:r>
        <w:r>
          <w:fldChar w:fldCharType="separate"/>
        </w:r>
        <w:r w:rsidR="002102D0">
          <w:rPr>
            <w:noProof/>
          </w:rPr>
          <w:t>1</w:t>
        </w:r>
        <w:r>
          <w:fldChar w:fldCharType="end"/>
        </w:r>
      </w:p>
    </w:sdtContent>
  </w:sdt>
  <w:p w:rsidR="00D80BEB" w:rsidRDefault="00D80BEB">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8B3" w:rsidRDefault="001D08B3" w:rsidP="00D80BEB">
      <w:pPr>
        <w:spacing w:after="0" w:line="240" w:lineRule="auto"/>
      </w:pPr>
      <w:r>
        <w:separator/>
      </w:r>
    </w:p>
  </w:footnote>
  <w:footnote w:type="continuationSeparator" w:id="0">
    <w:p w:rsidR="001D08B3" w:rsidRDefault="001D08B3" w:rsidP="00D80B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F51"/>
    <w:rsid w:val="000239CE"/>
    <w:rsid w:val="000650D9"/>
    <w:rsid w:val="0009099C"/>
    <w:rsid w:val="00121671"/>
    <w:rsid w:val="001D08B3"/>
    <w:rsid w:val="001F0FBB"/>
    <w:rsid w:val="00206CA6"/>
    <w:rsid w:val="00206F3D"/>
    <w:rsid w:val="002102D0"/>
    <w:rsid w:val="00230DFF"/>
    <w:rsid w:val="00271F92"/>
    <w:rsid w:val="00383AD2"/>
    <w:rsid w:val="003B09AF"/>
    <w:rsid w:val="003D4E9F"/>
    <w:rsid w:val="003F6753"/>
    <w:rsid w:val="00400E3E"/>
    <w:rsid w:val="00442611"/>
    <w:rsid w:val="004858EF"/>
    <w:rsid w:val="004A45BF"/>
    <w:rsid w:val="00515B17"/>
    <w:rsid w:val="00522847"/>
    <w:rsid w:val="005F4F51"/>
    <w:rsid w:val="006B0574"/>
    <w:rsid w:val="00750505"/>
    <w:rsid w:val="007576BB"/>
    <w:rsid w:val="0076016E"/>
    <w:rsid w:val="007854C8"/>
    <w:rsid w:val="007D142F"/>
    <w:rsid w:val="008268AC"/>
    <w:rsid w:val="00846B80"/>
    <w:rsid w:val="00867081"/>
    <w:rsid w:val="008D297F"/>
    <w:rsid w:val="008E1424"/>
    <w:rsid w:val="009B27A5"/>
    <w:rsid w:val="00A24C72"/>
    <w:rsid w:val="00A7394A"/>
    <w:rsid w:val="00A97F19"/>
    <w:rsid w:val="00B35898"/>
    <w:rsid w:val="00CF5296"/>
    <w:rsid w:val="00D80BEB"/>
    <w:rsid w:val="00DD76E8"/>
    <w:rsid w:val="00E12618"/>
    <w:rsid w:val="00E559B4"/>
    <w:rsid w:val="00E83D17"/>
    <w:rsid w:val="00F130CF"/>
    <w:rsid w:val="00F97F56"/>
    <w:rsid w:val="00FC69FC"/>
    <w:rsid w:val="00FD02CC"/>
    <w:rsid w:val="00FE39DC"/>
    <w:rsid w:val="00FF1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D80BEB"/>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D80BEB"/>
    <w:rPr>
      <w:sz w:val="24"/>
      <w:szCs w:val="24"/>
    </w:rPr>
  </w:style>
  <w:style w:type="paragraph" w:styleId="af7">
    <w:name w:val="footer"/>
    <w:basedOn w:val="a"/>
    <w:link w:val="af8"/>
    <w:uiPriority w:val="99"/>
    <w:unhideWhenUsed/>
    <w:rsid w:val="00D80BE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D80BE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D80BEB"/>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D80BEB"/>
    <w:rPr>
      <w:sz w:val="24"/>
      <w:szCs w:val="24"/>
    </w:rPr>
  </w:style>
  <w:style w:type="paragraph" w:styleId="af7">
    <w:name w:val="footer"/>
    <w:basedOn w:val="a"/>
    <w:link w:val="af8"/>
    <w:uiPriority w:val="99"/>
    <w:unhideWhenUsed/>
    <w:rsid w:val="00D80BEB"/>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D80B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AEB76-D894-4545-9C09-C3E9C4944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2267</Words>
  <Characters>12925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84</cp:revision>
  <dcterms:created xsi:type="dcterms:W3CDTF">2021-02-28T14:35:00Z</dcterms:created>
  <dcterms:modified xsi:type="dcterms:W3CDTF">2021-03-02T12:43:00Z</dcterms:modified>
</cp:coreProperties>
</file>