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26DE" w:rsidRPr="00F526DE" w:rsidRDefault="00F526DE" w:rsidP="00F526DE">
      <w:pPr>
        <w:spacing w:after="0"/>
        <w:ind w:firstLine="709"/>
        <w:jc w:val="both"/>
        <w:rPr>
          <w:rFonts w:ascii="Times New Roman" w:hAnsi="Times New Roman" w:cs="Times New Roman"/>
          <w:b/>
          <w:sz w:val="26"/>
          <w:szCs w:val="26"/>
          <w:u w:val="single"/>
        </w:rPr>
      </w:pPr>
      <w:r w:rsidRPr="00F526DE">
        <w:rPr>
          <w:rFonts w:ascii="Times New Roman" w:hAnsi="Times New Roman" w:cs="Times New Roman"/>
          <w:b/>
          <w:sz w:val="26"/>
          <w:szCs w:val="26"/>
          <w:u w:val="single"/>
        </w:rPr>
        <w:t>С 1 сентября 2022 года обновляется порядок допуска организаций к деятельности по проведению СОУТ</w:t>
      </w:r>
    </w:p>
    <w:p w:rsidR="00F526DE" w:rsidRPr="00F526DE" w:rsidRDefault="00F526DE" w:rsidP="00F526DE">
      <w:pPr>
        <w:spacing w:after="0"/>
        <w:ind w:firstLine="709"/>
        <w:jc w:val="both"/>
        <w:rPr>
          <w:rFonts w:ascii="Times New Roman" w:hAnsi="Times New Roman" w:cs="Times New Roman"/>
          <w:sz w:val="26"/>
          <w:szCs w:val="26"/>
        </w:rPr>
      </w:pPr>
      <w:hyperlink r:id="rId5" w:history="1">
        <w:proofErr w:type="gramStart"/>
        <w:r w:rsidRPr="00F526DE">
          <w:rPr>
            <w:rStyle w:val="a3"/>
            <w:rFonts w:ascii="Times New Roman" w:hAnsi="Times New Roman" w:cs="Times New Roman"/>
            <w:sz w:val="26"/>
            <w:szCs w:val="26"/>
          </w:rPr>
          <w:t>Постановлением Правительства РФ от 16.12.2021 N 2332</w:t>
        </w:r>
      </w:hyperlink>
      <w:r w:rsidRPr="00F526DE">
        <w:rPr>
          <w:rFonts w:ascii="Times New Roman" w:hAnsi="Times New Roman" w:cs="Times New Roman"/>
          <w:sz w:val="26"/>
          <w:szCs w:val="26"/>
        </w:rPr>
        <w:t xml:space="preserve"> установлены правила допуска организаций к деятельности по проведению специальной оценки условий труда, их регистрации в реестре организаций, проводящих специальную оценку условий труда, приостановления и прекращения деятельности по проведению специальной оценки условий труда, а также порядок формирования и ведения реестра организаций, проводящих специальную оценку условий труда. </w:t>
      </w:r>
      <w:proofErr w:type="gramEnd"/>
    </w:p>
    <w:p w:rsidR="00F526DE" w:rsidRPr="00F526DE" w:rsidRDefault="00F526DE" w:rsidP="00F526DE">
      <w:pPr>
        <w:spacing w:after="0"/>
        <w:ind w:firstLine="709"/>
        <w:jc w:val="both"/>
        <w:rPr>
          <w:rFonts w:ascii="Times New Roman" w:hAnsi="Times New Roman" w:cs="Times New Roman"/>
          <w:sz w:val="26"/>
          <w:szCs w:val="26"/>
        </w:rPr>
      </w:pPr>
      <w:r w:rsidRPr="00F526DE">
        <w:rPr>
          <w:rFonts w:ascii="Times New Roman" w:hAnsi="Times New Roman" w:cs="Times New Roman"/>
          <w:sz w:val="26"/>
          <w:szCs w:val="26"/>
        </w:rPr>
        <w:t>Формирование и ведение реестра осуществляется Минтрудом России.</w:t>
      </w:r>
    </w:p>
    <w:p w:rsidR="00F526DE" w:rsidRPr="00F526DE" w:rsidRDefault="00F526DE" w:rsidP="00F526DE">
      <w:pPr>
        <w:spacing w:after="0"/>
        <w:ind w:firstLine="709"/>
        <w:jc w:val="both"/>
        <w:rPr>
          <w:rFonts w:ascii="Times New Roman" w:hAnsi="Times New Roman" w:cs="Times New Roman"/>
          <w:sz w:val="26"/>
          <w:szCs w:val="26"/>
        </w:rPr>
      </w:pPr>
      <w:proofErr w:type="gramStart"/>
      <w:r w:rsidRPr="00F526DE">
        <w:rPr>
          <w:rFonts w:ascii="Times New Roman" w:hAnsi="Times New Roman" w:cs="Times New Roman"/>
          <w:sz w:val="26"/>
          <w:szCs w:val="26"/>
        </w:rPr>
        <w:t xml:space="preserve">Регистрации в реестре подлежат организации, соответствующие требованиям, установленным </w:t>
      </w:r>
      <w:hyperlink r:id="rId6" w:history="1">
        <w:r w:rsidRPr="00F526DE">
          <w:rPr>
            <w:rStyle w:val="a3"/>
            <w:rFonts w:ascii="Times New Roman" w:hAnsi="Times New Roman" w:cs="Times New Roman"/>
            <w:sz w:val="26"/>
            <w:szCs w:val="26"/>
          </w:rPr>
          <w:t>Федеральным законом "О специальной оценке условий труда"</w:t>
        </w:r>
      </w:hyperlink>
      <w:r w:rsidRPr="00F526DE">
        <w:rPr>
          <w:rFonts w:ascii="Times New Roman" w:hAnsi="Times New Roman" w:cs="Times New Roman"/>
          <w:sz w:val="26"/>
          <w:szCs w:val="26"/>
        </w:rPr>
        <w:t>, и представившие в Минтруд России заявление о регистрации в реестре (заявление о регистрации), заполненное в соответствии с установленными  </w:t>
      </w:r>
      <w:hyperlink r:id="rId7" w:history="1">
        <w:r w:rsidRPr="00F526DE">
          <w:rPr>
            <w:rStyle w:val="a3"/>
            <w:rFonts w:ascii="Times New Roman" w:hAnsi="Times New Roman" w:cs="Times New Roman"/>
            <w:sz w:val="26"/>
            <w:szCs w:val="26"/>
          </w:rPr>
          <w:t>требованиями</w:t>
        </w:r>
      </w:hyperlink>
      <w:r w:rsidRPr="00F526DE">
        <w:rPr>
          <w:rFonts w:ascii="Times New Roman" w:hAnsi="Times New Roman" w:cs="Times New Roman"/>
          <w:sz w:val="26"/>
          <w:szCs w:val="26"/>
        </w:rPr>
        <w:t xml:space="preserve">. Заявление о регистрации оформляется на бланке организации в произвольной форме. </w:t>
      </w:r>
      <w:proofErr w:type="gramEnd"/>
    </w:p>
    <w:p w:rsidR="00F526DE" w:rsidRPr="00F526DE" w:rsidRDefault="00F526DE" w:rsidP="00F526DE">
      <w:pPr>
        <w:spacing w:after="0"/>
        <w:ind w:firstLine="709"/>
        <w:jc w:val="both"/>
        <w:rPr>
          <w:rFonts w:ascii="Times New Roman" w:hAnsi="Times New Roman" w:cs="Times New Roman"/>
          <w:sz w:val="26"/>
          <w:szCs w:val="26"/>
        </w:rPr>
      </w:pPr>
      <w:r w:rsidRPr="00F526DE">
        <w:rPr>
          <w:rFonts w:ascii="Times New Roman" w:hAnsi="Times New Roman" w:cs="Times New Roman"/>
          <w:sz w:val="26"/>
          <w:szCs w:val="26"/>
        </w:rPr>
        <w:t xml:space="preserve">Минтруд России рассматривает поступившее заявление о регистрации в течение 5 рабочих дней со дня его регистрации, после принимает решение о регистрации организации в реестре или об отказе в регистрации организации в реестре. </w:t>
      </w:r>
    </w:p>
    <w:p w:rsidR="00F526DE" w:rsidRPr="00F526DE" w:rsidRDefault="00F526DE" w:rsidP="00F526DE">
      <w:pPr>
        <w:spacing w:after="0"/>
        <w:ind w:firstLine="709"/>
        <w:jc w:val="both"/>
        <w:rPr>
          <w:rFonts w:ascii="Times New Roman" w:hAnsi="Times New Roman" w:cs="Times New Roman"/>
          <w:sz w:val="26"/>
          <w:szCs w:val="26"/>
        </w:rPr>
      </w:pPr>
      <w:r w:rsidRPr="00F526DE">
        <w:rPr>
          <w:rFonts w:ascii="Times New Roman" w:hAnsi="Times New Roman" w:cs="Times New Roman"/>
          <w:sz w:val="26"/>
          <w:szCs w:val="26"/>
        </w:rPr>
        <w:t xml:space="preserve">Регистрация организации в реестре в день принятия соответствующего решения. </w:t>
      </w:r>
    </w:p>
    <w:p w:rsidR="00F526DE" w:rsidRPr="00F526DE" w:rsidRDefault="00F526DE" w:rsidP="00F526DE">
      <w:pPr>
        <w:spacing w:after="0"/>
        <w:ind w:firstLine="709"/>
        <w:jc w:val="both"/>
        <w:rPr>
          <w:rFonts w:ascii="Times New Roman" w:hAnsi="Times New Roman" w:cs="Times New Roman"/>
          <w:sz w:val="26"/>
          <w:szCs w:val="26"/>
        </w:rPr>
      </w:pPr>
      <w:r w:rsidRPr="00F526DE">
        <w:rPr>
          <w:rFonts w:ascii="Times New Roman" w:hAnsi="Times New Roman" w:cs="Times New Roman"/>
          <w:sz w:val="26"/>
          <w:szCs w:val="26"/>
        </w:rPr>
        <w:t xml:space="preserve">В случае изменения сведений, содержащихся в реестре, сведений в отношении области аккредитации испытательной лаборатории (центра) и (или) состава экспертов организация в течение 10 рабочих дней со дня таких изменений направляет соответствующее заявление </w:t>
      </w:r>
      <w:proofErr w:type="gramStart"/>
      <w:r w:rsidRPr="00F526DE">
        <w:rPr>
          <w:rFonts w:ascii="Times New Roman" w:hAnsi="Times New Roman" w:cs="Times New Roman"/>
          <w:sz w:val="26"/>
          <w:szCs w:val="26"/>
        </w:rPr>
        <w:t>в</w:t>
      </w:r>
      <w:proofErr w:type="gramEnd"/>
      <w:r w:rsidRPr="00F526DE">
        <w:rPr>
          <w:rFonts w:ascii="Times New Roman" w:hAnsi="Times New Roman" w:cs="Times New Roman"/>
          <w:sz w:val="26"/>
          <w:szCs w:val="26"/>
        </w:rPr>
        <w:t xml:space="preserve"> </w:t>
      </w:r>
      <w:proofErr w:type="gramStart"/>
      <w:r w:rsidRPr="00F526DE">
        <w:rPr>
          <w:rFonts w:ascii="Times New Roman" w:hAnsi="Times New Roman" w:cs="Times New Roman"/>
          <w:sz w:val="26"/>
          <w:szCs w:val="26"/>
        </w:rPr>
        <w:t>Минтруда</w:t>
      </w:r>
      <w:proofErr w:type="gramEnd"/>
      <w:r w:rsidRPr="00F526DE">
        <w:rPr>
          <w:rFonts w:ascii="Times New Roman" w:hAnsi="Times New Roman" w:cs="Times New Roman"/>
          <w:sz w:val="26"/>
          <w:szCs w:val="26"/>
        </w:rPr>
        <w:t xml:space="preserve"> России с указанием сведений, подлежащих изменению. </w:t>
      </w:r>
    </w:p>
    <w:p w:rsidR="00F526DE" w:rsidRPr="00F526DE" w:rsidRDefault="00F526DE" w:rsidP="00F526DE">
      <w:pPr>
        <w:spacing w:after="0"/>
        <w:ind w:firstLine="709"/>
        <w:jc w:val="both"/>
        <w:rPr>
          <w:rFonts w:ascii="Times New Roman" w:hAnsi="Times New Roman" w:cs="Times New Roman"/>
          <w:sz w:val="26"/>
          <w:szCs w:val="26"/>
        </w:rPr>
      </w:pPr>
      <w:r w:rsidRPr="00F526DE">
        <w:rPr>
          <w:rFonts w:ascii="Times New Roman" w:hAnsi="Times New Roman" w:cs="Times New Roman"/>
          <w:sz w:val="26"/>
          <w:szCs w:val="26"/>
        </w:rPr>
        <w:t xml:space="preserve">Установлены случаи, когда организация подлежит исключению из </w:t>
      </w:r>
      <w:hyperlink r:id="rId8" w:history="1">
        <w:r w:rsidRPr="00F526DE">
          <w:rPr>
            <w:rStyle w:val="a3"/>
            <w:rFonts w:ascii="Times New Roman" w:hAnsi="Times New Roman" w:cs="Times New Roman"/>
            <w:sz w:val="26"/>
            <w:szCs w:val="26"/>
          </w:rPr>
          <w:t>реестра</w:t>
        </w:r>
      </w:hyperlink>
      <w:r w:rsidRPr="00F526DE">
        <w:rPr>
          <w:rFonts w:ascii="Times New Roman" w:hAnsi="Times New Roman" w:cs="Times New Roman"/>
          <w:sz w:val="26"/>
          <w:szCs w:val="26"/>
        </w:rPr>
        <w:t xml:space="preserve">. </w:t>
      </w:r>
    </w:p>
    <w:p w:rsidR="00F526DE" w:rsidRPr="00341832" w:rsidRDefault="00F526DE" w:rsidP="00F526DE">
      <w:pPr>
        <w:spacing w:after="0"/>
        <w:ind w:firstLine="709"/>
        <w:jc w:val="both"/>
        <w:rPr>
          <w:rFonts w:ascii="Times New Roman" w:hAnsi="Times New Roman" w:cs="Times New Roman"/>
          <w:b/>
          <w:sz w:val="26"/>
          <w:szCs w:val="26"/>
        </w:rPr>
      </w:pPr>
      <w:r w:rsidRPr="00341832">
        <w:rPr>
          <w:rFonts w:ascii="Times New Roman" w:hAnsi="Times New Roman" w:cs="Times New Roman"/>
          <w:b/>
          <w:sz w:val="26"/>
          <w:szCs w:val="26"/>
        </w:rPr>
        <w:t>Дата вступления в силу - 01.09.2022</w:t>
      </w:r>
    </w:p>
    <w:p w:rsidR="00F526DE" w:rsidRDefault="00F526DE" w:rsidP="00F526DE">
      <w:pPr>
        <w:spacing w:after="0"/>
        <w:ind w:firstLine="709"/>
        <w:jc w:val="both"/>
        <w:rPr>
          <w:rFonts w:ascii="Times New Roman" w:hAnsi="Times New Roman" w:cs="Times New Roman"/>
          <w:sz w:val="26"/>
          <w:szCs w:val="26"/>
        </w:rPr>
      </w:pPr>
    </w:p>
    <w:p w:rsidR="00341832" w:rsidRPr="00341832" w:rsidRDefault="00341832" w:rsidP="00341832">
      <w:pPr>
        <w:spacing w:after="0"/>
        <w:ind w:firstLine="709"/>
        <w:jc w:val="both"/>
        <w:rPr>
          <w:rFonts w:ascii="Times New Roman" w:hAnsi="Times New Roman" w:cs="Times New Roman"/>
          <w:b/>
          <w:bCs/>
          <w:sz w:val="26"/>
          <w:szCs w:val="26"/>
          <w:u w:val="single"/>
        </w:rPr>
      </w:pPr>
      <w:r w:rsidRPr="00341832">
        <w:rPr>
          <w:rFonts w:ascii="Times New Roman" w:hAnsi="Times New Roman" w:cs="Times New Roman"/>
          <w:b/>
          <w:bCs/>
          <w:sz w:val="26"/>
          <w:szCs w:val="26"/>
          <w:u w:val="single"/>
        </w:rPr>
        <w:t>07.07.2021.  Подписан закон, направленный на совершенствование отношений в сфере закупок для обеспечения государственных и муниципальных нужд</w:t>
      </w:r>
    </w:p>
    <w:p w:rsidR="00341832" w:rsidRPr="00341832" w:rsidRDefault="00341832" w:rsidP="00341832">
      <w:pPr>
        <w:spacing w:after="0"/>
        <w:ind w:firstLine="709"/>
        <w:jc w:val="both"/>
        <w:rPr>
          <w:rFonts w:ascii="Times New Roman" w:hAnsi="Times New Roman" w:cs="Times New Roman"/>
          <w:sz w:val="26"/>
          <w:szCs w:val="26"/>
        </w:rPr>
      </w:pPr>
      <w:hyperlink r:id="rId9"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вносятся изменения в ряд федеральных законов в целях комплексного совершенствования отношений в сфере закупок товаров, работ, услуг для обеспечения государственных и муниципальных нужд.</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Сокращается количество конкурентных способов определения поставщика (подрядчика, исполнителя). В частности, исключаются запрос предложений и некоторые виды конкурса (двухэтапный конкурс и конкурс с ограниченным участием), которые на практике не имели широкого распространения либо дублировали процедуру открытого конкурса. Заказчики смогут использовать такие способы, как конкурс (открытый конкурс в электронной форме, закрытый конкурс и закрытый конкурс в электронной форме), аукцион (открытый аукцион в </w:t>
      </w:r>
      <w:r w:rsidRPr="00341832">
        <w:rPr>
          <w:rFonts w:ascii="Times New Roman" w:hAnsi="Times New Roman" w:cs="Times New Roman"/>
          <w:sz w:val="26"/>
          <w:szCs w:val="26"/>
        </w:rPr>
        <w:lastRenderedPageBreak/>
        <w:t>электронной форме, закрытый аукцион и закрытый аукцион в электронной форме) или запрос котировок в электронной форме.</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Одновременно существенно расширяется практика применения самого простого и оперативного конкурентного способа - запроса котировок в электронной форме.</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Предусматриваются новые случаи, при которых допускается применение закрытых конкурентных способов, например, в случае осуществления закупок на проведение работ по исследованию и использованию космического пространства.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При применении конкурентных способов в случае, если начальная (максимальная) цена контракта составляет 20 миллионов рублей и более (за исключением случая осуществления закупок, в отношении участников которых Правительством Российской Федерации установлены обязательные дополнительные требования), вводится </w:t>
      </w:r>
      <w:proofErr w:type="spellStart"/>
      <w:r w:rsidRPr="00341832">
        <w:rPr>
          <w:rFonts w:ascii="Times New Roman" w:hAnsi="Times New Roman" w:cs="Times New Roman"/>
          <w:sz w:val="26"/>
          <w:szCs w:val="26"/>
        </w:rPr>
        <w:t>предквалификация</w:t>
      </w:r>
      <w:proofErr w:type="spellEnd"/>
      <w:r w:rsidRPr="00341832">
        <w:rPr>
          <w:rFonts w:ascii="Times New Roman" w:hAnsi="Times New Roman" w:cs="Times New Roman"/>
          <w:sz w:val="26"/>
          <w:szCs w:val="26"/>
        </w:rPr>
        <w:t xml:space="preserve"> участников закупок. С помощью такой </w:t>
      </w:r>
      <w:proofErr w:type="spellStart"/>
      <w:r w:rsidRPr="00341832">
        <w:rPr>
          <w:rFonts w:ascii="Times New Roman" w:hAnsi="Times New Roman" w:cs="Times New Roman"/>
          <w:sz w:val="26"/>
          <w:szCs w:val="26"/>
        </w:rPr>
        <w:t>предквалификации</w:t>
      </w:r>
      <w:proofErr w:type="spellEnd"/>
      <w:r w:rsidRPr="00341832">
        <w:rPr>
          <w:rFonts w:ascii="Times New Roman" w:hAnsi="Times New Roman" w:cs="Times New Roman"/>
          <w:sz w:val="26"/>
          <w:szCs w:val="26"/>
        </w:rPr>
        <w:t xml:space="preserve"> к участию в закупке допускаются физические и юридические лица, имеющие в течение трёх лет до даты подачи заявки успешный опыт исполнения контракта (договора, заключённого в соответствии с </w:t>
      </w:r>
      <w:hyperlink r:id="rId10" w:history="1">
        <w:r w:rsidRPr="00341832">
          <w:rPr>
            <w:rStyle w:val="a3"/>
            <w:rFonts w:ascii="Times New Roman" w:hAnsi="Times New Roman" w:cs="Times New Roman"/>
            <w:sz w:val="26"/>
            <w:szCs w:val="26"/>
          </w:rPr>
          <w:t>Федеральным законом "О закупках товаров, работ, услуг отдельными видами юридических лиц"</w:t>
        </w:r>
      </w:hyperlink>
      <w:r w:rsidRPr="00341832">
        <w:rPr>
          <w:rFonts w:ascii="Times New Roman" w:hAnsi="Times New Roman" w:cs="Times New Roman"/>
          <w:sz w:val="26"/>
          <w:szCs w:val="26"/>
        </w:rPr>
        <w:t>). Стоимость исполненных обязательств по такому контракту (договору) должна составить не менее 20 процентов от начальной (максимальной) цены контракта.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Совершенствуется порядок проведения совместных конкурсов и аукционов.</w:t>
      </w:r>
    </w:p>
    <w:p w:rsidR="00341832" w:rsidRPr="00341832" w:rsidRDefault="00341832" w:rsidP="00341832">
      <w:pPr>
        <w:spacing w:after="0"/>
        <w:ind w:firstLine="709"/>
        <w:jc w:val="both"/>
        <w:rPr>
          <w:rFonts w:ascii="Times New Roman" w:hAnsi="Times New Roman" w:cs="Times New Roman"/>
          <w:sz w:val="26"/>
          <w:szCs w:val="26"/>
        </w:rPr>
      </w:pPr>
      <w:proofErr w:type="gramStart"/>
      <w:r w:rsidRPr="00341832">
        <w:rPr>
          <w:rFonts w:ascii="Times New Roman" w:hAnsi="Times New Roman" w:cs="Times New Roman"/>
          <w:sz w:val="26"/>
          <w:szCs w:val="26"/>
        </w:rPr>
        <w:t>Сокращаются и приводятся</w:t>
      </w:r>
      <w:proofErr w:type="gramEnd"/>
      <w:r w:rsidRPr="00341832">
        <w:rPr>
          <w:rFonts w:ascii="Times New Roman" w:hAnsi="Times New Roman" w:cs="Times New Roman"/>
          <w:sz w:val="26"/>
          <w:szCs w:val="26"/>
        </w:rPr>
        <w:t xml:space="preserve"> к единообразию сроки осуществления процедур проведения конкурентных способов, в том числе рассмотрения заявок на участие в закупке и отмены заказчиком закупки.</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Снижаются требования к минимальному числу членов комиссии (с пяти до трёх человек), допускается возможность дистанционного участия членов комиссии в её заседании.</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Стандартизируются содержание извещения об осуществлении закупки, документации о закупке и заявки на участие в закупке, сроки их размещения и внесения в них изменений.</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Вводится электронный документооборот в течение всего цикла закупки: все документы, в том числе документы о приёмке, должны создаваться в электронной форме с использованием единой информационной системы в сфере закупок (за исключением закупки, осуществляемой путём проведения закрытого конкурса и закрытого аукциона).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Уменьшается количество формируемых участниками контрактной системы документов, унифицируются требования к действиям участников закупок.</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Уточняются случаи проведения обязательного общественного обсуждения закупок. Закупки подлежат общественному обсуждению в случае проведения конкурсов и аукционов при начальной (максимальной) цене контракта, составляющей два миллиарда рублей и более (за исключением закупок, осуществляемых путём проведения закрытых конкурентных способов, а также </w:t>
      </w:r>
      <w:r w:rsidRPr="00341832">
        <w:rPr>
          <w:rFonts w:ascii="Times New Roman" w:hAnsi="Times New Roman" w:cs="Times New Roman"/>
          <w:sz w:val="26"/>
          <w:szCs w:val="26"/>
        </w:rPr>
        <w:lastRenderedPageBreak/>
        <w:t>осуществляемых для обеспечения федеральных нужд в рамках государственного оборонного заказа).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Предусматривается, что по итогам проведения электронных процедур контракт заключается с победителем определения поставщика (подрядчика, исполнителя) либо в случае признания его уклонившимся от заключения контракта с участником закупки, заявке которого </w:t>
      </w:r>
      <w:proofErr w:type="gramStart"/>
      <w:r w:rsidRPr="00341832">
        <w:rPr>
          <w:rFonts w:ascii="Times New Roman" w:hAnsi="Times New Roman" w:cs="Times New Roman"/>
          <w:sz w:val="26"/>
          <w:szCs w:val="26"/>
        </w:rPr>
        <w:t>присвоен следующий порядковый номер и который не отозвал</w:t>
      </w:r>
      <w:proofErr w:type="gramEnd"/>
      <w:r w:rsidRPr="00341832">
        <w:rPr>
          <w:rFonts w:ascii="Times New Roman" w:hAnsi="Times New Roman" w:cs="Times New Roman"/>
          <w:sz w:val="26"/>
          <w:szCs w:val="26"/>
        </w:rPr>
        <w:t xml:space="preserve"> свою заявку, что позволит избежать необходимости проведения повторной закупки.</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Устанавливается возможность предоставления в качестве обеспечения заявок на участие в закупках (обеспечения исполнения контрактов, гарантийных обязательств) независимых гарантий, выданных государственной корпорацией развития "ВЭБ</w:t>
      </w:r>
      <w:proofErr w:type="gramStart"/>
      <w:r w:rsidRPr="00341832">
        <w:rPr>
          <w:rFonts w:ascii="Times New Roman" w:hAnsi="Times New Roman" w:cs="Times New Roman"/>
          <w:sz w:val="26"/>
          <w:szCs w:val="26"/>
        </w:rPr>
        <w:t>.Р</w:t>
      </w:r>
      <w:proofErr w:type="gramEnd"/>
      <w:r w:rsidRPr="00341832">
        <w:rPr>
          <w:rFonts w:ascii="Times New Roman" w:hAnsi="Times New Roman" w:cs="Times New Roman"/>
          <w:sz w:val="26"/>
          <w:szCs w:val="26"/>
        </w:rPr>
        <w:t>Ф", а также фондами содействия кредитованию, являющимися участниками национальной гарантийной системы поддержки малого и среднего предпринимательства, что позволит расширить доступ к закупкам субъектам малого и среднего предпринимательства.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Помимо этого, если участник закупки является юридическим лицом, зарегистрированным на территории любого государства - члена Евразийского экономического союза, кроме Российской Федерации, или физическим лицом, являющимся гражданином такого государства, независимая гарантия может быть выдана ему Евразийским банком развития.</w:t>
      </w:r>
    </w:p>
    <w:p w:rsidR="00341832" w:rsidRDefault="00341832" w:rsidP="00341832">
      <w:pPr>
        <w:spacing w:after="0"/>
        <w:jc w:val="both"/>
        <w:rPr>
          <w:rFonts w:ascii="Times New Roman" w:hAnsi="Times New Roman" w:cs="Times New Roman"/>
          <w:b/>
          <w:sz w:val="26"/>
          <w:szCs w:val="26"/>
        </w:rPr>
      </w:pPr>
      <w:r w:rsidRPr="00341832">
        <w:rPr>
          <w:rFonts w:ascii="Times New Roman" w:hAnsi="Times New Roman" w:cs="Times New Roman"/>
          <w:b/>
          <w:sz w:val="26"/>
          <w:szCs w:val="26"/>
        </w:rPr>
        <w:t>Дата вступления в силу - 01.01.2022</w:t>
      </w:r>
    </w:p>
    <w:p w:rsidR="00341832" w:rsidRDefault="00341832" w:rsidP="00341832">
      <w:pPr>
        <w:spacing w:after="0"/>
        <w:jc w:val="both"/>
        <w:rPr>
          <w:rFonts w:ascii="Times New Roman" w:hAnsi="Times New Roman" w:cs="Times New Roman"/>
          <w:b/>
          <w:sz w:val="26"/>
          <w:szCs w:val="26"/>
        </w:rPr>
      </w:pPr>
    </w:p>
    <w:p w:rsidR="00341832" w:rsidRPr="00341832" w:rsidRDefault="00341832" w:rsidP="00341832">
      <w:pPr>
        <w:spacing w:after="0"/>
        <w:ind w:firstLine="709"/>
        <w:jc w:val="both"/>
        <w:rPr>
          <w:rFonts w:ascii="Times New Roman" w:hAnsi="Times New Roman" w:cs="Times New Roman"/>
          <w:b/>
          <w:bCs/>
          <w:sz w:val="26"/>
          <w:szCs w:val="26"/>
          <w:u w:val="single"/>
        </w:rPr>
      </w:pPr>
      <w:r w:rsidRPr="00341832">
        <w:rPr>
          <w:rFonts w:ascii="Times New Roman" w:hAnsi="Times New Roman" w:cs="Times New Roman"/>
          <w:b/>
          <w:bCs/>
          <w:sz w:val="26"/>
          <w:szCs w:val="26"/>
          <w:u w:val="single"/>
        </w:rPr>
        <w:t xml:space="preserve">23.12.2021.  Гражданский кодекс РФ дополнен главами, уточняющими правовой режим земельных участков, зданий, сооружений, помещений, объектов незавершенного строительства и </w:t>
      </w:r>
      <w:proofErr w:type="spellStart"/>
      <w:r w:rsidRPr="00341832">
        <w:rPr>
          <w:rFonts w:ascii="Times New Roman" w:hAnsi="Times New Roman" w:cs="Times New Roman"/>
          <w:b/>
          <w:bCs/>
          <w:sz w:val="26"/>
          <w:szCs w:val="26"/>
          <w:u w:val="single"/>
        </w:rPr>
        <w:t>машино</w:t>
      </w:r>
      <w:proofErr w:type="spellEnd"/>
      <w:r w:rsidRPr="00341832">
        <w:rPr>
          <w:rFonts w:ascii="Times New Roman" w:hAnsi="Times New Roman" w:cs="Times New Roman"/>
          <w:b/>
          <w:bCs/>
          <w:sz w:val="26"/>
          <w:szCs w:val="26"/>
          <w:u w:val="single"/>
        </w:rPr>
        <w:t>-мест</w:t>
      </w:r>
    </w:p>
    <w:p w:rsidR="00341832" w:rsidRPr="00341832" w:rsidRDefault="00341832" w:rsidP="00341832">
      <w:pPr>
        <w:spacing w:after="0"/>
        <w:ind w:firstLine="709"/>
        <w:jc w:val="both"/>
        <w:rPr>
          <w:rFonts w:ascii="Times New Roman" w:hAnsi="Times New Roman" w:cs="Times New Roman"/>
          <w:sz w:val="26"/>
          <w:szCs w:val="26"/>
        </w:rPr>
      </w:pPr>
      <w:hyperlink r:id="rId11" w:history="1">
        <w:r w:rsidRPr="00341832">
          <w:rPr>
            <w:rStyle w:val="a3"/>
            <w:rFonts w:ascii="Times New Roman" w:hAnsi="Times New Roman" w:cs="Times New Roman"/>
            <w:sz w:val="26"/>
            <w:szCs w:val="26"/>
          </w:rPr>
          <w:t>Федеральным законом от 21.12.2021 N 430-ФЗ</w:t>
        </w:r>
      </w:hyperlink>
      <w:r w:rsidRPr="00341832">
        <w:rPr>
          <w:rFonts w:ascii="Times New Roman" w:hAnsi="Times New Roman" w:cs="Times New Roman"/>
          <w:sz w:val="26"/>
          <w:szCs w:val="26"/>
        </w:rPr>
        <w:t xml:space="preserve"> внесены изменения в </w:t>
      </w:r>
      <w:hyperlink r:id="rId12" w:history="1">
        <w:r w:rsidRPr="00341832">
          <w:rPr>
            <w:rStyle w:val="a3"/>
            <w:rFonts w:ascii="Times New Roman" w:hAnsi="Times New Roman" w:cs="Times New Roman"/>
            <w:sz w:val="26"/>
            <w:szCs w:val="26"/>
          </w:rPr>
          <w:t>часть первую Гражданского кодекса РФ</w:t>
        </w:r>
      </w:hyperlink>
      <w:r w:rsidRPr="00341832">
        <w:rPr>
          <w:rFonts w:ascii="Times New Roman" w:hAnsi="Times New Roman" w:cs="Times New Roman"/>
          <w:sz w:val="26"/>
          <w:szCs w:val="26"/>
        </w:rPr>
        <w:t>, которая дополнена: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1) главой 6_1:</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 </w:t>
      </w:r>
      <w:proofErr w:type="gramStart"/>
      <w:r w:rsidRPr="00341832">
        <w:rPr>
          <w:rFonts w:ascii="Times New Roman" w:hAnsi="Times New Roman" w:cs="Times New Roman"/>
          <w:sz w:val="26"/>
          <w:szCs w:val="26"/>
        </w:rPr>
        <w:t>уточняющей</w:t>
      </w:r>
      <w:proofErr w:type="gramEnd"/>
      <w:r w:rsidRPr="00341832">
        <w:rPr>
          <w:rFonts w:ascii="Times New Roman" w:hAnsi="Times New Roman" w:cs="Times New Roman"/>
          <w:sz w:val="26"/>
          <w:szCs w:val="26"/>
        </w:rPr>
        <w:t xml:space="preserve"> правовой режим таких недвижимых вещей, как земельный участок, здания, сооружения и помещения;</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 </w:t>
      </w:r>
      <w:proofErr w:type="gramStart"/>
      <w:r w:rsidRPr="00341832">
        <w:rPr>
          <w:rFonts w:ascii="Times New Roman" w:hAnsi="Times New Roman" w:cs="Times New Roman"/>
          <w:sz w:val="26"/>
          <w:szCs w:val="26"/>
        </w:rPr>
        <w:t>закрепляющей</w:t>
      </w:r>
      <w:proofErr w:type="gramEnd"/>
      <w:r w:rsidRPr="00341832">
        <w:rPr>
          <w:rFonts w:ascii="Times New Roman" w:hAnsi="Times New Roman" w:cs="Times New Roman"/>
          <w:sz w:val="26"/>
          <w:szCs w:val="26"/>
        </w:rPr>
        <w:t xml:space="preserve"> общие правила образования недвижимых вещей;</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2) главой 17_1, определяющей:</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 порядок и особенности возникновения и прекращения прав на отдельные категории недвижимых вещей, в том числе здания, сооружения, объекты незавершенного строительства, помещения и </w:t>
      </w:r>
      <w:proofErr w:type="spellStart"/>
      <w:r w:rsidRPr="00341832">
        <w:rPr>
          <w:rFonts w:ascii="Times New Roman" w:hAnsi="Times New Roman" w:cs="Times New Roman"/>
          <w:sz w:val="26"/>
          <w:szCs w:val="26"/>
        </w:rPr>
        <w:t>машино</w:t>
      </w:r>
      <w:proofErr w:type="spellEnd"/>
      <w:r w:rsidRPr="00341832">
        <w:rPr>
          <w:rFonts w:ascii="Times New Roman" w:hAnsi="Times New Roman" w:cs="Times New Roman"/>
          <w:sz w:val="26"/>
          <w:szCs w:val="26"/>
        </w:rPr>
        <w:t>-места;</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правила пользования собственником здания или сооружения чужим земельным участком.</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Кроме того, </w:t>
      </w:r>
      <w:hyperlink r:id="rId13" w:history="1">
        <w:r w:rsidRPr="00341832">
          <w:rPr>
            <w:rStyle w:val="a3"/>
            <w:rFonts w:ascii="Times New Roman" w:hAnsi="Times New Roman" w:cs="Times New Roman"/>
            <w:sz w:val="26"/>
            <w:szCs w:val="26"/>
          </w:rPr>
          <w:t>Законом N 430-ФЗ</w:t>
        </w:r>
      </w:hyperlink>
      <w:r w:rsidRPr="00341832">
        <w:rPr>
          <w:rFonts w:ascii="Times New Roman" w:hAnsi="Times New Roman" w:cs="Times New Roman"/>
          <w:sz w:val="26"/>
          <w:szCs w:val="26"/>
        </w:rPr>
        <w:t>:</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предусмотрено сокращение срока принятия на учет бесхозяйных линейных объектов до 3 месяцев и предоставление лицу, обязанному осуществлять эксплуатацию таких объектов, права обратиться с заявлением о принятии их на учет;</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lastRenderedPageBreak/>
        <w:t xml:space="preserve">- уточнены нормы, касающиеся общего имущества в многоквартирном доме. </w:t>
      </w:r>
    </w:p>
    <w:p w:rsidR="00341832" w:rsidRDefault="00341832" w:rsidP="00341832">
      <w:pPr>
        <w:spacing w:after="0"/>
        <w:ind w:firstLine="709"/>
        <w:jc w:val="both"/>
        <w:rPr>
          <w:rFonts w:ascii="Times New Roman" w:hAnsi="Times New Roman" w:cs="Times New Roman"/>
          <w:b/>
          <w:sz w:val="26"/>
          <w:szCs w:val="26"/>
        </w:rPr>
      </w:pPr>
      <w:r w:rsidRPr="00341832">
        <w:rPr>
          <w:rFonts w:ascii="Times New Roman" w:hAnsi="Times New Roman" w:cs="Times New Roman"/>
          <w:b/>
          <w:sz w:val="26"/>
          <w:szCs w:val="26"/>
        </w:rPr>
        <w:t>Дата вступления в силу - 01.03.2022</w:t>
      </w:r>
    </w:p>
    <w:p w:rsidR="00341832" w:rsidRDefault="00341832" w:rsidP="00341832">
      <w:pPr>
        <w:spacing w:after="0"/>
        <w:jc w:val="both"/>
        <w:rPr>
          <w:rFonts w:ascii="Times New Roman" w:hAnsi="Times New Roman" w:cs="Times New Roman"/>
          <w:b/>
          <w:sz w:val="26"/>
          <w:szCs w:val="26"/>
        </w:rPr>
      </w:pPr>
    </w:p>
    <w:p w:rsidR="00341832" w:rsidRPr="001C0E4F" w:rsidRDefault="00341832" w:rsidP="00341832">
      <w:pPr>
        <w:spacing w:after="0"/>
        <w:ind w:firstLine="709"/>
        <w:jc w:val="both"/>
        <w:rPr>
          <w:rFonts w:ascii="Times New Roman" w:hAnsi="Times New Roman" w:cs="Times New Roman"/>
          <w:b/>
          <w:sz w:val="26"/>
          <w:szCs w:val="26"/>
          <w:u w:val="single"/>
        </w:rPr>
      </w:pPr>
      <w:r w:rsidRPr="001C0E4F">
        <w:rPr>
          <w:rFonts w:ascii="Times New Roman" w:hAnsi="Times New Roman" w:cs="Times New Roman"/>
          <w:b/>
          <w:sz w:val="26"/>
          <w:szCs w:val="26"/>
          <w:u w:val="single"/>
        </w:rPr>
        <w:t>Подписан закон о единой системе публичной власти в субъектах России</w:t>
      </w:r>
    </w:p>
    <w:p w:rsidR="00341832" w:rsidRPr="00341832" w:rsidRDefault="00341832" w:rsidP="00341832">
      <w:pPr>
        <w:spacing w:after="0"/>
        <w:ind w:firstLine="709"/>
        <w:jc w:val="both"/>
        <w:rPr>
          <w:rFonts w:ascii="Times New Roman" w:hAnsi="Times New Roman" w:cs="Times New Roman"/>
          <w:sz w:val="26"/>
          <w:szCs w:val="26"/>
        </w:rPr>
      </w:pPr>
      <w:hyperlink r:id="rId14" w:history="1">
        <w:proofErr w:type="gramStart"/>
        <w:r w:rsidRPr="00341832">
          <w:rPr>
            <w:rStyle w:val="a3"/>
            <w:rFonts w:ascii="Times New Roman" w:hAnsi="Times New Roman" w:cs="Times New Roman"/>
            <w:sz w:val="26"/>
            <w:szCs w:val="26"/>
          </w:rPr>
          <w:t>Федеральный закон "Об общих принципах организации публичной власти в субъектах Российской Федерации"</w:t>
        </w:r>
      </w:hyperlink>
      <w:r w:rsidRPr="00341832">
        <w:rPr>
          <w:rFonts w:ascii="Times New Roman" w:hAnsi="Times New Roman" w:cs="Times New Roman"/>
          <w:sz w:val="26"/>
          <w:szCs w:val="26"/>
        </w:rPr>
        <w:t xml:space="preserve">, принятый в развитие изменений, внесенных в </w:t>
      </w:r>
      <w:hyperlink r:id="rId15" w:history="1">
        <w:r w:rsidRPr="00341832">
          <w:rPr>
            <w:rStyle w:val="a3"/>
            <w:rFonts w:ascii="Times New Roman" w:hAnsi="Times New Roman" w:cs="Times New Roman"/>
            <w:sz w:val="26"/>
            <w:szCs w:val="26"/>
          </w:rPr>
          <w:t>Конституцию Российской Федерации</w:t>
        </w:r>
      </w:hyperlink>
      <w:r w:rsidRPr="00341832">
        <w:rPr>
          <w:rFonts w:ascii="Times New Roman" w:hAnsi="Times New Roman" w:cs="Times New Roman"/>
          <w:sz w:val="26"/>
          <w:szCs w:val="26"/>
        </w:rPr>
        <w:t xml:space="preserve"> по результатам общероссийского голосования, состоявшегося 1 июля 2020 года, с 2023 года заменит </w:t>
      </w:r>
      <w:hyperlink r:id="rId16" w:history="1">
        <w:r w:rsidRPr="00341832">
          <w:rPr>
            <w:rStyle w:val="a3"/>
            <w:rFonts w:ascii="Times New Roman" w:hAnsi="Times New Roman" w:cs="Times New Roman"/>
            <w:sz w:val="26"/>
            <w:szCs w:val="26"/>
          </w:rPr>
          <w:t>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hyperlink>
      <w:r w:rsidRPr="00341832">
        <w:rPr>
          <w:rFonts w:ascii="Times New Roman" w:hAnsi="Times New Roman" w:cs="Times New Roman"/>
          <w:sz w:val="26"/>
          <w:szCs w:val="26"/>
        </w:rPr>
        <w:t>. Указанными изменениями закрепляется принцип единства системы публичной власти в Российской</w:t>
      </w:r>
      <w:proofErr w:type="gramEnd"/>
      <w:r w:rsidRPr="00341832">
        <w:rPr>
          <w:rFonts w:ascii="Times New Roman" w:hAnsi="Times New Roman" w:cs="Times New Roman"/>
          <w:sz w:val="26"/>
          <w:szCs w:val="26"/>
        </w:rPr>
        <w:t xml:space="preserve"> Федерации, реализация которого призвана повысить эффективность взаимодействия всех уровней публичной власти (федерального, регионального и местного) для более качественного решения задач, стоящих перед органами публичной власти, а также усилить контроль деятельности и повысить ответственность этих органов.</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Так, </w:t>
      </w:r>
      <w:hyperlink r:id="rId17"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устанавливаются принципы деятельности органов, входящих в единую систему публичной власти в субъекте Российской Федерации.</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Федеральным законом предусматривается, что федеральные органы исполнительной власти могут участвовать в формировании органов исполнительной власти субъектов Российской Федерации, осуществляющих переданные им полномочия. </w:t>
      </w:r>
      <w:proofErr w:type="gramStart"/>
      <w:r w:rsidRPr="00341832">
        <w:rPr>
          <w:rFonts w:ascii="Times New Roman" w:hAnsi="Times New Roman" w:cs="Times New Roman"/>
          <w:sz w:val="26"/>
          <w:szCs w:val="26"/>
        </w:rPr>
        <w:t>Предусматривается согласование назначения на должность или освобождения от должности в порядке и случаях, установленных законодательством Российской Федерации, руководителей органов исполнительной власти субъектов Российской Федерации, осуществляющих полномочия в таких важнейших сферах как образование, здравоохранение, финансы, государственное регулирование тарифов, жилищный контроль (надзор), строительный надзор, контроль (надзор) в области долевого строительства многоквартирных домов и иных объектов недвижимости.</w:t>
      </w:r>
      <w:proofErr w:type="gramEnd"/>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Кроме того, </w:t>
      </w:r>
      <w:hyperlink r:id="rId18"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предусматривается, что высшее должностное лицо субъекта Российской Федерации одновременно замещает государственную должность Российской Федерации и государственную должность субъекта Российской Федерации. Такое определение статуса высшего должностного лица субъекта Российской Федерации дало юридические основания для установления новых мер ответственности, применяемых к нему, - предупреждения и выговора. При этом в случае </w:t>
      </w:r>
      <w:proofErr w:type="spellStart"/>
      <w:r w:rsidRPr="00341832">
        <w:rPr>
          <w:rFonts w:ascii="Times New Roman" w:hAnsi="Times New Roman" w:cs="Times New Roman"/>
          <w:sz w:val="26"/>
          <w:szCs w:val="26"/>
        </w:rPr>
        <w:t>неустранения</w:t>
      </w:r>
      <w:proofErr w:type="spellEnd"/>
      <w:r w:rsidRPr="00341832">
        <w:rPr>
          <w:rFonts w:ascii="Times New Roman" w:hAnsi="Times New Roman" w:cs="Times New Roman"/>
          <w:sz w:val="26"/>
          <w:szCs w:val="26"/>
        </w:rPr>
        <w:t xml:space="preserve"> причин, послуживших основанием для вынесения предупреждения, объявления выговора, Президент Российской Федерации вправе отрешить высшее должностное лицо субъекта Российской Федерации от должности. Помимо этого, расширяется круг оснований для отрешения руководителя региона от должности в связи с утратой доверия Президента Российской Федерации, которые ранее были связаны с </w:t>
      </w:r>
      <w:r w:rsidRPr="00341832">
        <w:rPr>
          <w:rFonts w:ascii="Times New Roman" w:hAnsi="Times New Roman" w:cs="Times New Roman"/>
          <w:sz w:val="26"/>
          <w:szCs w:val="26"/>
        </w:rPr>
        <w:lastRenderedPageBreak/>
        <w:t>несоблюдением антикоррупционных требований. В случае если гражданин Российской Федерации, замещавший должность высшего должностного лица субъекта Российской Федерации, был отрешен от этой должности Президентом Российской Федерации, он не может быть выдвинут кандидатом на указанную должность ни в одном субъекте Российской Федерации в течение пяти лет.</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Одновременно главы регионов наделяются полномочиями по привлечению к ответственности глав муниципальных образований: за ненадлежащее исполнение обязанностей по осуществлению переданных полномочий высшие должностные лица субъектов Российской Федерации могут выносить им предупреждение или объявлять выговор. В случае непринятия мер по исправлению ситуации глава муниципального образования может быть </w:t>
      </w:r>
      <w:proofErr w:type="gramStart"/>
      <w:r w:rsidRPr="00341832">
        <w:rPr>
          <w:rFonts w:ascii="Times New Roman" w:hAnsi="Times New Roman" w:cs="Times New Roman"/>
          <w:sz w:val="26"/>
          <w:szCs w:val="26"/>
        </w:rPr>
        <w:t>отрешен</w:t>
      </w:r>
      <w:proofErr w:type="gramEnd"/>
      <w:r w:rsidRPr="00341832">
        <w:rPr>
          <w:rFonts w:ascii="Times New Roman" w:hAnsi="Times New Roman" w:cs="Times New Roman"/>
          <w:sz w:val="26"/>
          <w:szCs w:val="26"/>
        </w:rPr>
        <w:t xml:space="preserve"> от должности.</w:t>
      </w:r>
    </w:p>
    <w:p w:rsidR="00341832" w:rsidRPr="00341832" w:rsidRDefault="00341832" w:rsidP="00341832">
      <w:pPr>
        <w:spacing w:after="0"/>
        <w:ind w:firstLine="709"/>
        <w:jc w:val="both"/>
        <w:rPr>
          <w:rFonts w:ascii="Times New Roman" w:hAnsi="Times New Roman" w:cs="Times New Roman"/>
          <w:sz w:val="26"/>
          <w:szCs w:val="26"/>
        </w:rPr>
      </w:pPr>
      <w:hyperlink r:id="rId19"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не ограничивается количество сроков замещения должности высшим должностным лицом субъекта Российской Федерации. Вместе с тем не исключается возможность закрепления такого ограничения в законодательстве субъекта Российской Федерации.</w:t>
      </w:r>
    </w:p>
    <w:p w:rsidR="00341832" w:rsidRPr="00341832" w:rsidRDefault="00341832" w:rsidP="00341832">
      <w:pPr>
        <w:spacing w:after="0"/>
        <w:ind w:firstLine="709"/>
        <w:jc w:val="both"/>
        <w:rPr>
          <w:rFonts w:ascii="Times New Roman" w:hAnsi="Times New Roman" w:cs="Times New Roman"/>
          <w:sz w:val="26"/>
          <w:szCs w:val="26"/>
        </w:rPr>
      </w:pPr>
      <w:hyperlink r:id="rId20"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также предусматривается изменение некоторых </w:t>
      </w:r>
      <w:proofErr w:type="gramStart"/>
      <w:r w:rsidRPr="00341832">
        <w:rPr>
          <w:rFonts w:ascii="Times New Roman" w:hAnsi="Times New Roman" w:cs="Times New Roman"/>
          <w:sz w:val="26"/>
          <w:szCs w:val="26"/>
        </w:rPr>
        <w:t>элементов статуса депутата законодательного органа субъекта Российской Федерации</w:t>
      </w:r>
      <w:proofErr w:type="gramEnd"/>
      <w:r w:rsidRPr="00341832">
        <w:rPr>
          <w:rFonts w:ascii="Times New Roman" w:hAnsi="Times New Roman" w:cs="Times New Roman"/>
          <w:sz w:val="26"/>
          <w:szCs w:val="26"/>
        </w:rPr>
        <w:t>.</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 xml:space="preserve">Конкретизируется перечень </w:t>
      </w:r>
      <w:proofErr w:type="gramStart"/>
      <w:r w:rsidRPr="00341832">
        <w:rPr>
          <w:rFonts w:ascii="Times New Roman" w:hAnsi="Times New Roman" w:cs="Times New Roman"/>
          <w:sz w:val="26"/>
          <w:szCs w:val="26"/>
        </w:rPr>
        <w:t>полномочий органов государственной власти субъекта Российской Федерации</w:t>
      </w:r>
      <w:proofErr w:type="gramEnd"/>
      <w:r w:rsidRPr="00341832">
        <w:rPr>
          <w:rFonts w:ascii="Times New Roman" w:hAnsi="Times New Roman" w:cs="Times New Roman"/>
          <w:sz w:val="26"/>
          <w:szCs w:val="26"/>
        </w:rPr>
        <w:t xml:space="preserve"> по предметам совместного ведения Российской Федерации и субъектов Российской Федерации.</w:t>
      </w:r>
    </w:p>
    <w:p w:rsidR="00341832" w:rsidRPr="00341832" w:rsidRDefault="00341832" w:rsidP="00341832">
      <w:pPr>
        <w:spacing w:after="0"/>
        <w:ind w:firstLine="709"/>
        <w:jc w:val="both"/>
        <w:rPr>
          <w:rFonts w:ascii="Times New Roman" w:hAnsi="Times New Roman" w:cs="Times New Roman"/>
          <w:sz w:val="26"/>
          <w:szCs w:val="26"/>
        </w:rPr>
      </w:pPr>
      <w:r w:rsidRPr="00341832">
        <w:rPr>
          <w:rFonts w:ascii="Times New Roman" w:hAnsi="Times New Roman" w:cs="Times New Roman"/>
          <w:sz w:val="26"/>
          <w:szCs w:val="26"/>
        </w:rPr>
        <w:t>Повышается роль Государственного Совета Российской Федерации как конституционного органа, обеспечивающего согласованное функционирование всех уровней публичной власти. Предусматривается возможность рассмотрения рабочими органами Государственного Совета Российской Федерации законопроектов и нормативных правовых актов Правительства Российской Федерации, устанавливающих (изменяющих) полномочия регионов или устанавливающих (изменяющих) их расходные обязательства.</w:t>
      </w:r>
    </w:p>
    <w:p w:rsidR="00341832" w:rsidRPr="00341832" w:rsidRDefault="00341832" w:rsidP="001C0E4F">
      <w:pPr>
        <w:spacing w:after="0"/>
        <w:ind w:firstLine="709"/>
        <w:jc w:val="both"/>
        <w:rPr>
          <w:rFonts w:ascii="Times New Roman" w:hAnsi="Times New Roman" w:cs="Times New Roman"/>
          <w:sz w:val="26"/>
          <w:szCs w:val="26"/>
        </w:rPr>
      </w:pPr>
      <w:hyperlink r:id="rId21" w:history="1">
        <w:r w:rsidRPr="00341832">
          <w:rPr>
            <w:rStyle w:val="a3"/>
            <w:rFonts w:ascii="Times New Roman" w:hAnsi="Times New Roman" w:cs="Times New Roman"/>
            <w:sz w:val="26"/>
            <w:szCs w:val="26"/>
          </w:rPr>
          <w:t>Федеральным законом</w:t>
        </w:r>
      </w:hyperlink>
      <w:r w:rsidRPr="00341832">
        <w:rPr>
          <w:rFonts w:ascii="Times New Roman" w:hAnsi="Times New Roman" w:cs="Times New Roman"/>
          <w:sz w:val="26"/>
          <w:szCs w:val="26"/>
        </w:rPr>
        <w:t xml:space="preserve"> также закрепляются новые подходы к оценке эффективности деятельности исполнительных органов субъекта Российской Федерации, к участию органов государственной власти субъектов Российской Федерации в рассмотрении Государственной Думой Федерального Собрания Российской Федерации проектов федеральных законов по предметам совместного ведения, ужесточаются антикоррупционные требования.  </w:t>
      </w:r>
    </w:p>
    <w:p w:rsidR="00341832" w:rsidRPr="001C0E4F" w:rsidRDefault="00341832" w:rsidP="00341832">
      <w:pPr>
        <w:spacing w:after="0"/>
        <w:ind w:firstLine="709"/>
        <w:jc w:val="both"/>
        <w:rPr>
          <w:rFonts w:ascii="Times New Roman" w:hAnsi="Times New Roman" w:cs="Times New Roman"/>
          <w:b/>
          <w:sz w:val="26"/>
          <w:szCs w:val="26"/>
        </w:rPr>
      </w:pPr>
      <w:r w:rsidRPr="001C0E4F">
        <w:rPr>
          <w:rFonts w:ascii="Times New Roman" w:hAnsi="Times New Roman" w:cs="Times New Roman"/>
          <w:b/>
          <w:sz w:val="26"/>
          <w:szCs w:val="26"/>
        </w:rPr>
        <w:t>Дата вступления в силу - 21.12.2021</w:t>
      </w:r>
    </w:p>
    <w:p w:rsidR="001C0E4F" w:rsidRDefault="001C0E4F" w:rsidP="00341832">
      <w:pPr>
        <w:spacing w:after="0"/>
        <w:ind w:firstLine="709"/>
        <w:jc w:val="both"/>
        <w:rPr>
          <w:rFonts w:ascii="Times New Roman" w:hAnsi="Times New Roman" w:cs="Times New Roman"/>
          <w:sz w:val="26"/>
          <w:szCs w:val="26"/>
        </w:rPr>
      </w:pPr>
    </w:p>
    <w:p w:rsidR="001C0E4F" w:rsidRPr="001C0E4F" w:rsidRDefault="001C0E4F" w:rsidP="001C0E4F">
      <w:pPr>
        <w:spacing w:after="0"/>
        <w:ind w:firstLine="709"/>
        <w:jc w:val="both"/>
        <w:rPr>
          <w:rFonts w:ascii="Times New Roman" w:hAnsi="Times New Roman" w:cs="Times New Roman"/>
          <w:b/>
          <w:sz w:val="26"/>
          <w:szCs w:val="26"/>
          <w:u w:val="single"/>
        </w:rPr>
      </w:pPr>
      <w:r w:rsidRPr="001C0E4F">
        <w:rPr>
          <w:rFonts w:ascii="Times New Roman" w:hAnsi="Times New Roman" w:cs="Times New Roman"/>
          <w:b/>
          <w:sz w:val="26"/>
          <w:szCs w:val="26"/>
          <w:u w:val="single"/>
        </w:rPr>
        <w:t>Ужесточена административная ответственность за нарушение законодательства в области охраны окружающей среды</w:t>
      </w:r>
    </w:p>
    <w:p w:rsidR="001C0E4F" w:rsidRPr="001C0E4F" w:rsidRDefault="001C0E4F" w:rsidP="001C0E4F">
      <w:pPr>
        <w:spacing w:after="0"/>
        <w:ind w:firstLine="709"/>
        <w:jc w:val="both"/>
        <w:rPr>
          <w:rFonts w:ascii="Times New Roman" w:hAnsi="Times New Roman" w:cs="Times New Roman"/>
          <w:sz w:val="26"/>
          <w:szCs w:val="26"/>
        </w:rPr>
      </w:pPr>
      <w:hyperlink r:id="rId22" w:history="1">
        <w:r w:rsidRPr="001C0E4F">
          <w:rPr>
            <w:rStyle w:val="a3"/>
            <w:rFonts w:ascii="Times New Roman" w:hAnsi="Times New Roman" w:cs="Times New Roman"/>
            <w:sz w:val="26"/>
            <w:szCs w:val="26"/>
          </w:rPr>
          <w:t>Федеральным законом от 21.12.2021 N 427-ФЗ</w:t>
        </w:r>
      </w:hyperlink>
      <w:r w:rsidRPr="001C0E4F">
        <w:rPr>
          <w:rFonts w:ascii="Times New Roman" w:hAnsi="Times New Roman" w:cs="Times New Roman"/>
          <w:sz w:val="26"/>
          <w:szCs w:val="26"/>
        </w:rPr>
        <w:t xml:space="preserve">, в частности, в </w:t>
      </w:r>
      <w:hyperlink r:id="rId23" w:history="1">
        <w:r w:rsidRPr="001C0E4F">
          <w:rPr>
            <w:rStyle w:val="a3"/>
            <w:rFonts w:ascii="Times New Roman" w:hAnsi="Times New Roman" w:cs="Times New Roman"/>
            <w:sz w:val="26"/>
            <w:szCs w:val="26"/>
          </w:rPr>
          <w:t>КоАП</w:t>
        </w:r>
      </w:hyperlink>
      <w:r w:rsidRPr="001C0E4F">
        <w:rPr>
          <w:rFonts w:ascii="Times New Roman" w:hAnsi="Times New Roman" w:cs="Times New Roman"/>
          <w:sz w:val="26"/>
          <w:szCs w:val="26"/>
        </w:rPr>
        <w:t xml:space="preserve"> добавлена новая статья 8.51, в соответствии с которой за невыполнение или несвоевременное выполнение требований к оснащению стационарных источников выбросов загрязняющих веществ, сбросов загрязняющих веществ системами </w:t>
      </w:r>
      <w:r w:rsidRPr="001C0E4F">
        <w:rPr>
          <w:rFonts w:ascii="Times New Roman" w:hAnsi="Times New Roman" w:cs="Times New Roman"/>
          <w:sz w:val="26"/>
          <w:szCs w:val="26"/>
        </w:rPr>
        <w:lastRenderedPageBreak/>
        <w:t>автоматического контроля в соответствии с законодательством в области охраны окружающей среды последуют следующие штрафы:</w:t>
      </w:r>
    </w:p>
    <w:p w:rsidR="001C0E4F" w:rsidRPr="001C0E4F" w:rsidRDefault="001C0E4F" w:rsidP="001C0E4F">
      <w:pPr>
        <w:spacing w:after="0"/>
        <w:ind w:firstLine="709"/>
        <w:jc w:val="both"/>
        <w:rPr>
          <w:rFonts w:ascii="Times New Roman" w:hAnsi="Times New Roman" w:cs="Times New Roman"/>
          <w:sz w:val="26"/>
          <w:szCs w:val="26"/>
        </w:rPr>
      </w:pPr>
      <w:r w:rsidRPr="001C0E4F">
        <w:rPr>
          <w:rFonts w:ascii="Times New Roman" w:hAnsi="Times New Roman" w:cs="Times New Roman"/>
          <w:sz w:val="26"/>
          <w:szCs w:val="26"/>
        </w:rPr>
        <w:t>- от 20 до 40 тысяч рублей для должностных лиц;</w:t>
      </w:r>
    </w:p>
    <w:p w:rsidR="001C0E4F" w:rsidRPr="001C0E4F" w:rsidRDefault="001C0E4F" w:rsidP="001C0E4F">
      <w:pPr>
        <w:spacing w:after="0"/>
        <w:ind w:firstLine="709"/>
        <w:jc w:val="both"/>
        <w:rPr>
          <w:rFonts w:ascii="Times New Roman" w:hAnsi="Times New Roman" w:cs="Times New Roman"/>
          <w:sz w:val="26"/>
          <w:szCs w:val="26"/>
        </w:rPr>
      </w:pPr>
      <w:r w:rsidRPr="001C0E4F">
        <w:rPr>
          <w:rFonts w:ascii="Times New Roman" w:hAnsi="Times New Roman" w:cs="Times New Roman"/>
          <w:sz w:val="26"/>
          <w:szCs w:val="26"/>
        </w:rPr>
        <w:t xml:space="preserve">- от 100 до 200 тысяч рублей для </w:t>
      </w:r>
      <w:proofErr w:type="spellStart"/>
      <w:r w:rsidRPr="001C0E4F">
        <w:rPr>
          <w:rFonts w:ascii="Times New Roman" w:hAnsi="Times New Roman" w:cs="Times New Roman"/>
          <w:sz w:val="26"/>
          <w:szCs w:val="26"/>
        </w:rPr>
        <w:t>юрлиц</w:t>
      </w:r>
      <w:proofErr w:type="spellEnd"/>
      <w:r w:rsidRPr="001C0E4F">
        <w:rPr>
          <w:rFonts w:ascii="Times New Roman" w:hAnsi="Times New Roman" w:cs="Times New Roman"/>
          <w:sz w:val="26"/>
          <w:szCs w:val="26"/>
        </w:rPr>
        <w:t>.</w:t>
      </w:r>
    </w:p>
    <w:p w:rsidR="001C0E4F" w:rsidRPr="001C0E4F" w:rsidRDefault="001C0E4F" w:rsidP="001C0E4F">
      <w:pPr>
        <w:spacing w:after="0"/>
        <w:ind w:firstLine="709"/>
        <w:jc w:val="both"/>
        <w:rPr>
          <w:rFonts w:ascii="Times New Roman" w:hAnsi="Times New Roman" w:cs="Times New Roman"/>
          <w:sz w:val="26"/>
          <w:szCs w:val="26"/>
        </w:rPr>
      </w:pPr>
      <w:proofErr w:type="gramStart"/>
      <w:r w:rsidRPr="001C0E4F">
        <w:rPr>
          <w:rFonts w:ascii="Times New Roman" w:hAnsi="Times New Roman" w:cs="Times New Roman"/>
          <w:sz w:val="26"/>
          <w:szCs w:val="26"/>
        </w:rPr>
        <w:t>Кроме того, оснащение стационарных источников выбросов загрязняющих веществ, сбросов загрязняющих веществ системами автоматического контроля с нарушением требований к автоматическим средствам измерения и учета показателей выбросов загрязняющих веществ и (или) сбросов загрязняющих веществ, требований к техническим средствам фиксации и передачи информации о показателях выбросов загрязняющих веществ и (или) сбросов загрязняющих веществ в государственный реестр объектов, оказывающих негативное воздействие на окружающую среду</w:t>
      </w:r>
      <w:proofErr w:type="gramEnd"/>
      <w:r w:rsidRPr="001C0E4F">
        <w:rPr>
          <w:rFonts w:ascii="Times New Roman" w:hAnsi="Times New Roman" w:cs="Times New Roman"/>
          <w:sz w:val="26"/>
          <w:szCs w:val="26"/>
        </w:rPr>
        <w:t>, повлечет за собой следующие санкции:</w:t>
      </w:r>
    </w:p>
    <w:p w:rsidR="001C0E4F" w:rsidRPr="001C0E4F" w:rsidRDefault="001C0E4F" w:rsidP="001C0E4F">
      <w:pPr>
        <w:spacing w:after="0"/>
        <w:ind w:firstLine="709"/>
        <w:jc w:val="both"/>
        <w:rPr>
          <w:rFonts w:ascii="Times New Roman" w:hAnsi="Times New Roman" w:cs="Times New Roman"/>
          <w:sz w:val="26"/>
          <w:szCs w:val="26"/>
        </w:rPr>
      </w:pPr>
      <w:r w:rsidRPr="001C0E4F">
        <w:rPr>
          <w:rFonts w:ascii="Times New Roman" w:hAnsi="Times New Roman" w:cs="Times New Roman"/>
          <w:sz w:val="26"/>
          <w:szCs w:val="26"/>
        </w:rPr>
        <w:t xml:space="preserve">- наложение административного штрафа на должностных лиц в размере от 20 до 30 тысяч рублей или дисквалификацию на срок от шести месяцев до одного года для должностных лиц; </w:t>
      </w:r>
    </w:p>
    <w:p w:rsidR="001C0E4F" w:rsidRPr="001C0E4F" w:rsidRDefault="001C0E4F" w:rsidP="001C0E4F">
      <w:pPr>
        <w:spacing w:after="0"/>
        <w:ind w:firstLine="709"/>
        <w:jc w:val="both"/>
        <w:rPr>
          <w:rFonts w:ascii="Times New Roman" w:hAnsi="Times New Roman" w:cs="Times New Roman"/>
          <w:sz w:val="26"/>
          <w:szCs w:val="26"/>
        </w:rPr>
      </w:pPr>
      <w:r w:rsidRPr="001C0E4F">
        <w:rPr>
          <w:rFonts w:ascii="Times New Roman" w:hAnsi="Times New Roman" w:cs="Times New Roman"/>
          <w:sz w:val="26"/>
          <w:szCs w:val="26"/>
        </w:rPr>
        <w:t xml:space="preserve">- наложение административного штрафа от 100 тысяч до 200 тысяч рублей для </w:t>
      </w:r>
      <w:proofErr w:type="spellStart"/>
      <w:r w:rsidRPr="001C0E4F">
        <w:rPr>
          <w:rFonts w:ascii="Times New Roman" w:hAnsi="Times New Roman" w:cs="Times New Roman"/>
          <w:sz w:val="26"/>
          <w:szCs w:val="26"/>
        </w:rPr>
        <w:t>юрлиц</w:t>
      </w:r>
      <w:proofErr w:type="spellEnd"/>
      <w:r w:rsidRPr="001C0E4F">
        <w:rPr>
          <w:rFonts w:ascii="Times New Roman" w:hAnsi="Times New Roman" w:cs="Times New Roman"/>
          <w:sz w:val="26"/>
          <w:szCs w:val="26"/>
        </w:rPr>
        <w:t xml:space="preserve">. </w:t>
      </w:r>
    </w:p>
    <w:p w:rsidR="001C0E4F" w:rsidRPr="001C0E4F" w:rsidRDefault="001C0E4F" w:rsidP="001C0E4F">
      <w:pPr>
        <w:spacing w:after="0"/>
        <w:ind w:firstLine="709"/>
        <w:jc w:val="both"/>
        <w:rPr>
          <w:rFonts w:ascii="Times New Roman" w:hAnsi="Times New Roman" w:cs="Times New Roman"/>
          <w:b/>
          <w:sz w:val="26"/>
          <w:szCs w:val="26"/>
        </w:rPr>
      </w:pPr>
      <w:r w:rsidRPr="001C0E4F">
        <w:rPr>
          <w:rFonts w:ascii="Times New Roman" w:hAnsi="Times New Roman" w:cs="Times New Roman"/>
          <w:b/>
          <w:sz w:val="26"/>
          <w:szCs w:val="26"/>
        </w:rPr>
        <w:t>Дата вступления в силу - 01.02.2022</w:t>
      </w:r>
    </w:p>
    <w:p w:rsidR="001C0E4F" w:rsidRDefault="001C0E4F" w:rsidP="00341832">
      <w:pPr>
        <w:spacing w:after="0"/>
        <w:ind w:firstLine="709"/>
        <w:jc w:val="both"/>
        <w:rPr>
          <w:rFonts w:ascii="Times New Roman" w:hAnsi="Times New Roman" w:cs="Times New Roman"/>
          <w:sz w:val="26"/>
          <w:szCs w:val="26"/>
        </w:rPr>
      </w:pPr>
    </w:p>
    <w:p w:rsidR="001C0E4F" w:rsidRPr="001C0E4F" w:rsidRDefault="001C0E4F" w:rsidP="001C0E4F">
      <w:pPr>
        <w:spacing w:after="0"/>
        <w:ind w:firstLine="709"/>
        <w:jc w:val="both"/>
        <w:rPr>
          <w:rFonts w:ascii="Times New Roman" w:hAnsi="Times New Roman" w:cs="Times New Roman"/>
          <w:b/>
          <w:sz w:val="26"/>
          <w:szCs w:val="26"/>
          <w:u w:val="single"/>
        </w:rPr>
      </w:pPr>
      <w:r w:rsidRPr="001C0E4F">
        <w:rPr>
          <w:rFonts w:ascii="Times New Roman" w:hAnsi="Times New Roman" w:cs="Times New Roman"/>
          <w:b/>
          <w:sz w:val="26"/>
          <w:szCs w:val="26"/>
          <w:u w:val="single"/>
        </w:rPr>
        <w:t>Уточнен порядок установления размера прибрежной защитной полосы некоторых водных объектов</w:t>
      </w:r>
    </w:p>
    <w:p w:rsidR="001C0E4F" w:rsidRPr="001C0E4F" w:rsidRDefault="001C0E4F" w:rsidP="001C0E4F">
      <w:pPr>
        <w:spacing w:after="0"/>
        <w:ind w:firstLine="709"/>
        <w:jc w:val="both"/>
        <w:rPr>
          <w:rFonts w:ascii="Times New Roman" w:hAnsi="Times New Roman" w:cs="Times New Roman"/>
          <w:sz w:val="26"/>
          <w:szCs w:val="26"/>
        </w:rPr>
      </w:pPr>
      <w:hyperlink r:id="rId24" w:history="1">
        <w:proofErr w:type="gramStart"/>
        <w:r w:rsidRPr="001C0E4F">
          <w:rPr>
            <w:rStyle w:val="a3"/>
            <w:rFonts w:ascii="Times New Roman" w:hAnsi="Times New Roman" w:cs="Times New Roman"/>
            <w:sz w:val="26"/>
            <w:szCs w:val="26"/>
          </w:rPr>
          <w:t>Федеральным законом от 21.12.2021 N 420-ФЗ</w:t>
        </w:r>
      </w:hyperlink>
      <w:r w:rsidRPr="001C0E4F">
        <w:rPr>
          <w:rFonts w:ascii="Times New Roman" w:hAnsi="Times New Roman" w:cs="Times New Roman"/>
          <w:sz w:val="26"/>
          <w:szCs w:val="26"/>
        </w:rPr>
        <w:t xml:space="preserve"> установлено, что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 </w:t>
      </w:r>
      <w:proofErr w:type="gramEnd"/>
    </w:p>
    <w:p w:rsidR="001C0E4F" w:rsidRPr="00806E3A" w:rsidRDefault="001C0E4F" w:rsidP="001C0E4F">
      <w:pPr>
        <w:spacing w:after="0"/>
        <w:ind w:firstLine="709"/>
        <w:jc w:val="both"/>
        <w:rPr>
          <w:rFonts w:ascii="Times New Roman" w:hAnsi="Times New Roman" w:cs="Times New Roman"/>
          <w:b/>
          <w:sz w:val="26"/>
          <w:szCs w:val="26"/>
        </w:rPr>
      </w:pPr>
      <w:r w:rsidRPr="00806E3A">
        <w:rPr>
          <w:rFonts w:ascii="Times New Roman" w:hAnsi="Times New Roman" w:cs="Times New Roman"/>
          <w:b/>
          <w:sz w:val="26"/>
          <w:szCs w:val="26"/>
        </w:rPr>
        <w:t>Дата вступления в силу - 01.01.2022</w:t>
      </w:r>
    </w:p>
    <w:p w:rsidR="00806E3A" w:rsidRDefault="00806E3A" w:rsidP="001C0E4F">
      <w:pPr>
        <w:spacing w:after="0"/>
        <w:ind w:firstLine="709"/>
        <w:jc w:val="both"/>
        <w:rPr>
          <w:rFonts w:ascii="Times New Roman" w:hAnsi="Times New Roman" w:cs="Times New Roman"/>
          <w:sz w:val="26"/>
          <w:szCs w:val="26"/>
        </w:rPr>
      </w:pPr>
    </w:p>
    <w:p w:rsidR="00806E3A" w:rsidRPr="001C0E4F" w:rsidRDefault="00806E3A" w:rsidP="001C0E4F">
      <w:pPr>
        <w:spacing w:after="0"/>
        <w:ind w:firstLine="709"/>
        <w:jc w:val="both"/>
        <w:rPr>
          <w:rFonts w:ascii="Times New Roman" w:hAnsi="Times New Roman" w:cs="Times New Roman"/>
          <w:sz w:val="26"/>
          <w:szCs w:val="26"/>
        </w:rPr>
      </w:pPr>
      <w:bookmarkStart w:id="0" w:name="_GoBack"/>
      <w:bookmarkEnd w:id="0"/>
    </w:p>
    <w:p w:rsidR="001C0E4F" w:rsidRDefault="001C0E4F" w:rsidP="00341832">
      <w:pPr>
        <w:spacing w:after="0"/>
        <w:ind w:firstLine="709"/>
        <w:jc w:val="both"/>
        <w:rPr>
          <w:rFonts w:ascii="Times New Roman" w:hAnsi="Times New Roman" w:cs="Times New Roman"/>
          <w:sz w:val="26"/>
          <w:szCs w:val="26"/>
        </w:rPr>
      </w:pPr>
    </w:p>
    <w:p w:rsidR="001C0E4F" w:rsidRPr="00341832" w:rsidRDefault="001C0E4F" w:rsidP="00341832">
      <w:pPr>
        <w:spacing w:after="0"/>
        <w:ind w:firstLine="709"/>
        <w:jc w:val="both"/>
        <w:rPr>
          <w:rFonts w:ascii="Times New Roman" w:hAnsi="Times New Roman" w:cs="Times New Roman"/>
          <w:sz w:val="26"/>
          <w:szCs w:val="26"/>
        </w:rPr>
      </w:pPr>
    </w:p>
    <w:p w:rsidR="00341832" w:rsidRPr="00341832" w:rsidRDefault="00341832" w:rsidP="00341832">
      <w:pPr>
        <w:spacing w:after="0"/>
        <w:jc w:val="both"/>
        <w:rPr>
          <w:rFonts w:ascii="Times New Roman" w:hAnsi="Times New Roman" w:cs="Times New Roman"/>
          <w:b/>
          <w:sz w:val="26"/>
          <w:szCs w:val="26"/>
        </w:rPr>
      </w:pPr>
    </w:p>
    <w:p w:rsidR="00341832" w:rsidRPr="00341832" w:rsidRDefault="00341832" w:rsidP="00341832">
      <w:pPr>
        <w:spacing w:after="0"/>
        <w:jc w:val="both"/>
        <w:rPr>
          <w:rFonts w:ascii="Times New Roman" w:hAnsi="Times New Roman" w:cs="Times New Roman"/>
          <w:sz w:val="26"/>
          <w:szCs w:val="26"/>
        </w:rPr>
      </w:pPr>
    </w:p>
    <w:p w:rsidR="00F526DE" w:rsidRPr="00F526DE" w:rsidRDefault="00F526DE" w:rsidP="00F526DE">
      <w:pPr>
        <w:spacing w:after="0"/>
        <w:ind w:firstLine="709"/>
        <w:jc w:val="both"/>
        <w:rPr>
          <w:rFonts w:ascii="Times New Roman" w:hAnsi="Times New Roman" w:cs="Times New Roman"/>
          <w:sz w:val="26"/>
          <w:szCs w:val="26"/>
        </w:rPr>
      </w:pPr>
    </w:p>
    <w:p w:rsidR="00890108" w:rsidRPr="00F526DE" w:rsidRDefault="00890108" w:rsidP="00F526DE">
      <w:pPr>
        <w:ind w:firstLine="709"/>
        <w:rPr>
          <w:rFonts w:ascii="Times New Roman" w:hAnsi="Times New Roman" w:cs="Times New Roman"/>
          <w:sz w:val="26"/>
          <w:szCs w:val="26"/>
        </w:rPr>
      </w:pPr>
    </w:p>
    <w:sectPr w:rsidR="00890108" w:rsidRPr="00F52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D92"/>
    <w:rsid w:val="001C0E4F"/>
    <w:rsid w:val="00341832"/>
    <w:rsid w:val="004D1D92"/>
    <w:rsid w:val="00806E3A"/>
    <w:rsid w:val="00890108"/>
    <w:rsid w:val="00CE3F5E"/>
    <w:rsid w:val="00F526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26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526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903912">
      <w:bodyDiv w:val="1"/>
      <w:marLeft w:val="0"/>
      <w:marRight w:val="0"/>
      <w:marTop w:val="0"/>
      <w:marBottom w:val="0"/>
      <w:divBdr>
        <w:top w:val="none" w:sz="0" w:space="0" w:color="auto"/>
        <w:left w:val="none" w:sz="0" w:space="0" w:color="auto"/>
        <w:bottom w:val="none" w:sz="0" w:space="0" w:color="auto"/>
        <w:right w:val="none" w:sz="0" w:space="0" w:color="auto"/>
      </w:divBdr>
      <w:divsChild>
        <w:div w:id="78064110">
          <w:marLeft w:val="0"/>
          <w:marRight w:val="0"/>
          <w:marTop w:val="0"/>
          <w:marBottom w:val="0"/>
          <w:divBdr>
            <w:top w:val="none" w:sz="0" w:space="0" w:color="auto"/>
            <w:left w:val="none" w:sz="0" w:space="0" w:color="auto"/>
            <w:bottom w:val="none" w:sz="0" w:space="0" w:color="auto"/>
            <w:right w:val="none" w:sz="0" w:space="0" w:color="auto"/>
          </w:divBdr>
          <w:divsChild>
            <w:div w:id="310209894">
              <w:marLeft w:val="0"/>
              <w:marRight w:val="0"/>
              <w:marTop w:val="0"/>
              <w:marBottom w:val="0"/>
              <w:divBdr>
                <w:top w:val="none" w:sz="0" w:space="0" w:color="auto"/>
                <w:left w:val="none" w:sz="0" w:space="0" w:color="auto"/>
                <w:bottom w:val="none" w:sz="0" w:space="0" w:color="auto"/>
                <w:right w:val="none" w:sz="0" w:space="0" w:color="auto"/>
              </w:divBdr>
              <w:divsChild>
                <w:div w:id="1468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26858">
      <w:bodyDiv w:val="1"/>
      <w:marLeft w:val="0"/>
      <w:marRight w:val="0"/>
      <w:marTop w:val="0"/>
      <w:marBottom w:val="0"/>
      <w:divBdr>
        <w:top w:val="none" w:sz="0" w:space="0" w:color="auto"/>
        <w:left w:val="none" w:sz="0" w:space="0" w:color="auto"/>
        <w:bottom w:val="none" w:sz="0" w:space="0" w:color="auto"/>
        <w:right w:val="none" w:sz="0" w:space="0" w:color="auto"/>
      </w:divBdr>
    </w:div>
    <w:div w:id="982777878">
      <w:bodyDiv w:val="1"/>
      <w:marLeft w:val="0"/>
      <w:marRight w:val="0"/>
      <w:marTop w:val="0"/>
      <w:marBottom w:val="0"/>
      <w:divBdr>
        <w:top w:val="none" w:sz="0" w:space="0" w:color="auto"/>
        <w:left w:val="none" w:sz="0" w:space="0" w:color="auto"/>
        <w:bottom w:val="none" w:sz="0" w:space="0" w:color="auto"/>
        <w:right w:val="none" w:sz="0" w:space="0" w:color="auto"/>
      </w:divBdr>
      <w:divsChild>
        <w:div w:id="841746404">
          <w:marLeft w:val="0"/>
          <w:marRight w:val="0"/>
          <w:marTop w:val="0"/>
          <w:marBottom w:val="0"/>
          <w:divBdr>
            <w:top w:val="none" w:sz="0" w:space="0" w:color="auto"/>
            <w:left w:val="none" w:sz="0" w:space="0" w:color="auto"/>
            <w:bottom w:val="none" w:sz="0" w:space="0" w:color="auto"/>
            <w:right w:val="none" w:sz="0" w:space="0" w:color="auto"/>
          </w:divBdr>
          <w:divsChild>
            <w:div w:id="357972437">
              <w:marLeft w:val="0"/>
              <w:marRight w:val="0"/>
              <w:marTop w:val="0"/>
              <w:marBottom w:val="0"/>
              <w:divBdr>
                <w:top w:val="none" w:sz="0" w:space="0" w:color="auto"/>
                <w:left w:val="none" w:sz="0" w:space="0" w:color="auto"/>
                <w:bottom w:val="none" w:sz="0" w:space="0" w:color="auto"/>
                <w:right w:val="none" w:sz="0" w:space="0" w:color="auto"/>
              </w:divBdr>
              <w:divsChild>
                <w:div w:id="170894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2406671">
      <w:bodyDiv w:val="1"/>
      <w:marLeft w:val="0"/>
      <w:marRight w:val="0"/>
      <w:marTop w:val="0"/>
      <w:marBottom w:val="0"/>
      <w:divBdr>
        <w:top w:val="none" w:sz="0" w:space="0" w:color="auto"/>
        <w:left w:val="none" w:sz="0" w:space="0" w:color="auto"/>
        <w:bottom w:val="none" w:sz="0" w:space="0" w:color="auto"/>
        <w:right w:val="none" w:sz="0" w:space="0" w:color="auto"/>
      </w:divBdr>
    </w:div>
    <w:div w:id="1451824287">
      <w:bodyDiv w:val="1"/>
      <w:marLeft w:val="0"/>
      <w:marRight w:val="0"/>
      <w:marTop w:val="0"/>
      <w:marBottom w:val="0"/>
      <w:divBdr>
        <w:top w:val="none" w:sz="0" w:space="0" w:color="auto"/>
        <w:left w:val="none" w:sz="0" w:space="0" w:color="auto"/>
        <w:bottom w:val="none" w:sz="0" w:space="0" w:color="auto"/>
        <w:right w:val="none" w:sz="0" w:space="0" w:color="auto"/>
      </w:divBdr>
    </w:div>
    <w:div w:id="1587957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727638444&amp;prevdoc=747400021&amp;point=mark=000000000000000000000000000000000000000000000000007E60KG" TargetMode="External"/><Relationship Id="rId13" Type="http://schemas.openxmlformats.org/officeDocument/2006/relationships/hyperlink" Target="kodeks://link/d?nd=727631940&amp;prevdoc=578303852" TargetMode="External"/><Relationship Id="rId18" Type="http://schemas.openxmlformats.org/officeDocument/2006/relationships/hyperlink" Target="kodeks://link/d?nd=727632736&amp;prevdoc=747400021&amp;point=mark=0000000000000000000000000000000000000000000000000064U0IK"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kodeks://link/d?nd=727632736&amp;prevdoc=747400021&amp;point=mark=0000000000000000000000000000000000000000000000000064U0IK" TargetMode="External"/><Relationship Id="rId7" Type="http://schemas.openxmlformats.org/officeDocument/2006/relationships/hyperlink" Target="kodeks://link/d?nd=727638444&amp;prevdoc=747400021&amp;point=mark=000000000000000000000000000000000000000000000000007DA0K5" TargetMode="External"/><Relationship Id="rId12" Type="http://schemas.openxmlformats.org/officeDocument/2006/relationships/hyperlink" Target="kodeks://link/d?nd=9027690&amp;prevdoc=578303852&amp;point=mark=0000000000000000000000000000000000000000000000000064U0IK" TargetMode="External"/><Relationship Id="rId17" Type="http://schemas.openxmlformats.org/officeDocument/2006/relationships/hyperlink" Target="kodeks://link/d?nd=727632736&amp;prevdoc=747400021&amp;point=mark=0000000000000000000000000000000000000000000000000064U0IK"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kodeks://link/d?nd=901744603&amp;prevdoc=747400021&amp;point=mark=0000000000000000000000000000000000000000000000000064U0IK" TargetMode="External"/><Relationship Id="rId20" Type="http://schemas.openxmlformats.org/officeDocument/2006/relationships/hyperlink" Target="kodeks://link/d?nd=727632736&amp;prevdoc=747400021&amp;point=mark=0000000000000000000000000000000000000000000000000064U0IK" TargetMode="External"/><Relationship Id="rId1" Type="http://schemas.openxmlformats.org/officeDocument/2006/relationships/styles" Target="styles.xml"/><Relationship Id="rId6" Type="http://schemas.openxmlformats.org/officeDocument/2006/relationships/hyperlink" Target="kodeks://link/d?nd=499067392&amp;prevdoc=747400021&amp;point=mark=0000000000000000000000000000000000000000000000000064U0IK" TargetMode="External"/><Relationship Id="rId11" Type="http://schemas.openxmlformats.org/officeDocument/2006/relationships/hyperlink" Target="kodeks://link/d?nd=727631940&amp;prevdoc=578303852" TargetMode="External"/><Relationship Id="rId24" Type="http://schemas.openxmlformats.org/officeDocument/2006/relationships/hyperlink" Target="kodeks://link/d?nd=727631946&amp;prevdoc=747400021&amp;point=mark=0000000000000000000000000000000000000000000000000064S0IJ" TargetMode="External"/><Relationship Id="rId5" Type="http://schemas.openxmlformats.org/officeDocument/2006/relationships/hyperlink" Target="kodeks://link/d?nd=727638444&amp;prevdoc=747400021&amp;point=mark=0000000000000000000000000000000000000000000000000064S0IJ" TargetMode="External"/><Relationship Id="rId15" Type="http://schemas.openxmlformats.org/officeDocument/2006/relationships/hyperlink" Target="kodeks://link/d?nd=9004937&amp;prevdoc=747400021" TargetMode="External"/><Relationship Id="rId23" Type="http://schemas.openxmlformats.org/officeDocument/2006/relationships/hyperlink" Target="kodeks://link/d?nd=901807667&amp;prevdoc=747400021" TargetMode="External"/><Relationship Id="rId10" Type="http://schemas.openxmlformats.org/officeDocument/2006/relationships/hyperlink" Target="kodeks://link/d?nd=902289896&amp;prevdoc=542693628&amp;point=mark=000000000000000000000000000000000000000000000000007D20K3" TargetMode="External"/><Relationship Id="rId19" Type="http://schemas.openxmlformats.org/officeDocument/2006/relationships/hyperlink" Target="kodeks://link/d?nd=727632736&amp;prevdoc=747400021&amp;point=mark=0000000000000000000000000000000000000000000000000064U0IK" TargetMode="External"/><Relationship Id="rId4" Type="http://schemas.openxmlformats.org/officeDocument/2006/relationships/webSettings" Target="webSettings.xml"/><Relationship Id="rId9" Type="http://schemas.openxmlformats.org/officeDocument/2006/relationships/hyperlink" Target="kodeks://link/d?nd=607148246&amp;prevdoc=542693628&amp;point=mark=0000000000000000000000000000000000000000000000000064U0IK" TargetMode="External"/><Relationship Id="rId14" Type="http://schemas.openxmlformats.org/officeDocument/2006/relationships/hyperlink" Target="kodeks://link/d?nd=727632736&amp;prevdoc=747400021&amp;point=mark=0000000000000000000000000000000000000000000000000064U0IK" TargetMode="External"/><Relationship Id="rId22" Type="http://schemas.openxmlformats.org/officeDocument/2006/relationships/hyperlink" Target="kodeks://link/d?nd=727631931&amp;prevdoc=747400021&amp;point=mark=0000000000000000000000000000000000000000000000000064S0I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Pages>
  <Words>2539</Words>
  <Characters>14477</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Шипкова Екатерина Иванова</dc:creator>
  <cp:keywords/>
  <dc:description/>
  <cp:lastModifiedBy>Шипкова Екатерина Иванова</cp:lastModifiedBy>
  <cp:revision>2</cp:revision>
  <dcterms:created xsi:type="dcterms:W3CDTF">2021-12-27T03:55:00Z</dcterms:created>
  <dcterms:modified xsi:type="dcterms:W3CDTF">2021-12-27T05:04:00Z</dcterms:modified>
</cp:coreProperties>
</file>