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41" w:rsidRDefault="008D1E32" w:rsidP="008D1E32">
      <w:pPr>
        <w:jc w:val="center"/>
      </w:pPr>
      <w:r>
        <w:t>Обзор изменений законодательства</w:t>
      </w:r>
    </w:p>
    <w:p w:rsidR="008E1841" w:rsidRPr="008A3526" w:rsidRDefault="008E1841" w:rsidP="00D66051">
      <w:pPr>
        <w:pStyle w:val="aa"/>
        <w:ind w:firstLine="851"/>
        <w:jc w:val="center"/>
      </w:pPr>
      <w:r w:rsidRPr="00880F53">
        <w:rPr>
          <w:u w:val="single"/>
        </w:rPr>
        <w:t>ПФР сможет включать в электронную трудовую книжку записи о работе до 2020 года</w:t>
      </w:r>
    </w:p>
    <w:p w:rsidR="008E1841" w:rsidRPr="008A3526" w:rsidRDefault="008E1841" w:rsidP="008A3526">
      <w:pPr>
        <w:pStyle w:val="aa"/>
        <w:ind w:firstLine="851"/>
        <w:jc w:val="both"/>
      </w:pPr>
      <w:r w:rsidRPr="008A3526">
        <w:t xml:space="preserve">ПФР начнет по просьбе граждан переносить записи о трудовой деятельности за период до 2020 года из бумажной трудовой книжки в </w:t>
      </w:r>
      <w:proofErr w:type="gramStart"/>
      <w:r w:rsidRPr="008A3526">
        <w:t>электронную</w:t>
      </w:r>
      <w:proofErr w:type="gramEnd"/>
      <w:r w:rsidRPr="008A3526">
        <w:t>. При несовпадении данных со сведениями в фонде информацию уточня</w:t>
      </w:r>
      <w:r w:rsidR="00D66051">
        <w:t>т у работодателей. Закон вступил в силу 07</w:t>
      </w:r>
      <w:r w:rsidRPr="008A3526">
        <w:t>.</w:t>
      </w:r>
      <w:r w:rsidR="00D66051">
        <w:t>03.2021.</w:t>
      </w:r>
    </w:p>
    <w:p w:rsidR="008E1841" w:rsidRPr="008A3526" w:rsidRDefault="008E1841" w:rsidP="008A3526">
      <w:pPr>
        <w:pStyle w:val="aa"/>
        <w:ind w:firstLine="851"/>
        <w:jc w:val="both"/>
      </w:pPr>
      <w:r w:rsidRPr="008A3526">
        <w:t>Отметим, сейчас в СТД-ПФР есть информация только о стаже работника до 2020 года.</w:t>
      </w:r>
    </w:p>
    <w:p w:rsidR="008E1841" w:rsidRPr="008A3526" w:rsidRDefault="008E1841" w:rsidP="008A3526">
      <w:pPr>
        <w:pStyle w:val="aa"/>
        <w:ind w:firstLine="851"/>
        <w:jc w:val="both"/>
      </w:pPr>
      <w:r w:rsidRPr="008A3526">
        <w:t>Документ: Ф</w:t>
      </w:r>
      <w:r w:rsidR="00D66051">
        <w:t>едеральный закон от 24.02.2021 №</w:t>
      </w:r>
      <w:r w:rsidRPr="008A3526">
        <w:t xml:space="preserve"> 30-ФЗ</w:t>
      </w:r>
      <w:r w:rsidR="00D66051">
        <w:t>.</w:t>
      </w:r>
    </w:p>
    <w:p w:rsidR="00C75D04" w:rsidRPr="008A3526" w:rsidRDefault="00C75D04" w:rsidP="00D66051">
      <w:pPr>
        <w:pStyle w:val="aa"/>
        <w:ind w:firstLine="851"/>
        <w:jc w:val="center"/>
      </w:pPr>
      <w:r w:rsidRPr="00D66051">
        <w:rPr>
          <w:u w:val="single"/>
        </w:rPr>
        <w:t>Эксперимент по отказу от бумажных ка</w:t>
      </w:r>
      <w:r w:rsidR="00D66051">
        <w:rPr>
          <w:u w:val="single"/>
        </w:rPr>
        <w:t>дровых документов продлен до 15.11.2021</w:t>
      </w:r>
    </w:p>
    <w:p w:rsidR="00C75D04" w:rsidRPr="008A3526" w:rsidRDefault="00C75D04" w:rsidP="008A3526">
      <w:pPr>
        <w:pStyle w:val="aa"/>
        <w:ind w:firstLine="851"/>
        <w:jc w:val="both"/>
      </w:pPr>
      <w:r w:rsidRPr="008A3526">
        <w:t>Дату окончания эксперимента по работе с электронными кадровыми документами пере</w:t>
      </w:r>
      <w:r w:rsidR="00D66051">
        <w:t>несли с 31.03.</w:t>
      </w:r>
      <w:r w:rsidRPr="008A3526">
        <w:t xml:space="preserve"> на 15</w:t>
      </w:r>
      <w:r w:rsidR="00D66051">
        <w:t>.11</w:t>
      </w:r>
      <w:r w:rsidRPr="008A3526">
        <w:t xml:space="preserve"> (ст. 3 закона).</w:t>
      </w:r>
    </w:p>
    <w:p w:rsidR="00D66051" w:rsidRPr="008A3526" w:rsidRDefault="00C75D04" w:rsidP="00D66051">
      <w:pPr>
        <w:pStyle w:val="aa"/>
        <w:ind w:firstLine="851"/>
        <w:jc w:val="both"/>
      </w:pPr>
      <w:r w:rsidRPr="008A3526">
        <w:t>Напомним, предполагается создать и отработать механизмы ведения кадровых документов в электронном формате</w:t>
      </w:r>
      <w:r w:rsidR="00D66051">
        <w:t xml:space="preserve"> без их дублирования на бумаге.</w:t>
      </w:r>
    </w:p>
    <w:p w:rsidR="00B73ECA" w:rsidRDefault="00C75D04" w:rsidP="008A3526">
      <w:pPr>
        <w:pStyle w:val="aa"/>
        <w:ind w:firstLine="851"/>
        <w:jc w:val="both"/>
      </w:pPr>
      <w:r w:rsidRPr="008A3526">
        <w:t>Документ:</w:t>
      </w:r>
      <w:r w:rsidR="00D66051">
        <w:t xml:space="preserve"> </w:t>
      </w:r>
      <w:r w:rsidRPr="008A3526">
        <w:t xml:space="preserve">Федеральный закон от 24.03.2021 </w:t>
      </w:r>
      <w:r w:rsidR="00D66051">
        <w:t>№</w:t>
      </w:r>
      <w:r w:rsidRPr="008A3526">
        <w:t xml:space="preserve"> 53-ФЗ</w:t>
      </w:r>
      <w:r w:rsidR="00D66051">
        <w:t>.</w:t>
      </w:r>
    </w:p>
    <w:p w:rsidR="00B5303D" w:rsidRDefault="00B5303D" w:rsidP="006D0CA9">
      <w:pPr>
        <w:pStyle w:val="aa"/>
        <w:ind w:firstLine="851"/>
        <w:jc w:val="center"/>
      </w:pPr>
      <w:r w:rsidRPr="006D0CA9">
        <w:rPr>
          <w:u w:val="single"/>
        </w:rPr>
        <w:t>Подписан закон, уточняющий понятие преступлений в сфере предпринимательства</w:t>
      </w:r>
    </w:p>
    <w:p w:rsidR="00B5303D" w:rsidRPr="006D0CA9" w:rsidRDefault="00B5303D" w:rsidP="006D0CA9">
      <w:pPr>
        <w:pStyle w:val="aa"/>
        <w:ind w:firstLine="851"/>
        <w:jc w:val="both"/>
      </w:pPr>
      <w:r w:rsidRPr="006D0CA9">
        <w:t>Фед</w:t>
      </w:r>
      <w:r w:rsidR="006D0CA9" w:rsidRPr="006D0CA9">
        <w:t>еральным законом от 24.03.2021 №</w:t>
      </w:r>
      <w:r w:rsidRPr="006D0CA9">
        <w:t xml:space="preserve"> 57-ФЗ конкретизировано понятие </w:t>
      </w:r>
      <w:r w:rsidR="006D0CA9" w:rsidRPr="006D0CA9">
        <w:t>«</w:t>
      </w:r>
      <w:r w:rsidRPr="006D0CA9">
        <w:t>преступления, совершенные в сфере п</w:t>
      </w:r>
      <w:r w:rsidR="006D0CA9" w:rsidRPr="006D0CA9">
        <w:t>редпринимательской деятельности» в статьях 81.</w:t>
      </w:r>
      <w:r w:rsidRPr="006D0CA9">
        <w:t xml:space="preserve">1 164 УПК РФ. </w:t>
      </w:r>
    </w:p>
    <w:p w:rsidR="00B5303D" w:rsidRPr="006D0CA9" w:rsidRDefault="00B5303D" w:rsidP="006D0CA9">
      <w:pPr>
        <w:pStyle w:val="aa"/>
        <w:ind w:firstLine="851"/>
        <w:jc w:val="both"/>
      </w:pPr>
      <w:r w:rsidRPr="006D0CA9">
        <w:t xml:space="preserve">Уточнено, что речь идет о преступлениях, совершенных ИП в связи с ведением им бизнеса и (или) </w:t>
      </w:r>
      <w:proofErr w:type="gramStart"/>
      <w:r w:rsidRPr="006D0CA9">
        <w:t>управлением</w:t>
      </w:r>
      <w:proofErr w:type="gramEnd"/>
      <w:r w:rsidRPr="006D0CA9">
        <w:t xml:space="preserve"> принадлежащим ему имуществом, используемым в предпринимательской деятельности, либо членом органа управления коммерческой организации в связи с реализацией им полномочий по управлению организацией либо ведением ею деятельности.</w:t>
      </w:r>
    </w:p>
    <w:p w:rsidR="00B5303D" w:rsidRPr="006D0CA9" w:rsidRDefault="00B5303D" w:rsidP="006D0CA9">
      <w:pPr>
        <w:pStyle w:val="aa"/>
        <w:ind w:firstLine="851"/>
        <w:jc w:val="both"/>
      </w:pPr>
      <w:r w:rsidRPr="006D0CA9">
        <w:t>Такие изменения внесены после случаев ошибочного толкования термина, что приводило к постоянным нарушениям прав предпринимателей, против которых были открыты уголовные дела.</w:t>
      </w:r>
    </w:p>
    <w:p w:rsidR="00B5303D" w:rsidRPr="006D0CA9" w:rsidRDefault="00B5303D" w:rsidP="006D0CA9">
      <w:pPr>
        <w:pStyle w:val="aa"/>
        <w:ind w:firstLine="851"/>
        <w:jc w:val="both"/>
      </w:pPr>
      <w:r w:rsidRPr="006D0CA9">
        <w:t>Дата вступления в силу - 04.04.2021</w:t>
      </w:r>
      <w:r w:rsidR="00FF00D5">
        <w:t>.</w:t>
      </w:r>
    </w:p>
    <w:p w:rsidR="008B13FD" w:rsidRPr="00FF00D5" w:rsidRDefault="008B13FD" w:rsidP="00FF00D5">
      <w:pPr>
        <w:pStyle w:val="aa"/>
        <w:ind w:firstLine="851"/>
        <w:jc w:val="center"/>
        <w:rPr>
          <w:u w:val="single"/>
        </w:rPr>
      </w:pPr>
      <w:r w:rsidRPr="00FF00D5">
        <w:rPr>
          <w:u w:val="single"/>
        </w:rPr>
        <w:t>В закон об образовании внесены изменения, касающиеся образовательных организаций дополнительного образования детей</w:t>
      </w:r>
    </w:p>
    <w:p w:rsidR="008B13FD" w:rsidRPr="006D0CA9" w:rsidRDefault="008B13FD" w:rsidP="006D0CA9">
      <w:pPr>
        <w:pStyle w:val="aa"/>
        <w:ind w:firstLine="851"/>
        <w:jc w:val="both"/>
      </w:pPr>
      <w:r w:rsidRPr="006D0CA9">
        <w:t>Фед</w:t>
      </w:r>
      <w:r w:rsidR="00FF00D5">
        <w:t>еральным законом от 24.03.2021 №</w:t>
      </w:r>
      <w:r w:rsidRPr="006D0CA9">
        <w:t xml:space="preserve"> 51-ФЗ внесены изменения в Федеральный закон </w:t>
      </w:r>
      <w:r w:rsidR="00FF00D5">
        <w:t>«</w:t>
      </w:r>
      <w:r w:rsidRPr="006D0CA9">
        <w:t>Об обр</w:t>
      </w:r>
      <w:r w:rsidR="00FF00D5">
        <w:t>азовании в Российской Федерации»</w:t>
      </w:r>
      <w:r w:rsidRPr="006D0CA9">
        <w:t>.</w:t>
      </w:r>
    </w:p>
    <w:p w:rsidR="008B13FD" w:rsidRPr="006D0CA9" w:rsidRDefault="008B13FD" w:rsidP="006D0CA9">
      <w:pPr>
        <w:pStyle w:val="aa"/>
        <w:ind w:firstLine="851"/>
        <w:jc w:val="both"/>
      </w:pPr>
      <w:r w:rsidRPr="006D0CA9">
        <w:t xml:space="preserve">Установлено, что для обучения по дополнительным предпрофессиональным программам в области искусств создаются образовательные организации дополнительного образования детей со специальными наименованиями </w:t>
      </w:r>
      <w:r w:rsidR="00FF00D5">
        <w:t>«</w:t>
      </w:r>
      <w:r w:rsidRPr="006D0CA9">
        <w:t>детская школа искусств</w:t>
      </w:r>
      <w:r w:rsidR="00FF00D5">
        <w:t>»</w:t>
      </w:r>
      <w:r w:rsidRPr="006D0CA9">
        <w:t xml:space="preserve">, </w:t>
      </w:r>
      <w:r w:rsidR="00FF00D5">
        <w:t>«детская музыкальная школа»</w:t>
      </w:r>
      <w:r w:rsidRPr="006D0CA9">
        <w:t xml:space="preserve">, </w:t>
      </w:r>
      <w:r w:rsidR="00FF00D5">
        <w:t>«детская хоровая школ»</w:t>
      </w:r>
      <w:r w:rsidRPr="006D0CA9">
        <w:t xml:space="preserve">, </w:t>
      </w:r>
      <w:r w:rsidR="00FF00D5">
        <w:t>«</w:t>
      </w:r>
      <w:r w:rsidRPr="006D0CA9">
        <w:t>детская художественная школа</w:t>
      </w:r>
      <w:r w:rsidR="00FF00D5">
        <w:t>»</w:t>
      </w:r>
      <w:r w:rsidRPr="006D0CA9">
        <w:t xml:space="preserve">, </w:t>
      </w:r>
      <w:r w:rsidR="00FF00D5">
        <w:t>«детская хореографическая школа», «</w:t>
      </w:r>
      <w:r w:rsidRPr="006D0CA9">
        <w:t>детская театральная школа</w:t>
      </w:r>
      <w:r w:rsidR="00FF00D5">
        <w:t>»</w:t>
      </w:r>
      <w:r w:rsidRPr="006D0CA9">
        <w:t xml:space="preserve">, </w:t>
      </w:r>
      <w:r w:rsidR="00FF00D5">
        <w:t>«</w:t>
      </w:r>
      <w:r w:rsidRPr="006D0CA9">
        <w:t>детская цирковая школа</w:t>
      </w:r>
      <w:r w:rsidR="00FF00D5">
        <w:t>», «</w:t>
      </w:r>
      <w:r w:rsidRPr="006D0CA9">
        <w:t>детская школа художественных ремёсел</w:t>
      </w:r>
      <w:r w:rsidR="00FF00D5">
        <w:t>»</w:t>
      </w:r>
      <w:r w:rsidRPr="006D0CA9">
        <w:t>.</w:t>
      </w:r>
    </w:p>
    <w:p w:rsidR="008B13FD" w:rsidRPr="006D0CA9" w:rsidRDefault="008B13FD" w:rsidP="006D0CA9">
      <w:pPr>
        <w:pStyle w:val="aa"/>
        <w:ind w:firstLine="851"/>
        <w:jc w:val="both"/>
      </w:pPr>
      <w:r w:rsidRPr="006D0CA9">
        <w:t>Порядок осуществления образовательной деятельности указанными образовательными организациями определяет федеральный орган исполнительной власти, осуществляющий функции по выработке государственной политики и нормативно-правовому регулированию в сфере культуры,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</w:t>
      </w:r>
      <w:r w:rsidR="00FF00D5">
        <w:t>анию в сфере общего образования.</w:t>
      </w:r>
    </w:p>
    <w:p w:rsidR="008B13FD" w:rsidRPr="006D0CA9" w:rsidRDefault="008B13FD" w:rsidP="006D0CA9">
      <w:pPr>
        <w:pStyle w:val="aa"/>
        <w:ind w:firstLine="851"/>
        <w:jc w:val="both"/>
      </w:pPr>
      <w:r w:rsidRPr="006D0CA9">
        <w:t>Дата вступления в силу - 24.03.2021</w:t>
      </w:r>
      <w:r w:rsidR="00FF00D5">
        <w:t>.</w:t>
      </w:r>
    </w:p>
    <w:p w:rsidR="00FF00D5" w:rsidRDefault="00612E27" w:rsidP="00FF00D5">
      <w:pPr>
        <w:pStyle w:val="aa"/>
        <w:ind w:firstLine="851"/>
        <w:jc w:val="center"/>
        <w:rPr>
          <w:u w:val="single"/>
        </w:rPr>
      </w:pPr>
      <w:r w:rsidRPr="00FF00D5">
        <w:rPr>
          <w:u w:val="single"/>
        </w:rPr>
        <w:t xml:space="preserve">Подписан закон, направленный на повышение </w:t>
      </w:r>
      <w:proofErr w:type="gramStart"/>
      <w:r w:rsidRPr="00FF00D5">
        <w:rPr>
          <w:u w:val="single"/>
        </w:rPr>
        <w:t>уровня защищённости интерес</w:t>
      </w:r>
      <w:r w:rsidR="00FF00D5">
        <w:rPr>
          <w:u w:val="single"/>
        </w:rPr>
        <w:t>ов потребителей туристских услуг</w:t>
      </w:r>
      <w:proofErr w:type="gramEnd"/>
    </w:p>
    <w:p w:rsidR="00612E27" w:rsidRPr="006D0CA9" w:rsidRDefault="00612E27" w:rsidP="006D0CA9">
      <w:pPr>
        <w:pStyle w:val="aa"/>
        <w:ind w:firstLine="851"/>
        <w:jc w:val="both"/>
      </w:pPr>
      <w:r w:rsidRPr="006D0CA9">
        <w:lastRenderedPageBreak/>
        <w:t>Фед</w:t>
      </w:r>
      <w:r w:rsidR="00BF6D90">
        <w:t>еральным законом от 24.03.2021 №</w:t>
      </w:r>
      <w:r w:rsidRPr="006D0CA9">
        <w:t xml:space="preserve"> 48-ФЗ внесены изменения в Федеральный закон </w:t>
      </w:r>
      <w:r w:rsidR="00BF6D90">
        <w:t>«</w:t>
      </w:r>
      <w:r w:rsidRPr="006D0CA9">
        <w:t>Об основах туристской деятельности в Российской Федерации</w:t>
      </w:r>
      <w:r w:rsidR="00BF6D90">
        <w:t>»</w:t>
      </w:r>
      <w:r w:rsidRPr="006D0CA9">
        <w:t>.</w:t>
      </w:r>
    </w:p>
    <w:p w:rsidR="00612E27" w:rsidRPr="006D0CA9" w:rsidRDefault="00612E27" w:rsidP="006D0CA9">
      <w:pPr>
        <w:pStyle w:val="aa"/>
        <w:ind w:firstLine="851"/>
        <w:jc w:val="both"/>
      </w:pPr>
      <w:r w:rsidRPr="006D0CA9">
        <w:t xml:space="preserve">Утверждено условие о том, что турагентскую деятельность могут осуществлять только лица, сведения о которых внесены в единый федеральный реестр </w:t>
      </w:r>
      <w:proofErr w:type="spellStart"/>
      <w:r w:rsidRPr="006D0CA9">
        <w:t>турагентов</w:t>
      </w:r>
      <w:proofErr w:type="spellEnd"/>
      <w:r w:rsidRPr="006D0CA9">
        <w:t>, субагентов.</w:t>
      </w:r>
    </w:p>
    <w:p w:rsidR="00612E27" w:rsidRPr="006D0CA9" w:rsidRDefault="00612E27" w:rsidP="006D0CA9">
      <w:pPr>
        <w:pStyle w:val="aa"/>
        <w:ind w:firstLine="851"/>
        <w:jc w:val="both"/>
      </w:pPr>
      <w:r w:rsidRPr="006D0CA9">
        <w:t xml:space="preserve">Определены основания и порядок внесения сведений о </w:t>
      </w:r>
      <w:proofErr w:type="spellStart"/>
      <w:r w:rsidRPr="006D0CA9">
        <w:t>турагентах</w:t>
      </w:r>
      <w:proofErr w:type="spellEnd"/>
      <w:r w:rsidRPr="006D0CA9">
        <w:t>, субагентах в указанный реестр и исключения таких сведений из него.</w:t>
      </w:r>
    </w:p>
    <w:p w:rsidR="00612E27" w:rsidRPr="006D0CA9" w:rsidRDefault="00612E27" w:rsidP="006D0CA9">
      <w:pPr>
        <w:pStyle w:val="aa"/>
        <w:ind w:firstLine="851"/>
        <w:jc w:val="both"/>
      </w:pPr>
      <w:r w:rsidRPr="006D0CA9">
        <w:t xml:space="preserve">Кроме того, предусмотрен переходный период (180 дней), в течение которого сведения о юридических лицах и индивидуальных предпринимателях, осуществляющих турагентскую деятельность на момент его вступления в силу, должны быть внесены в единый федеральный реестр </w:t>
      </w:r>
      <w:proofErr w:type="spellStart"/>
      <w:r w:rsidRPr="006D0CA9">
        <w:t>турагентов</w:t>
      </w:r>
      <w:proofErr w:type="spellEnd"/>
      <w:r w:rsidRPr="006D0CA9">
        <w:t>, субагентов.</w:t>
      </w:r>
    </w:p>
    <w:p w:rsidR="008B13FD" w:rsidRPr="006D0CA9" w:rsidRDefault="00612E27" w:rsidP="006D0CA9">
      <w:pPr>
        <w:pStyle w:val="aa"/>
        <w:ind w:firstLine="851"/>
        <w:jc w:val="both"/>
      </w:pPr>
      <w:r w:rsidRPr="006D0CA9">
        <w:t>Дата вступления в силу - 01.01.2022</w:t>
      </w:r>
      <w:r w:rsidR="00BF6D90">
        <w:t>.</w:t>
      </w:r>
    </w:p>
    <w:p w:rsidR="00B73ECA" w:rsidRPr="00D66051" w:rsidRDefault="00B73ECA" w:rsidP="00D66051">
      <w:pPr>
        <w:pStyle w:val="aa"/>
        <w:ind w:firstLine="851"/>
        <w:jc w:val="center"/>
        <w:rPr>
          <w:u w:val="single"/>
        </w:rPr>
      </w:pPr>
      <w:r w:rsidRPr="00D66051">
        <w:rPr>
          <w:u w:val="single"/>
        </w:rPr>
        <w:t xml:space="preserve">Правительство расширило перечень расходов, на которые можно потратить заем от </w:t>
      </w:r>
      <w:proofErr w:type="gramStart"/>
      <w:r w:rsidRPr="00D66051">
        <w:rPr>
          <w:u w:val="single"/>
        </w:rPr>
        <w:t>строительной</w:t>
      </w:r>
      <w:proofErr w:type="gramEnd"/>
      <w:r w:rsidRPr="00D66051">
        <w:rPr>
          <w:u w:val="single"/>
        </w:rPr>
        <w:t xml:space="preserve"> СРО</w:t>
      </w:r>
    </w:p>
    <w:p w:rsidR="00B73ECA" w:rsidRPr="008A3526" w:rsidRDefault="00B73ECA" w:rsidP="008A3526">
      <w:pPr>
        <w:pStyle w:val="aa"/>
        <w:ind w:firstLine="851"/>
        <w:jc w:val="both"/>
      </w:pPr>
      <w:r w:rsidRPr="008A3526">
        <w:t xml:space="preserve">Правительство расширило перечень расходов, на которые можно потратить заем от </w:t>
      </w:r>
      <w:proofErr w:type="gramStart"/>
      <w:r w:rsidRPr="008A3526">
        <w:t>строительной</w:t>
      </w:r>
      <w:proofErr w:type="gramEnd"/>
      <w:r w:rsidRPr="008A3526">
        <w:t xml:space="preserve"> СРО</w:t>
      </w:r>
      <w:r w:rsidR="00D66051">
        <w:t>.</w:t>
      </w:r>
    </w:p>
    <w:p w:rsidR="00B73ECA" w:rsidRPr="008A3526" w:rsidRDefault="00B73ECA" w:rsidP="008A3526">
      <w:pPr>
        <w:pStyle w:val="aa"/>
        <w:ind w:firstLine="851"/>
        <w:jc w:val="both"/>
      </w:pPr>
      <w:r w:rsidRPr="008A3526">
        <w:t>Строительные компании могут получить заем у своих СРО на покупку стройматериалов, конструкций, оборудования для исполнения любых договоров подряда. Ранее деньги можно было потратить только в целях исполнения до</w:t>
      </w:r>
      <w:r w:rsidR="00F47B45">
        <w:t>говоров, заключенных до 01.04.</w:t>
      </w:r>
      <w:r w:rsidRPr="008A3526">
        <w:t xml:space="preserve"> 2020.</w:t>
      </w:r>
    </w:p>
    <w:p w:rsidR="00B73ECA" w:rsidRPr="008A3526" w:rsidRDefault="00B73ECA" w:rsidP="008A3526">
      <w:pPr>
        <w:pStyle w:val="aa"/>
        <w:ind w:firstLine="851"/>
        <w:jc w:val="both"/>
      </w:pPr>
      <w:r w:rsidRPr="008A3526">
        <w:t>В число направлений для расходования льготных займов добавили:</w:t>
      </w:r>
    </w:p>
    <w:p w:rsidR="00B73ECA" w:rsidRPr="008A3526" w:rsidRDefault="00B73ECA" w:rsidP="008A3526">
      <w:pPr>
        <w:pStyle w:val="aa"/>
        <w:ind w:firstLine="851"/>
        <w:jc w:val="both"/>
      </w:pPr>
      <w:r w:rsidRPr="008A3526">
        <w:t>- обеспечение заявки для участия в торгах на закупку строительных работ;</w:t>
      </w:r>
    </w:p>
    <w:p w:rsidR="00B73ECA" w:rsidRPr="008A3526" w:rsidRDefault="00B73ECA" w:rsidP="008A3526">
      <w:pPr>
        <w:pStyle w:val="aa"/>
        <w:ind w:firstLine="851"/>
        <w:jc w:val="both"/>
      </w:pPr>
      <w:r w:rsidRPr="008A3526">
        <w:t>- покупку компьютеров, а также типовых программ, которые нужны для создания и поддержки информационной модели объекта капстроительства;</w:t>
      </w:r>
    </w:p>
    <w:p w:rsidR="00B73ECA" w:rsidRPr="008A3526" w:rsidRDefault="00B73ECA" w:rsidP="008A3526">
      <w:pPr>
        <w:pStyle w:val="aa"/>
        <w:ind w:firstLine="851"/>
        <w:jc w:val="both"/>
      </w:pPr>
      <w:r w:rsidRPr="008A3526">
        <w:t>- покупку стройматериалов, конструкций, оборудования для работ на объектах социального обслуживания по концессионным соглашениям и соглашениям о государственно-частном (</w:t>
      </w:r>
      <w:proofErr w:type="spellStart"/>
      <w:r w:rsidRPr="008A3526">
        <w:t>муниципально</w:t>
      </w:r>
      <w:proofErr w:type="spellEnd"/>
      <w:r w:rsidRPr="008A3526">
        <w:t>-частном) партнерстве;</w:t>
      </w:r>
    </w:p>
    <w:p w:rsidR="00B73ECA" w:rsidRPr="008A3526" w:rsidRDefault="00B73ECA" w:rsidP="008A3526">
      <w:pPr>
        <w:pStyle w:val="aa"/>
        <w:ind w:firstLine="851"/>
        <w:jc w:val="both"/>
      </w:pPr>
      <w:r w:rsidRPr="008A3526">
        <w:t>- уплату за работника налоговых и страховых платежей.</w:t>
      </w:r>
    </w:p>
    <w:p w:rsidR="00B73ECA" w:rsidRPr="008A3526" w:rsidRDefault="00B73ECA" w:rsidP="008A3526">
      <w:pPr>
        <w:pStyle w:val="aa"/>
        <w:ind w:firstLine="851"/>
        <w:jc w:val="both"/>
      </w:pPr>
      <w:r w:rsidRPr="008A3526">
        <w:t>Скорректировали требования к заемщикам. Долги по зарплате должны отсутствовать на первое число месяца, предшествующего дате обращения, а не на 1 апреля 2020 года.</w:t>
      </w:r>
    </w:p>
    <w:p w:rsidR="00B73ECA" w:rsidRPr="008A3526" w:rsidRDefault="00B73ECA" w:rsidP="008A3526">
      <w:pPr>
        <w:pStyle w:val="aa"/>
        <w:ind w:firstLine="851"/>
        <w:jc w:val="both"/>
      </w:pPr>
      <w:r w:rsidRPr="008A3526">
        <w:t>Изменения вступили в силу 23 марта.</w:t>
      </w:r>
    </w:p>
    <w:p w:rsidR="00B73ECA" w:rsidRPr="008A3526" w:rsidRDefault="00B73ECA" w:rsidP="008A3526">
      <w:pPr>
        <w:pStyle w:val="aa"/>
        <w:ind w:firstLine="851"/>
        <w:jc w:val="both"/>
      </w:pPr>
      <w:r w:rsidRPr="008A3526">
        <w:t xml:space="preserve">Документ: Постановление </w:t>
      </w:r>
      <w:r w:rsidR="00F47B45">
        <w:t>Правительства РФ от 20.03.2021 №</w:t>
      </w:r>
      <w:r w:rsidRPr="008A3526">
        <w:t xml:space="preserve"> 423</w:t>
      </w:r>
      <w:r w:rsidR="00F47B45">
        <w:t>.</w:t>
      </w:r>
    </w:p>
    <w:p w:rsidR="00FE3C7B" w:rsidRPr="00F47B45" w:rsidRDefault="00F47B45" w:rsidP="00F47B45">
      <w:pPr>
        <w:pStyle w:val="aa"/>
        <w:ind w:firstLine="851"/>
        <w:jc w:val="center"/>
        <w:rPr>
          <w:u w:val="single"/>
        </w:rPr>
      </w:pPr>
      <w:r>
        <w:rPr>
          <w:u w:val="single"/>
        </w:rPr>
        <w:t xml:space="preserve">Информация </w:t>
      </w:r>
      <w:proofErr w:type="spellStart"/>
      <w:r w:rsidR="00FE3C7B" w:rsidRPr="00F47B45">
        <w:rPr>
          <w:u w:val="single"/>
        </w:rPr>
        <w:t>Роспотребнадзора</w:t>
      </w:r>
      <w:proofErr w:type="spellEnd"/>
      <w:r w:rsidR="00FE3C7B" w:rsidRPr="00F47B45">
        <w:rPr>
          <w:u w:val="single"/>
        </w:rPr>
        <w:t xml:space="preserve"> от 25.03.2021 </w:t>
      </w:r>
      <w:r>
        <w:rPr>
          <w:u w:val="single"/>
        </w:rPr>
        <w:t>«</w:t>
      </w:r>
      <w:r w:rsidR="00FE3C7B" w:rsidRPr="00F47B45">
        <w:rPr>
          <w:u w:val="single"/>
        </w:rPr>
        <w:t xml:space="preserve">О клинических исследованиях вакцины </w:t>
      </w:r>
      <w:proofErr w:type="spellStart"/>
      <w:r w:rsidR="00FE3C7B" w:rsidRPr="00F47B45">
        <w:rPr>
          <w:u w:val="single"/>
        </w:rPr>
        <w:t>ЭпиВакКорона</w:t>
      </w:r>
      <w:proofErr w:type="spellEnd"/>
      <w:r w:rsidR="00FE3C7B" w:rsidRPr="00F47B45">
        <w:rPr>
          <w:u w:val="single"/>
        </w:rPr>
        <w:t xml:space="preserve">, разработанной ФБУН ГНЦ ВБ </w:t>
      </w:r>
      <w:r>
        <w:rPr>
          <w:u w:val="single"/>
        </w:rPr>
        <w:t>«</w:t>
      </w:r>
      <w:r w:rsidR="00FE3C7B" w:rsidRPr="00F47B45">
        <w:rPr>
          <w:u w:val="single"/>
        </w:rPr>
        <w:t>Вектор</w:t>
      </w:r>
      <w:r>
        <w:rPr>
          <w:u w:val="single"/>
        </w:rPr>
        <w:t xml:space="preserve">» </w:t>
      </w:r>
      <w:proofErr w:type="spellStart"/>
      <w:r>
        <w:rPr>
          <w:u w:val="single"/>
        </w:rPr>
        <w:t>Роспотребнадзора</w:t>
      </w:r>
      <w:proofErr w:type="spellEnd"/>
      <w:r>
        <w:rPr>
          <w:u w:val="single"/>
        </w:rPr>
        <w:t>»</w:t>
      </w:r>
    </w:p>
    <w:p w:rsidR="00FE3C7B" w:rsidRPr="008A3526" w:rsidRDefault="00FE3C7B" w:rsidP="008A3526">
      <w:pPr>
        <w:pStyle w:val="aa"/>
        <w:ind w:firstLine="851"/>
        <w:jc w:val="both"/>
      </w:pPr>
      <w:proofErr w:type="spellStart"/>
      <w:r w:rsidRPr="008A3526">
        <w:t>Роспотребнадзор</w:t>
      </w:r>
      <w:proofErr w:type="spellEnd"/>
      <w:r w:rsidRPr="008A3526">
        <w:t xml:space="preserve"> информирует, что вакцина </w:t>
      </w:r>
      <w:proofErr w:type="spellStart"/>
      <w:r w:rsidRPr="008A3526">
        <w:t>ЭпиВакКорона</w:t>
      </w:r>
      <w:proofErr w:type="spellEnd"/>
      <w:r w:rsidRPr="008A3526">
        <w:t xml:space="preserve"> является </w:t>
      </w:r>
      <w:proofErr w:type="spellStart"/>
      <w:r w:rsidRPr="008A3526">
        <w:t>иммуногенным</w:t>
      </w:r>
      <w:proofErr w:type="spellEnd"/>
      <w:r w:rsidRPr="008A3526">
        <w:t xml:space="preserve"> и безопасным продуктом для профилактики COVID-19</w:t>
      </w:r>
      <w:r w:rsidR="00F47B45">
        <w:t>.</w:t>
      </w:r>
    </w:p>
    <w:p w:rsidR="00FE3C7B" w:rsidRPr="008A3526" w:rsidRDefault="00FE3C7B" w:rsidP="008A3526">
      <w:pPr>
        <w:pStyle w:val="aa"/>
        <w:ind w:firstLine="851"/>
        <w:jc w:val="both"/>
      </w:pPr>
      <w:r w:rsidRPr="008A3526">
        <w:t xml:space="preserve">Сообщается об опубликовании в русскоязычной научной рецензируемой печати результатов клинических исследований вакцины </w:t>
      </w:r>
      <w:proofErr w:type="spellStart"/>
      <w:r w:rsidRPr="008A3526">
        <w:t>ЭпиВакКорона</w:t>
      </w:r>
      <w:proofErr w:type="spellEnd"/>
      <w:r w:rsidRPr="008A3526">
        <w:t xml:space="preserve"> среди добровольцев в возрасте 18 - 60 лет (I - II фаза исследований), подтверждающих ее безопасность и иммунологическую эффективность.</w:t>
      </w:r>
    </w:p>
    <w:p w:rsidR="00FE3C7B" w:rsidRPr="008A3526" w:rsidRDefault="00FE3C7B" w:rsidP="008A3526">
      <w:pPr>
        <w:pStyle w:val="aa"/>
        <w:ind w:firstLine="851"/>
        <w:jc w:val="both"/>
      </w:pPr>
      <w:r w:rsidRPr="008A3526">
        <w:t xml:space="preserve">Опубликованные материалы свидетельствуют о том, что исследование проводилось в два этапа: этап 1 - открытое исследование безопасности, </w:t>
      </w:r>
      <w:proofErr w:type="spellStart"/>
      <w:r w:rsidRPr="008A3526">
        <w:t>реактогенности</w:t>
      </w:r>
      <w:proofErr w:type="spellEnd"/>
      <w:r w:rsidRPr="008A3526">
        <w:t xml:space="preserve"> и иммунологической активности вакцины с участием 14 добровольцев в возрасте 18 - 30 лет; этап 2 - простое слепое сравнительное </w:t>
      </w:r>
      <w:proofErr w:type="spellStart"/>
      <w:r w:rsidRPr="008A3526">
        <w:t>рандомизированное</w:t>
      </w:r>
      <w:proofErr w:type="spellEnd"/>
      <w:r w:rsidRPr="008A3526">
        <w:t xml:space="preserve"> плацебо-контролируемое исследование с участием 86 добровольцев в возрасте 18 - 60 </w:t>
      </w:r>
      <w:proofErr w:type="spellStart"/>
      <w:r w:rsidRPr="008A3526">
        <w:t>лет</w:t>
      </w:r>
      <w:proofErr w:type="gramStart"/>
      <w:r w:rsidRPr="008A3526">
        <w:t>.П</w:t>
      </w:r>
      <w:proofErr w:type="gramEnd"/>
      <w:r w:rsidRPr="008A3526">
        <w:t>оказано</w:t>
      </w:r>
      <w:proofErr w:type="spellEnd"/>
      <w:r w:rsidRPr="008A3526">
        <w:t xml:space="preserve">, что схема </w:t>
      </w:r>
      <w:proofErr w:type="spellStart"/>
      <w:r w:rsidRPr="008A3526">
        <w:t>двухдозовой</w:t>
      </w:r>
      <w:proofErr w:type="spellEnd"/>
      <w:r w:rsidRPr="008A3526">
        <w:t xml:space="preserve"> вакцинации вызвала выработку антител, специфичных к антигенам, входящим в состав вакцины, у 100% добровольцев.</w:t>
      </w:r>
    </w:p>
    <w:p w:rsidR="00F47B45" w:rsidRDefault="00FE3C7B" w:rsidP="008A3526">
      <w:pPr>
        <w:pStyle w:val="aa"/>
        <w:ind w:firstLine="851"/>
        <w:jc w:val="both"/>
      </w:pPr>
      <w:r w:rsidRPr="008A3526">
        <w:t xml:space="preserve">По результатам проведенного исследования можно заключить, что вакцина </w:t>
      </w:r>
      <w:proofErr w:type="spellStart"/>
      <w:r w:rsidRPr="008A3526">
        <w:t>ЭпиВакКорона</w:t>
      </w:r>
      <w:proofErr w:type="spellEnd"/>
      <w:r w:rsidRPr="008A3526">
        <w:t xml:space="preserve"> является </w:t>
      </w:r>
      <w:proofErr w:type="spellStart"/>
      <w:r w:rsidRPr="008A3526">
        <w:t>иммуногенным</w:t>
      </w:r>
      <w:proofErr w:type="spellEnd"/>
      <w:r w:rsidRPr="008A3526">
        <w:t xml:space="preserve"> и безопасным продуктом для профилактики COVID-19.</w:t>
      </w:r>
    </w:p>
    <w:p w:rsidR="003C46F4" w:rsidRPr="008A3526" w:rsidRDefault="003C46F4" w:rsidP="001D544B">
      <w:pPr>
        <w:pStyle w:val="aa"/>
        <w:ind w:firstLine="851"/>
        <w:jc w:val="center"/>
      </w:pPr>
      <w:r w:rsidRPr="001D544B">
        <w:rPr>
          <w:u w:val="single"/>
        </w:rPr>
        <w:lastRenderedPageBreak/>
        <w:t>ВС РФ: если при банкротстве оспаривают мнимую сделку, срок исковой давности составляет 3 года</w:t>
      </w:r>
    </w:p>
    <w:p w:rsidR="003C46F4" w:rsidRPr="008A3526" w:rsidRDefault="003C46F4" w:rsidP="008A3526">
      <w:pPr>
        <w:pStyle w:val="aa"/>
        <w:ind w:firstLine="851"/>
        <w:jc w:val="both"/>
      </w:pPr>
      <w:r w:rsidRPr="008A3526">
        <w:t xml:space="preserve">Конкурсный управляющий </w:t>
      </w:r>
      <w:proofErr w:type="spellStart"/>
      <w:r w:rsidRPr="008A3526">
        <w:t>юрлица</w:t>
      </w:r>
      <w:proofErr w:type="spellEnd"/>
      <w:r w:rsidRPr="008A3526">
        <w:t xml:space="preserve"> просил признать недействительным договор поставки.</w:t>
      </w:r>
    </w:p>
    <w:p w:rsidR="003C46F4" w:rsidRPr="008A3526" w:rsidRDefault="003C46F4" w:rsidP="008A3526">
      <w:pPr>
        <w:pStyle w:val="aa"/>
        <w:ind w:firstLine="851"/>
        <w:jc w:val="both"/>
      </w:pPr>
      <w:r w:rsidRPr="008A3526">
        <w:t>Первая инстанция заявление удовлетворила, применила положения ГК РФ о мнимости сделки. Признала, что стороны заключили договор лишь для вида, реально его исполнять не планировали. Они хотели</w:t>
      </w:r>
      <w:r w:rsidR="001D544B">
        <w:t xml:space="preserve"> навредить кредиторам должника - </w:t>
      </w:r>
      <w:r w:rsidRPr="008A3526">
        <w:t>включить искусственную задолженность в реестр.</w:t>
      </w:r>
    </w:p>
    <w:p w:rsidR="003C46F4" w:rsidRPr="008A3526" w:rsidRDefault="003C46F4" w:rsidP="008A3526">
      <w:pPr>
        <w:pStyle w:val="aa"/>
        <w:ind w:firstLine="851"/>
        <w:jc w:val="both"/>
      </w:pPr>
      <w:r w:rsidRPr="008A3526">
        <w:t xml:space="preserve">К требованию суд применил годичный срок исковой давности. Рассчитал его </w:t>
      </w:r>
      <w:proofErr w:type="gramStart"/>
      <w:r w:rsidRPr="008A3526">
        <w:t>с даты собрания</w:t>
      </w:r>
      <w:proofErr w:type="gramEnd"/>
      <w:r w:rsidRPr="008A3526">
        <w:t xml:space="preserve"> кредиторов, когда управляющему поручили проверить признаки фиктивного банкротства. Срок исковой </w:t>
      </w:r>
      <w:proofErr w:type="gramStart"/>
      <w:r w:rsidRPr="008A3526">
        <w:t>давности</w:t>
      </w:r>
      <w:proofErr w:type="gramEnd"/>
      <w:r w:rsidRPr="008A3526">
        <w:t xml:space="preserve"> управляющий не пропустил.</w:t>
      </w:r>
    </w:p>
    <w:p w:rsidR="003C46F4" w:rsidRPr="008A3526" w:rsidRDefault="003C46F4" w:rsidP="008A3526">
      <w:pPr>
        <w:pStyle w:val="aa"/>
        <w:ind w:firstLine="851"/>
        <w:jc w:val="both"/>
      </w:pPr>
      <w:r w:rsidRPr="008A3526">
        <w:t>Апелляция и кассация отказали только из-за пропуска срока. Они, как и первая инстанция</w:t>
      </w:r>
      <w:r w:rsidR="001D544B">
        <w:t>, применили п. 2 ст. 181 ГК РФ -</w:t>
      </w:r>
      <w:r w:rsidRPr="008A3526">
        <w:t xml:space="preserve"> срок исковой давности 1 год. Однако посчитали, что он начался раньше: со дня, когда утвердили конкурсного управляющего. </w:t>
      </w:r>
      <w:r w:rsidR="001D544B">
        <w:t xml:space="preserve">  </w:t>
      </w:r>
      <w:proofErr w:type="gramStart"/>
      <w:r w:rsidRPr="008A3526">
        <w:t>Последний</w:t>
      </w:r>
      <w:proofErr w:type="gramEnd"/>
      <w:r w:rsidRPr="008A3526">
        <w:t xml:space="preserve"> подал заявление уже после окончания срока.</w:t>
      </w:r>
    </w:p>
    <w:p w:rsidR="003C46F4" w:rsidRPr="008A3526" w:rsidRDefault="003C46F4" w:rsidP="008A3526">
      <w:pPr>
        <w:pStyle w:val="aa"/>
        <w:ind w:firstLine="851"/>
        <w:jc w:val="both"/>
      </w:pPr>
      <w:r w:rsidRPr="008A3526">
        <w:t>ВС РФ отправил дело на новое рассмотрение. Управляющий оспорил договор из-за того, что искусственно созданная видимость поставки вызвала негативные последствия для иных кредиторов. На этом основании договор признали недействительным как мнимую сделку, исполнять которую стороны не собирались. Поэтому необходимо применить 3-летний срок исковой давности по п. 1 ст. 181 ГК РФ. Рассчитать его нужно с момента, когда управляющий должен был узнать о формальном характере исполнения договора.</w:t>
      </w:r>
    </w:p>
    <w:p w:rsidR="003C46F4" w:rsidRPr="008A3526" w:rsidRDefault="003C46F4" w:rsidP="008A3526">
      <w:pPr>
        <w:pStyle w:val="aa"/>
        <w:ind w:firstLine="851"/>
        <w:jc w:val="both"/>
      </w:pPr>
      <w:r w:rsidRPr="008A3526">
        <w:t>Документ:</w:t>
      </w:r>
      <w:r w:rsidR="001D544B">
        <w:t xml:space="preserve"> </w:t>
      </w:r>
      <w:r w:rsidRPr="008A3526">
        <w:t xml:space="preserve">Определение ВС РФ от 18.03.2021 </w:t>
      </w:r>
      <w:r w:rsidR="001D544B">
        <w:t>№</w:t>
      </w:r>
      <w:r w:rsidRPr="008A3526">
        <w:t xml:space="preserve"> 304-ЭС18-4037 (9)</w:t>
      </w:r>
      <w:r w:rsidR="001D544B">
        <w:t>.</w:t>
      </w:r>
    </w:p>
    <w:p w:rsidR="006F75D7" w:rsidRPr="008A3526" w:rsidRDefault="006F75D7" w:rsidP="00F140FE">
      <w:pPr>
        <w:pStyle w:val="aa"/>
        <w:ind w:firstLine="851"/>
        <w:jc w:val="center"/>
      </w:pPr>
      <w:r w:rsidRPr="001D544B">
        <w:rPr>
          <w:u w:val="single"/>
        </w:rPr>
        <w:t xml:space="preserve">Обман потребителей и нарушение правил торговли: </w:t>
      </w:r>
      <w:r w:rsidR="00F140FE">
        <w:rPr>
          <w:u w:val="single"/>
        </w:rPr>
        <w:t>5 примеров из практики за 2020 -</w:t>
      </w:r>
      <w:r w:rsidRPr="001D544B">
        <w:rPr>
          <w:u w:val="single"/>
        </w:rPr>
        <w:t xml:space="preserve"> 2021 годы</w:t>
      </w:r>
    </w:p>
    <w:p w:rsidR="006F75D7" w:rsidRPr="008A3526" w:rsidRDefault="006F75D7" w:rsidP="008A3526">
      <w:pPr>
        <w:pStyle w:val="aa"/>
        <w:ind w:firstLine="851"/>
        <w:jc w:val="both"/>
      </w:pPr>
      <w:r w:rsidRPr="008A3526">
        <w:t>Продавцы иногда вводят необычные условия покупок, объявляют акции, пытаются оптимизировать процесс торговли. Эксперименты могут обернуться санкциями за обман потребителей и нарушение правил продажи товаров. Разберем несколько недавних кейсов, чтобы не повторять чужих ошибок.</w:t>
      </w:r>
    </w:p>
    <w:p w:rsidR="006F75D7" w:rsidRPr="008A3526" w:rsidRDefault="006F75D7" w:rsidP="008A3526">
      <w:pPr>
        <w:pStyle w:val="aa"/>
        <w:ind w:firstLine="851"/>
        <w:jc w:val="both"/>
      </w:pPr>
      <w:r w:rsidRPr="008A3526">
        <w:t>Минимальная сумма покупки</w:t>
      </w:r>
    </w:p>
    <w:p w:rsidR="006F75D7" w:rsidRPr="008A3526" w:rsidRDefault="006F75D7" w:rsidP="008A3526">
      <w:pPr>
        <w:pStyle w:val="aa"/>
        <w:ind w:firstLine="851"/>
        <w:jc w:val="both"/>
      </w:pPr>
      <w:r w:rsidRPr="008A3526">
        <w:t xml:space="preserve">В </w:t>
      </w:r>
      <w:proofErr w:type="gramStart"/>
      <w:r w:rsidRPr="008A3526">
        <w:t>интернет-аптеке</w:t>
      </w:r>
      <w:proofErr w:type="gramEnd"/>
      <w:r w:rsidRPr="008A3526">
        <w:t xml:space="preserve"> устан</w:t>
      </w:r>
      <w:r w:rsidR="00F140FE">
        <w:t>овили минимальную сумму заказа -</w:t>
      </w:r>
      <w:r w:rsidRPr="008A3526">
        <w:t xml:space="preserve"> 500 руб. В ассортименте были товары дешевле. Недобор до пороговой суммы означал отказ в продаже.</w:t>
      </w:r>
    </w:p>
    <w:p w:rsidR="006F75D7" w:rsidRPr="008A3526" w:rsidRDefault="006F75D7" w:rsidP="008A3526">
      <w:pPr>
        <w:pStyle w:val="aa"/>
        <w:ind w:firstLine="851"/>
        <w:jc w:val="both"/>
      </w:pPr>
      <w:r w:rsidRPr="008A3526">
        <w:t xml:space="preserve">Потребитель пожаловался на навязывание дополнительных товаров. Это ущемило его права, привело к </w:t>
      </w:r>
      <w:r w:rsidR="00F140FE">
        <w:t>«</w:t>
      </w:r>
      <w:r w:rsidRPr="008A3526">
        <w:t>подорожанию</w:t>
      </w:r>
      <w:r w:rsidR="00F140FE">
        <w:t>»</w:t>
      </w:r>
      <w:r w:rsidRPr="008A3526">
        <w:t xml:space="preserve"> одних товаров за счет других.</w:t>
      </w:r>
    </w:p>
    <w:p w:rsidR="006F75D7" w:rsidRPr="008A3526" w:rsidRDefault="006F75D7" w:rsidP="008A3526">
      <w:pPr>
        <w:pStyle w:val="aa"/>
        <w:ind w:firstLine="851"/>
        <w:jc w:val="both"/>
      </w:pPr>
      <w:r w:rsidRPr="008A3526">
        <w:t>Действия продавца расценили как нарушение правил продажи товаров. Обошлось предупреждением, но в норме ес</w:t>
      </w:r>
      <w:r w:rsidR="00F140FE">
        <w:t xml:space="preserve">ть и альтернативное наказание - </w:t>
      </w:r>
      <w:r w:rsidRPr="008A3526">
        <w:t xml:space="preserve">штраф. Для </w:t>
      </w:r>
      <w:proofErr w:type="spellStart"/>
      <w:r w:rsidRPr="008A3526">
        <w:t>юрлиц</w:t>
      </w:r>
      <w:proofErr w:type="spellEnd"/>
      <w:r w:rsidRPr="008A3526">
        <w:t xml:space="preserve"> он составляет от 10 тыс. до 30 тыс. руб., для должностных лиц</w:t>
      </w:r>
      <w:r w:rsidR="00F140FE">
        <w:t xml:space="preserve"> -</w:t>
      </w:r>
      <w:r w:rsidRPr="008A3526">
        <w:t xml:space="preserve"> от 1 тыс. до 3 тыс. руб.</w:t>
      </w:r>
    </w:p>
    <w:p w:rsidR="006F75D7" w:rsidRPr="008A3526" w:rsidRDefault="006F75D7" w:rsidP="008A3526">
      <w:pPr>
        <w:pStyle w:val="aa"/>
        <w:ind w:firstLine="851"/>
        <w:jc w:val="both"/>
      </w:pPr>
      <w:r w:rsidRPr="008A3526">
        <w:t>Платная доставка</w:t>
      </w:r>
    </w:p>
    <w:p w:rsidR="006F75D7" w:rsidRPr="008A3526" w:rsidRDefault="006F75D7" w:rsidP="008A3526">
      <w:pPr>
        <w:pStyle w:val="aa"/>
        <w:ind w:firstLine="851"/>
        <w:jc w:val="both"/>
      </w:pPr>
      <w:r w:rsidRPr="008A3526">
        <w:t>На сайте онлайн-магазина указали: при отмене заказа с платной доставкой ее стоимость удержат с покупателя. Статус заказа роли не играет.</w:t>
      </w:r>
    </w:p>
    <w:p w:rsidR="006F75D7" w:rsidRPr="008A3526" w:rsidRDefault="006F75D7" w:rsidP="008A3526">
      <w:pPr>
        <w:pStyle w:val="aa"/>
        <w:ind w:firstLine="851"/>
        <w:jc w:val="both"/>
      </w:pPr>
      <w:r w:rsidRPr="008A3526">
        <w:t>Клиентка оформила заказ, а через минуту отменила. Появилась задолженность за доставку.</w:t>
      </w:r>
    </w:p>
    <w:p w:rsidR="006F75D7" w:rsidRPr="008A3526" w:rsidRDefault="006F75D7" w:rsidP="008A3526">
      <w:pPr>
        <w:pStyle w:val="aa"/>
        <w:ind w:firstLine="851"/>
        <w:jc w:val="both"/>
      </w:pPr>
      <w:r w:rsidRPr="008A3526">
        <w:t>Суды отметили: продавец списывал деньги, хотя не доставлял товар, расходов не нес. Это обсчет потребителей. Он обернулся обществу штрафом 40 тыс. руб.</w:t>
      </w:r>
    </w:p>
    <w:p w:rsidR="009522DF" w:rsidRDefault="006F75D7" w:rsidP="008A3526">
      <w:pPr>
        <w:pStyle w:val="aa"/>
        <w:ind w:firstLine="851"/>
        <w:jc w:val="both"/>
      </w:pPr>
      <w:r w:rsidRPr="008A3526">
        <w:t>Ценники</w:t>
      </w:r>
      <w:r w:rsidR="009522DF">
        <w:t xml:space="preserve"> </w:t>
      </w:r>
    </w:p>
    <w:p w:rsidR="006F75D7" w:rsidRPr="008A3526" w:rsidRDefault="006F75D7" w:rsidP="008A3526">
      <w:pPr>
        <w:pStyle w:val="aa"/>
        <w:ind w:firstLine="851"/>
        <w:jc w:val="both"/>
      </w:pPr>
      <w:r w:rsidRPr="008A3526">
        <w:t>В аптеке часть препаратов была</w:t>
      </w:r>
      <w:r w:rsidR="009522DF">
        <w:t xml:space="preserve"> без ценников, а часть товаров -</w:t>
      </w:r>
      <w:r w:rsidRPr="008A3526">
        <w:t xml:space="preserve"> с цифровым кодом вместо цен. Клиенты могли узнать цены через электронное устройство или на перекидных демонстрационных стендах.</w:t>
      </w:r>
    </w:p>
    <w:p w:rsidR="006F75D7" w:rsidRPr="008A3526" w:rsidRDefault="006F75D7" w:rsidP="008A3526">
      <w:pPr>
        <w:pStyle w:val="aa"/>
        <w:ind w:firstLine="851"/>
        <w:jc w:val="both"/>
      </w:pPr>
      <w:r w:rsidRPr="008A3526">
        <w:t>Общество признали нарушителем правил продажи товаров и оштрафовали на 10 тыс. руб.</w:t>
      </w:r>
    </w:p>
    <w:p w:rsidR="006F75D7" w:rsidRPr="008A3526" w:rsidRDefault="006F75D7" w:rsidP="008A3526">
      <w:pPr>
        <w:pStyle w:val="aa"/>
        <w:ind w:firstLine="851"/>
        <w:jc w:val="both"/>
      </w:pPr>
      <w:r w:rsidRPr="008A3526">
        <w:lastRenderedPageBreak/>
        <w:t xml:space="preserve">Продавец возражал: </w:t>
      </w:r>
      <w:proofErr w:type="gramStart"/>
      <w:r w:rsidRPr="008A3526">
        <w:t>нет требований размещать</w:t>
      </w:r>
      <w:proofErr w:type="gramEnd"/>
      <w:r w:rsidRPr="008A3526">
        <w:t xml:space="preserve"> ценник на каждом товаре. Суды указали, что ценник должен быть в непосредственной близости.</w:t>
      </w:r>
    </w:p>
    <w:p w:rsidR="006F75D7" w:rsidRPr="008A3526" w:rsidRDefault="006F75D7" w:rsidP="008A3526">
      <w:pPr>
        <w:pStyle w:val="aa"/>
        <w:ind w:firstLine="851"/>
        <w:jc w:val="both"/>
      </w:pPr>
      <w:r w:rsidRPr="008A3526">
        <w:t xml:space="preserve">Тем не менее, чтобы получить информацию, требовалось запомнить название товара, отойти от витрины, ввести его в электронное устройство. Пока один клиент искал цену, другой ждал, так как устройство одно. А </w:t>
      </w:r>
      <w:proofErr w:type="gramStart"/>
      <w:r w:rsidRPr="008A3526">
        <w:t>пожилые</w:t>
      </w:r>
      <w:proofErr w:type="gramEnd"/>
      <w:r w:rsidRPr="008A3526">
        <w:t xml:space="preserve"> могли просто не уметь пользоваться им.</w:t>
      </w:r>
    </w:p>
    <w:p w:rsidR="006F75D7" w:rsidRPr="008A3526" w:rsidRDefault="006F75D7" w:rsidP="008A3526">
      <w:pPr>
        <w:pStyle w:val="aa"/>
        <w:ind w:firstLine="851"/>
        <w:jc w:val="both"/>
      </w:pPr>
      <w:r w:rsidRPr="008A3526">
        <w:t>Перекидные системы тоже не альтернатива ценникам. Клиент должен сразу видеть информацию, а не идти к стендам.</w:t>
      </w:r>
    </w:p>
    <w:p w:rsidR="006F75D7" w:rsidRPr="008A3526" w:rsidRDefault="006F75D7" w:rsidP="008A3526">
      <w:pPr>
        <w:pStyle w:val="aa"/>
        <w:ind w:firstLine="851"/>
        <w:jc w:val="both"/>
      </w:pPr>
      <w:r w:rsidRPr="008A3526">
        <w:t>АС Уральского округа согласился с выводами.</w:t>
      </w:r>
    </w:p>
    <w:p w:rsidR="006F75D7" w:rsidRPr="008A3526" w:rsidRDefault="009105E0" w:rsidP="008A3526">
      <w:pPr>
        <w:pStyle w:val="aa"/>
        <w:ind w:firstLine="851"/>
        <w:jc w:val="both"/>
      </w:pPr>
      <w:r>
        <w:t>«Бесплатная»</w:t>
      </w:r>
      <w:r w:rsidR="006F75D7" w:rsidRPr="008A3526">
        <w:t xml:space="preserve"> установка</w:t>
      </w:r>
    </w:p>
    <w:p w:rsidR="006F75D7" w:rsidRPr="008A3526" w:rsidRDefault="006F75D7" w:rsidP="008A3526">
      <w:pPr>
        <w:pStyle w:val="aa"/>
        <w:ind w:firstLine="851"/>
        <w:jc w:val="both"/>
      </w:pPr>
      <w:r w:rsidRPr="008A3526">
        <w:t>Потребителю обещали бесплатную установку при покупке кондиционера. Однако в кассовом чеке были 2 цены: за товар и за установку. Продавца оштрафовали на 20 тыс. руб. за обман потребителей.</w:t>
      </w:r>
    </w:p>
    <w:p w:rsidR="006F75D7" w:rsidRPr="008A3526" w:rsidRDefault="006F75D7" w:rsidP="008A3526">
      <w:pPr>
        <w:pStyle w:val="aa"/>
        <w:ind w:firstLine="851"/>
        <w:jc w:val="both"/>
      </w:pPr>
      <w:r w:rsidRPr="008A3526">
        <w:t xml:space="preserve">Первая инстанция отменила штраф. Судя по </w:t>
      </w:r>
      <w:proofErr w:type="spellStart"/>
      <w:r w:rsidRPr="008A3526">
        <w:t>нефискальному</w:t>
      </w:r>
      <w:proofErr w:type="spellEnd"/>
      <w:r w:rsidRPr="008A3526">
        <w:t xml:space="preserve"> чеку, на товар сделали скидку в размере стоимости установки.</w:t>
      </w:r>
    </w:p>
    <w:p w:rsidR="006F75D7" w:rsidRPr="008A3526" w:rsidRDefault="006F75D7" w:rsidP="008A3526">
      <w:pPr>
        <w:pStyle w:val="aa"/>
        <w:ind w:firstLine="851"/>
        <w:jc w:val="both"/>
      </w:pPr>
      <w:r w:rsidRPr="008A3526">
        <w:t>Апелляция не согласилась и посчитала, что клиента ввели в заблуждение. Она подчеркнула:</w:t>
      </w:r>
    </w:p>
    <w:p w:rsidR="006F75D7" w:rsidRPr="008A3526" w:rsidRDefault="006F75D7" w:rsidP="008A3526">
      <w:pPr>
        <w:pStyle w:val="aa"/>
        <w:ind w:firstLine="851"/>
        <w:jc w:val="both"/>
      </w:pPr>
      <w:r w:rsidRPr="008A3526">
        <w:t xml:space="preserve">не было доказательств, что потребителю вручили либо показали </w:t>
      </w:r>
      <w:proofErr w:type="spellStart"/>
      <w:r w:rsidRPr="008A3526">
        <w:t>нефискальный</w:t>
      </w:r>
      <w:proofErr w:type="spellEnd"/>
      <w:r w:rsidRPr="008A3526">
        <w:t xml:space="preserve"> чек в момент покупки;</w:t>
      </w:r>
    </w:p>
    <w:p w:rsidR="006F75D7" w:rsidRPr="008A3526" w:rsidRDefault="006F75D7" w:rsidP="008A3526">
      <w:pPr>
        <w:pStyle w:val="aa"/>
        <w:ind w:firstLine="851"/>
        <w:jc w:val="both"/>
      </w:pPr>
      <w:r w:rsidRPr="008A3526">
        <w:t>не подтверждено, что клиента правильно ознакомили с условиями акции (например, разместили их на информационных стендах);</w:t>
      </w:r>
    </w:p>
    <w:p w:rsidR="006F75D7" w:rsidRPr="008A3526" w:rsidRDefault="006F75D7" w:rsidP="008A3526">
      <w:pPr>
        <w:pStyle w:val="aa"/>
        <w:ind w:firstLine="851"/>
        <w:jc w:val="both"/>
      </w:pPr>
      <w:r w:rsidRPr="008A3526">
        <w:t>мировой судья уже взыскал с продавца сумму навязанной услуги по установке, компенсацию морального вреда и потребительский штраф.</w:t>
      </w:r>
    </w:p>
    <w:p w:rsidR="006F75D7" w:rsidRPr="008A3526" w:rsidRDefault="006F75D7" w:rsidP="008A3526">
      <w:pPr>
        <w:pStyle w:val="aa"/>
        <w:ind w:firstLine="851"/>
        <w:jc w:val="both"/>
      </w:pPr>
      <w:r w:rsidRPr="008A3526">
        <w:t xml:space="preserve">Подход устоял </w:t>
      </w:r>
      <w:proofErr w:type="gramStart"/>
      <w:r w:rsidRPr="008A3526">
        <w:t>в</w:t>
      </w:r>
      <w:proofErr w:type="gramEnd"/>
      <w:r w:rsidRPr="008A3526">
        <w:t xml:space="preserve"> </w:t>
      </w:r>
      <w:proofErr w:type="gramStart"/>
      <w:r w:rsidRPr="008A3526">
        <w:t>АС</w:t>
      </w:r>
      <w:proofErr w:type="gramEnd"/>
      <w:r w:rsidRPr="008A3526">
        <w:t xml:space="preserve"> Центрального округа.</w:t>
      </w:r>
    </w:p>
    <w:p w:rsidR="006F75D7" w:rsidRPr="008A3526" w:rsidRDefault="006F75D7" w:rsidP="008A3526">
      <w:pPr>
        <w:pStyle w:val="aa"/>
        <w:ind w:firstLine="851"/>
        <w:jc w:val="both"/>
      </w:pPr>
      <w:r w:rsidRPr="008A3526">
        <w:t>Заявление о ремонте</w:t>
      </w:r>
    </w:p>
    <w:p w:rsidR="006F75D7" w:rsidRPr="008A3526" w:rsidRDefault="006F75D7" w:rsidP="008A3526">
      <w:pPr>
        <w:pStyle w:val="aa"/>
        <w:ind w:firstLine="851"/>
        <w:jc w:val="both"/>
      </w:pPr>
      <w:r w:rsidRPr="008A3526">
        <w:t>Клиентка хотела сдать товар на гарантийный ремонт, написала заявление от руки. Продавец его не принял. Он настаивал, что нужно подписать бланк по определенной форме. Клиентка не согласилась, ей отказали в ремонте.</w:t>
      </w:r>
    </w:p>
    <w:p w:rsidR="006F75D7" w:rsidRPr="008A3526" w:rsidRDefault="006F75D7" w:rsidP="008A3526">
      <w:pPr>
        <w:pStyle w:val="aa"/>
        <w:ind w:firstLine="851"/>
        <w:jc w:val="both"/>
      </w:pPr>
      <w:r w:rsidRPr="008A3526">
        <w:t>Административный орган оштрафовал общество на 10 тыс. руб. за нарушение правил торговли. Суды подтвердили, что права потребителя нарушены, штраф правомерен.</w:t>
      </w:r>
    </w:p>
    <w:p w:rsidR="00241438" w:rsidRPr="008A3526" w:rsidRDefault="00241438" w:rsidP="008A3526">
      <w:pPr>
        <w:pStyle w:val="aa"/>
        <w:ind w:firstLine="851"/>
        <w:jc w:val="both"/>
      </w:pPr>
      <w:r w:rsidRPr="008A3526">
        <w:t xml:space="preserve">Заключение ТПП о </w:t>
      </w:r>
      <w:r w:rsidR="00E16508">
        <w:t>«</w:t>
      </w:r>
      <w:proofErr w:type="spellStart"/>
      <w:r w:rsidRPr="008A3526">
        <w:t>ковидном</w:t>
      </w:r>
      <w:proofErr w:type="spellEnd"/>
      <w:r w:rsidR="00E16508">
        <w:t>»</w:t>
      </w:r>
      <w:r w:rsidRPr="008A3526">
        <w:t xml:space="preserve"> форс-мажоре помогло через суд сократить период начисления неустойки</w:t>
      </w:r>
    </w:p>
    <w:p w:rsidR="00241438" w:rsidRPr="008A3526" w:rsidRDefault="00241438" w:rsidP="008A3526">
      <w:pPr>
        <w:pStyle w:val="aa"/>
        <w:ind w:firstLine="851"/>
        <w:jc w:val="both"/>
      </w:pPr>
      <w:r w:rsidRPr="008A3526">
        <w:t>В феврале 2020 года компании заключили договор поставки. Затем покупатель направил контрагенту заявки на поставку, но она не состоялась.</w:t>
      </w:r>
    </w:p>
    <w:p w:rsidR="00241438" w:rsidRPr="008A3526" w:rsidRDefault="00241438" w:rsidP="008A3526">
      <w:pPr>
        <w:pStyle w:val="aa"/>
        <w:ind w:firstLine="851"/>
        <w:jc w:val="both"/>
      </w:pPr>
      <w:r w:rsidRPr="008A3526">
        <w:t xml:space="preserve">В конце апреля покупатель получил письмо о том, что поставщик не может исполнить договор из-за </w:t>
      </w:r>
      <w:proofErr w:type="spellStart"/>
      <w:r w:rsidRPr="008A3526">
        <w:t>эпидситуации</w:t>
      </w:r>
      <w:proofErr w:type="spellEnd"/>
      <w:r w:rsidRPr="008A3526">
        <w:t xml:space="preserve"> в связи с COVID-19. К письму поставщик приложил заключение региональной ТПП.</w:t>
      </w:r>
    </w:p>
    <w:p w:rsidR="00241438" w:rsidRPr="008A3526" w:rsidRDefault="00241438" w:rsidP="008A3526">
      <w:pPr>
        <w:pStyle w:val="aa"/>
        <w:ind w:firstLine="851"/>
        <w:jc w:val="both"/>
      </w:pPr>
      <w:r w:rsidRPr="008A3526">
        <w:t>Палата подтвердила: форс-мажор не позволял исполнять обязательства в течение 32 дней. На этот период (кроме 2 выходных) поставщик установил для своего персонала нерабочие дни.</w:t>
      </w:r>
    </w:p>
    <w:p w:rsidR="00241438" w:rsidRPr="008A3526" w:rsidRDefault="00241438" w:rsidP="008A3526">
      <w:pPr>
        <w:pStyle w:val="aa"/>
        <w:ind w:firstLine="851"/>
        <w:jc w:val="both"/>
      </w:pPr>
      <w:r w:rsidRPr="008A3526">
        <w:t xml:space="preserve">Тем не </w:t>
      </w:r>
      <w:proofErr w:type="gramStart"/>
      <w:r w:rsidRPr="008A3526">
        <w:t>менее</w:t>
      </w:r>
      <w:proofErr w:type="gramEnd"/>
      <w:r w:rsidRPr="008A3526">
        <w:t xml:space="preserve"> покупатель обратился в суд, чтобы взыскать неустойку по договору и расторгнуть его.</w:t>
      </w:r>
    </w:p>
    <w:p w:rsidR="00241438" w:rsidRPr="008A3526" w:rsidRDefault="00241438" w:rsidP="008A3526">
      <w:pPr>
        <w:pStyle w:val="aa"/>
        <w:ind w:firstLine="851"/>
        <w:jc w:val="both"/>
      </w:pPr>
      <w:r w:rsidRPr="008A3526">
        <w:t>Первая инстанция договор расторгла, а из периода начисления неустойки вычла те 32</w:t>
      </w:r>
      <w:r w:rsidR="00E16508">
        <w:t xml:space="preserve"> дня. По мнению суда, поставщик</w:t>
      </w:r>
    </w:p>
    <w:p w:rsidR="00241438" w:rsidRPr="008A3526" w:rsidRDefault="00241438" w:rsidP="008A3526">
      <w:pPr>
        <w:pStyle w:val="aa"/>
        <w:ind w:firstLine="851"/>
        <w:jc w:val="both"/>
      </w:pPr>
      <w:r w:rsidRPr="008A3526">
        <w:t>известил покупателя о форс-мажоре вовремя и надлежащим образом;</w:t>
      </w:r>
    </w:p>
    <w:p w:rsidR="00241438" w:rsidRPr="008A3526" w:rsidRDefault="00241438" w:rsidP="008A3526">
      <w:pPr>
        <w:pStyle w:val="aa"/>
        <w:ind w:firstLine="851"/>
        <w:jc w:val="both"/>
      </w:pPr>
      <w:r w:rsidRPr="008A3526">
        <w:t xml:space="preserve">принял все возможные меры, чтобы предотвратить негативные последствия </w:t>
      </w:r>
      <w:proofErr w:type="spellStart"/>
      <w:r w:rsidRPr="008A3526">
        <w:t>непоставки</w:t>
      </w:r>
      <w:proofErr w:type="spellEnd"/>
      <w:r w:rsidRPr="008A3526">
        <w:t>;</w:t>
      </w:r>
    </w:p>
    <w:p w:rsidR="00241438" w:rsidRPr="008A3526" w:rsidRDefault="00241438" w:rsidP="008A3526">
      <w:pPr>
        <w:pStyle w:val="aa"/>
        <w:ind w:firstLine="851"/>
        <w:jc w:val="both"/>
      </w:pPr>
      <w:r w:rsidRPr="008A3526">
        <w:t>доказал, что форс-мажор продолжался в течение определенного периода.</w:t>
      </w:r>
    </w:p>
    <w:p w:rsidR="00241438" w:rsidRPr="008A3526" w:rsidRDefault="00241438" w:rsidP="008A3526">
      <w:pPr>
        <w:pStyle w:val="aa"/>
        <w:ind w:firstLine="851"/>
        <w:jc w:val="both"/>
      </w:pPr>
      <w:r w:rsidRPr="008A3526">
        <w:t>Апелляция с таким решением согласилась.</w:t>
      </w:r>
    </w:p>
    <w:p w:rsidR="00241438" w:rsidRPr="008A3526" w:rsidRDefault="00E16508" w:rsidP="008A3526">
      <w:pPr>
        <w:pStyle w:val="aa"/>
        <w:ind w:firstLine="851"/>
        <w:jc w:val="both"/>
      </w:pPr>
      <w:r>
        <w:t xml:space="preserve">Документ: </w:t>
      </w:r>
      <w:r w:rsidR="00241438" w:rsidRPr="008A3526">
        <w:t xml:space="preserve">Постановление </w:t>
      </w:r>
      <w:r>
        <w:t>9-го ААС от 11.03.2021 по делу №</w:t>
      </w:r>
      <w:r w:rsidR="00241438" w:rsidRPr="008A3526">
        <w:t xml:space="preserve"> А40-170478/2020</w:t>
      </w:r>
      <w:r>
        <w:t>.</w:t>
      </w:r>
    </w:p>
    <w:p w:rsidR="00423DBC" w:rsidRPr="009C4562" w:rsidRDefault="00423DBC" w:rsidP="009C4562">
      <w:pPr>
        <w:pStyle w:val="aa"/>
        <w:ind w:firstLine="851"/>
        <w:jc w:val="center"/>
        <w:rPr>
          <w:u w:val="single"/>
        </w:rPr>
      </w:pPr>
      <w:r w:rsidRPr="009C4562">
        <w:rPr>
          <w:u w:val="single"/>
        </w:rPr>
        <w:t xml:space="preserve">С </w:t>
      </w:r>
      <w:r w:rsidR="009C4562" w:rsidRPr="009C4562">
        <w:rPr>
          <w:u w:val="single"/>
        </w:rPr>
        <w:t>01.04.2021</w:t>
      </w:r>
      <w:r w:rsidRPr="009C4562">
        <w:rPr>
          <w:u w:val="single"/>
        </w:rPr>
        <w:t xml:space="preserve"> Россия открывает воздушные границы с шестью странами</w:t>
      </w:r>
    </w:p>
    <w:p w:rsidR="00423DBC" w:rsidRPr="008A3526" w:rsidRDefault="00423DBC" w:rsidP="008A3526">
      <w:pPr>
        <w:pStyle w:val="aa"/>
        <w:ind w:firstLine="851"/>
        <w:jc w:val="both"/>
      </w:pPr>
      <w:r w:rsidRPr="008A3526">
        <w:lastRenderedPageBreak/>
        <w:t>Правительство сообщило, что в неделю будут доступны:</w:t>
      </w:r>
    </w:p>
    <w:p w:rsidR="00423DBC" w:rsidRPr="008A3526" w:rsidRDefault="00423DBC" w:rsidP="008A3526">
      <w:pPr>
        <w:pStyle w:val="aa"/>
        <w:ind w:firstLine="851"/>
        <w:jc w:val="both"/>
      </w:pPr>
      <w:r w:rsidRPr="008A3526">
        <w:t>16 рейсов с Германией;</w:t>
      </w:r>
    </w:p>
    <w:p w:rsidR="00423DBC" w:rsidRPr="008A3526" w:rsidRDefault="00423DBC" w:rsidP="008A3526">
      <w:pPr>
        <w:pStyle w:val="aa"/>
        <w:ind w:firstLine="851"/>
        <w:jc w:val="both"/>
      </w:pPr>
      <w:r w:rsidRPr="008A3526">
        <w:t>2 рейса с Венесуэлой;</w:t>
      </w:r>
    </w:p>
    <w:p w:rsidR="00423DBC" w:rsidRPr="008A3526" w:rsidRDefault="00423DBC" w:rsidP="008A3526">
      <w:pPr>
        <w:pStyle w:val="aa"/>
        <w:ind w:firstLine="851"/>
        <w:jc w:val="both"/>
      </w:pPr>
      <w:r w:rsidRPr="008A3526">
        <w:t>по 1 рейсу с Сирией, Таджикистаном, Узбекистаном и Шри-Ланкой.</w:t>
      </w:r>
    </w:p>
    <w:p w:rsidR="00423DBC" w:rsidRPr="008A3526" w:rsidRDefault="00423DBC" w:rsidP="008A3526">
      <w:pPr>
        <w:pStyle w:val="aa"/>
        <w:ind w:firstLine="851"/>
        <w:jc w:val="both"/>
      </w:pPr>
      <w:r w:rsidRPr="008A3526">
        <w:t>Также со следующего месяца увеличат число перелетов из Кубы, Белоруссии, Армении, Азербайджана, Египта, ОАЭ в Россию и обратно.</w:t>
      </w:r>
    </w:p>
    <w:p w:rsidR="00423DBC" w:rsidRPr="008A3526" w:rsidRDefault="00423DBC" w:rsidP="008A3526">
      <w:pPr>
        <w:pStyle w:val="aa"/>
        <w:ind w:firstLine="851"/>
        <w:jc w:val="both"/>
      </w:pPr>
      <w:proofErr w:type="gramStart"/>
      <w:r w:rsidRPr="008A3526">
        <w:t>Открывают для международного авиасообщения аэропорты Барнаула, Белгорода, Волгограда, Воронежа, Калуги, Краснодара, Липецка, Нальчика, Оренбурга, Саратова, Сочи, Тюмени и Южно-Сахалинска.</w:t>
      </w:r>
      <w:proofErr w:type="gramEnd"/>
    </w:p>
    <w:p w:rsidR="00423DBC" w:rsidRPr="008A3526" w:rsidRDefault="00423DBC" w:rsidP="008A3526">
      <w:pPr>
        <w:pStyle w:val="aa"/>
        <w:ind w:firstLine="851"/>
        <w:jc w:val="both"/>
      </w:pPr>
      <w:r w:rsidRPr="008A3526">
        <w:t>Напомним, после приезда из-за границы гражданам РФ нужно сдать тест на COVID-19.</w:t>
      </w:r>
    </w:p>
    <w:p w:rsidR="00423DBC" w:rsidRPr="008A3526" w:rsidRDefault="00423DBC" w:rsidP="008A3526">
      <w:pPr>
        <w:pStyle w:val="aa"/>
        <w:ind w:firstLine="851"/>
        <w:jc w:val="both"/>
      </w:pPr>
      <w:r w:rsidRPr="008A3526">
        <w:t>Документ:</w:t>
      </w:r>
      <w:r w:rsidR="000D7BA3">
        <w:t xml:space="preserve"> </w:t>
      </w:r>
      <w:r w:rsidRPr="008A3526">
        <w:t>Информация Правительства РФ от 25.03.2021</w:t>
      </w:r>
      <w:r w:rsidR="000D7BA3">
        <w:t>.</w:t>
      </w:r>
    </w:p>
    <w:p w:rsidR="00E02146" w:rsidRPr="008A3526" w:rsidRDefault="00E02146" w:rsidP="000D3741">
      <w:pPr>
        <w:pStyle w:val="aa"/>
        <w:ind w:firstLine="851"/>
        <w:jc w:val="center"/>
      </w:pPr>
      <w:r w:rsidRPr="000D7BA3">
        <w:rPr>
          <w:u w:val="single"/>
        </w:rPr>
        <w:t>Дистанционная работа: учитываем новые правила</w:t>
      </w:r>
    </w:p>
    <w:p w:rsidR="00E02146" w:rsidRPr="008A3526" w:rsidRDefault="00E02146" w:rsidP="008A3526">
      <w:pPr>
        <w:pStyle w:val="aa"/>
        <w:ind w:firstLine="851"/>
        <w:jc w:val="both"/>
      </w:pPr>
      <w:r w:rsidRPr="008A3526">
        <w:t xml:space="preserve">С </w:t>
      </w:r>
      <w:r w:rsidR="000D3741">
        <w:t>0</w:t>
      </w:r>
      <w:r w:rsidRPr="008A3526">
        <w:t>1</w:t>
      </w:r>
      <w:r w:rsidR="001E3BB5">
        <w:t>.01.2021</w:t>
      </w:r>
      <w:r w:rsidRPr="008A3526">
        <w:t xml:space="preserve"> правила </w:t>
      </w:r>
      <w:proofErr w:type="spellStart"/>
      <w:r w:rsidRPr="008A3526">
        <w:t>удаленки</w:t>
      </w:r>
      <w:proofErr w:type="spellEnd"/>
      <w:r w:rsidRPr="008A3526">
        <w:t xml:space="preserve"> стали проще. Например, появилось больше вариантов режима. Вместе с тем возникли и вопросы: как может чередоваться работа дома и в офисе, чего не стоит указывать в трудовом договоре? На многие вопросы уже ответил </w:t>
      </w:r>
      <w:proofErr w:type="spellStart"/>
      <w:r w:rsidRPr="008A3526">
        <w:t>Роструд</w:t>
      </w:r>
      <w:proofErr w:type="spellEnd"/>
      <w:r w:rsidRPr="008A3526">
        <w:t>. Расскажем, как действовать с учетом изменений и разъяснений.</w:t>
      </w:r>
    </w:p>
    <w:p w:rsidR="00E02146" w:rsidRPr="008A3526" w:rsidRDefault="00E02146" w:rsidP="008A3526">
      <w:pPr>
        <w:pStyle w:val="aa"/>
        <w:ind w:firstLine="851"/>
        <w:jc w:val="both"/>
      </w:pPr>
      <w:r w:rsidRPr="008A3526">
        <w:t xml:space="preserve">Для начала необходимо определить, </w:t>
      </w:r>
      <w:proofErr w:type="gramStart"/>
      <w:r w:rsidRPr="008A3526">
        <w:t>какая</w:t>
      </w:r>
      <w:proofErr w:type="gramEnd"/>
      <w:r w:rsidRPr="008A3526">
        <w:t xml:space="preserve"> </w:t>
      </w:r>
      <w:proofErr w:type="spellStart"/>
      <w:r w:rsidRPr="008A3526">
        <w:t>удаленка</w:t>
      </w:r>
      <w:proofErr w:type="spellEnd"/>
      <w:r w:rsidRPr="008A3526">
        <w:t xml:space="preserve"> вам подходит. Сейчас предусмотрены такие варианты дистанционной работы:</w:t>
      </w:r>
    </w:p>
    <w:p w:rsidR="00E02146" w:rsidRPr="008A3526" w:rsidRDefault="000D3741" w:rsidP="008A3526">
      <w:pPr>
        <w:pStyle w:val="aa"/>
        <w:ind w:firstLine="851"/>
        <w:jc w:val="both"/>
      </w:pPr>
      <w:proofErr w:type="gramStart"/>
      <w:r>
        <w:t>постоянная</w:t>
      </w:r>
      <w:proofErr w:type="gramEnd"/>
      <w:r>
        <w:t xml:space="preserve"> - </w:t>
      </w:r>
      <w:r w:rsidR="00E02146" w:rsidRPr="008A3526">
        <w:t>на все время, пока действует трудовой договор;</w:t>
      </w:r>
    </w:p>
    <w:p w:rsidR="00E02146" w:rsidRPr="008A3526" w:rsidRDefault="000D3741" w:rsidP="008A3526">
      <w:pPr>
        <w:pStyle w:val="aa"/>
        <w:ind w:firstLine="851"/>
        <w:jc w:val="both"/>
      </w:pPr>
      <w:proofErr w:type="gramStart"/>
      <w:r>
        <w:t>непрерывная</w:t>
      </w:r>
      <w:proofErr w:type="gramEnd"/>
      <w:r>
        <w:t xml:space="preserve"> временная -</w:t>
      </w:r>
      <w:r w:rsidR="00E02146" w:rsidRPr="008A3526">
        <w:t xml:space="preserve"> на срок не более полугода;</w:t>
      </w:r>
    </w:p>
    <w:p w:rsidR="00E02146" w:rsidRPr="008A3526" w:rsidRDefault="00F6247C" w:rsidP="008A3526">
      <w:pPr>
        <w:pStyle w:val="aa"/>
        <w:ind w:firstLine="851"/>
        <w:jc w:val="both"/>
      </w:pPr>
      <w:r>
        <w:t>периодическая временная -</w:t>
      </w:r>
      <w:r w:rsidR="00E02146" w:rsidRPr="008A3526">
        <w:t xml:space="preserve"> с чередованием работы дома и в офисе.</w:t>
      </w:r>
    </w:p>
    <w:p w:rsidR="00E02146" w:rsidRPr="008A3526" w:rsidRDefault="00F6247C" w:rsidP="008A3526">
      <w:pPr>
        <w:pStyle w:val="aa"/>
        <w:ind w:firstLine="851"/>
        <w:jc w:val="both"/>
      </w:pPr>
      <w:r>
        <w:t xml:space="preserve">Есть особый вид </w:t>
      </w:r>
      <w:proofErr w:type="spellStart"/>
      <w:r>
        <w:t>дистанционки</w:t>
      </w:r>
      <w:proofErr w:type="spellEnd"/>
      <w:r>
        <w:t>-</w:t>
      </w:r>
      <w:r w:rsidR="00E02146" w:rsidRPr="008A3526">
        <w:t xml:space="preserve">экстренная. Работодатель может по своей инициативе отправить персонал на </w:t>
      </w:r>
      <w:proofErr w:type="spellStart"/>
      <w:r w:rsidR="00E02146" w:rsidRPr="008A3526">
        <w:t>удаленку</w:t>
      </w:r>
      <w:proofErr w:type="spellEnd"/>
      <w:r w:rsidR="00E02146" w:rsidRPr="008A3526">
        <w:t xml:space="preserve"> в исключительных случаях, в том числе при эпидемии. Если работника невозможно перевести, за время простоя придется выплачивать минимум две трети тарифной ставки (оклада).</w:t>
      </w:r>
    </w:p>
    <w:p w:rsidR="00E02146" w:rsidRPr="008A3526" w:rsidRDefault="00E02146" w:rsidP="008A3526">
      <w:pPr>
        <w:pStyle w:val="aa"/>
        <w:ind w:firstLine="851"/>
        <w:jc w:val="both"/>
      </w:pPr>
      <w:r w:rsidRPr="008A3526">
        <w:t>Подробности:</w:t>
      </w:r>
    </w:p>
    <w:p w:rsidR="00E02146" w:rsidRPr="008A3526" w:rsidRDefault="00E02146" w:rsidP="008A3526">
      <w:pPr>
        <w:pStyle w:val="aa"/>
        <w:ind w:firstLine="851"/>
        <w:jc w:val="both"/>
      </w:pPr>
      <w:r w:rsidRPr="008A3526">
        <w:t>Как временно перевести работника на дистанционную работу по инициативе работодателя</w:t>
      </w:r>
    </w:p>
    <w:p w:rsidR="00E02146" w:rsidRPr="008A3526" w:rsidRDefault="00E02146" w:rsidP="008A3526">
      <w:pPr>
        <w:pStyle w:val="aa"/>
        <w:ind w:firstLine="851"/>
        <w:jc w:val="both"/>
      </w:pPr>
      <w:r w:rsidRPr="008A3526">
        <w:t>Как составить положение о временном переводе работников на дистанционную работу в связи с пандемией</w:t>
      </w:r>
    </w:p>
    <w:p w:rsidR="00E02146" w:rsidRPr="008A3526" w:rsidRDefault="00E02146" w:rsidP="008A3526">
      <w:pPr>
        <w:pStyle w:val="aa"/>
        <w:ind w:firstLine="851"/>
        <w:jc w:val="both"/>
      </w:pPr>
      <w:r w:rsidRPr="008A3526">
        <w:t>Образец положения о временном переводе работников на дистанционную работу в связи с пандемией</w:t>
      </w:r>
    </w:p>
    <w:p w:rsidR="00E02146" w:rsidRPr="008A3526" w:rsidRDefault="00E02146" w:rsidP="008A3526">
      <w:pPr>
        <w:pStyle w:val="aa"/>
        <w:ind w:firstLine="851"/>
        <w:jc w:val="both"/>
      </w:pPr>
      <w:r w:rsidRPr="008A3526">
        <w:t xml:space="preserve">Как оформить простой из-за невозможности временного перевода работников на </w:t>
      </w:r>
      <w:proofErr w:type="spellStart"/>
      <w:r w:rsidRPr="008A3526">
        <w:t>дистанционку</w:t>
      </w:r>
      <w:proofErr w:type="spellEnd"/>
      <w:r w:rsidRPr="008A3526">
        <w:t xml:space="preserve"> во время пандемии</w:t>
      </w:r>
    </w:p>
    <w:p w:rsidR="00E02146" w:rsidRPr="008A3526" w:rsidRDefault="00E02146" w:rsidP="008A3526">
      <w:pPr>
        <w:pStyle w:val="aa"/>
        <w:ind w:firstLine="851"/>
        <w:jc w:val="both"/>
      </w:pPr>
      <w:r w:rsidRPr="008A3526">
        <w:t xml:space="preserve">Остальные виды </w:t>
      </w:r>
      <w:proofErr w:type="spellStart"/>
      <w:r w:rsidRPr="008A3526">
        <w:t>удаленки</w:t>
      </w:r>
      <w:proofErr w:type="spellEnd"/>
      <w:r w:rsidRPr="008A3526">
        <w:t xml:space="preserve"> закрепляют в трудовом договоре или </w:t>
      </w:r>
      <w:proofErr w:type="spellStart"/>
      <w:r w:rsidRPr="008A3526">
        <w:t>допсоглашении</w:t>
      </w:r>
      <w:proofErr w:type="spellEnd"/>
      <w:r w:rsidRPr="008A3526">
        <w:t>. Для этого можно обменяться электронными документами. Их бумажные экземпляры нужно направить работнику только по его письменному заявлению.</w:t>
      </w:r>
    </w:p>
    <w:p w:rsidR="00E02146" w:rsidRPr="008A3526" w:rsidRDefault="00E02146" w:rsidP="008A3526">
      <w:pPr>
        <w:pStyle w:val="aa"/>
        <w:ind w:firstLine="851"/>
        <w:jc w:val="both"/>
      </w:pPr>
      <w:r w:rsidRPr="008A3526">
        <w:t xml:space="preserve">Трудовой договор, </w:t>
      </w:r>
      <w:proofErr w:type="spellStart"/>
      <w:r w:rsidRPr="008A3526">
        <w:t>допсоглашение</w:t>
      </w:r>
      <w:proofErr w:type="spellEnd"/>
      <w:r w:rsidRPr="008A3526">
        <w:t xml:space="preserve">, договор о </w:t>
      </w:r>
      <w:proofErr w:type="spellStart"/>
      <w:r w:rsidRPr="008A3526">
        <w:t>матответственности</w:t>
      </w:r>
      <w:proofErr w:type="spellEnd"/>
      <w:r w:rsidRPr="008A3526">
        <w:t xml:space="preserve"> и ученический договор работодатель подписывает </w:t>
      </w:r>
      <w:proofErr w:type="gramStart"/>
      <w:r w:rsidRPr="008A3526">
        <w:t>усиленной</w:t>
      </w:r>
      <w:proofErr w:type="gramEnd"/>
      <w:r w:rsidRPr="008A3526">
        <w:t xml:space="preserve"> квал</w:t>
      </w:r>
      <w:r w:rsidR="00D12174">
        <w:t>ифицированной ЭП, а работник -</w:t>
      </w:r>
      <w:r w:rsidRPr="008A3526">
        <w:t xml:space="preserve"> аналогичной или усиленной неквалифицированной ЭП. В остальном стороны могут взаимодействовать в любой форме, которая позволяет зафиксировать получение документов.</w:t>
      </w:r>
    </w:p>
    <w:p w:rsidR="006C7438" w:rsidRDefault="00E02146" w:rsidP="008A3526">
      <w:pPr>
        <w:pStyle w:val="aa"/>
        <w:ind w:firstLine="851"/>
        <w:jc w:val="both"/>
      </w:pPr>
      <w:r w:rsidRPr="008A3526">
        <w:t xml:space="preserve">Совет </w:t>
      </w:r>
      <w:proofErr w:type="spellStart"/>
      <w:r w:rsidRPr="008A3526">
        <w:t>Роструда</w:t>
      </w:r>
      <w:r w:rsidR="00D12174">
        <w:t>.</w:t>
      </w:r>
      <w:proofErr w:type="spellEnd"/>
    </w:p>
    <w:p w:rsidR="00E02146" w:rsidRPr="008A3526" w:rsidRDefault="00E02146" w:rsidP="008A3526">
      <w:pPr>
        <w:pStyle w:val="aa"/>
        <w:ind w:firstLine="851"/>
        <w:jc w:val="both"/>
      </w:pPr>
      <w:r w:rsidRPr="008A3526">
        <w:t>Для удобства можно действовать так: работник приезжает в офис для заключения трудового договора и подписания документов при приеме и увольнении, а остальное взаимодействие с работодателем происходит в электронном виде.</w:t>
      </w:r>
    </w:p>
    <w:p w:rsidR="00624D7E" w:rsidRDefault="00751822" w:rsidP="00624D7E">
      <w:pPr>
        <w:pStyle w:val="aa"/>
        <w:ind w:firstLine="851"/>
        <w:jc w:val="center"/>
      </w:pPr>
      <w:r w:rsidRPr="00624D7E">
        <w:rPr>
          <w:u w:val="single"/>
        </w:rPr>
        <w:t>Правительство проиндексирует социальные пенсии на 3,4%</w:t>
      </w:r>
    </w:p>
    <w:p w:rsidR="00751822" w:rsidRDefault="00751822" w:rsidP="00751822">
      <w:pPr>
        <w:pStyle w:val="aa"/>
        <w:ind w:firstLine="851"/>
        <w:jc w:val="both"/>
      </w:pPr>
      <w:r>
        <w:t xml:space="preserve"> </w:t>
      </w:r>
      <w:r w:rsidR="00624D7E">
        <w:t>С 01.04</w:t>
      </w:r>
      <w:r w:rsidR="0005232B">
        <w:t>.2021</w:t>
      </w:r>
      <w:r>
        <w:t xml:space="preserve"> социальные пенсии будут проиндексированы на 3,4%. Такое постановление утвердило правительство.</w:t>
      </w:r>
    </w:p>
    <w:p w:rsidR="00751822" w:rsidRDefault="00751822" w:rsidP="00751822">
      <w:pPr>
        <w:pStyle w:val="aa"/>
        <w:ind w:firstLine="851"/>
        <w:jc w:val="both"/>
      </w:pPr>
    </w:p>
    <w:p w:rsidR="00751822" w:rsidRDefault="00751822" w:rsidP="00751822">
      <w:pPr>
        <w:pStyle w:val="aa"/>
        <w:ind w:firstLine="851"/>
        <w:jc w:val="both"/>
      </w:pPr>
      <w:r>
        <w:lastRenderedPageBreak/>
        <w:t xml:space="preserve">В бюджете Пенсионного фонда на эти цели предусмотрено 12,8 </w:t>
      </w:r>
      <w:proofErr w:type="gramStart"/>
      <w:r>
        <w:t>млрд</w:t>
      </w:r>
      <w:proofErr w:type="gramEnd"/>
      <w:r>
        <w:t xml:space="preserve"> рублей. Решение в целом затронет более 3,9 миллиона человек.</w:t>
      </w:r>
    </w:p>
    <w:p w:rsidR="00751822" w:rsidRDefault="00751822" w:rsidP="00751822">
      <w:pPr>
        <w:pStyle w:val="aa"/>
        <w:ind w:firstLine="851"/>
        <w:jc w:val="both"/>
      </w:pPr>
      <w:r>
        <w:t>Социальные пенсии получают граждане, у которых нет достаточного подтверждённого стажа для начисления страховой пенсии. Кроме того, эти выплаты положены людям с инвалидностью и тем, кто потерял кормильца.</w:t>
      </w:r>
    </w:p>
    <w:p w:rsidR="00751822" w:rsidRDefault="00751822" w:rsidP="00751822">
      <w:pPr>
        <w:pStyle w:val="aa"/>
        <w:ind w:firstLine="851"/>
        <w:jc w:val="both"/>
      </w:pPr>
      <w:r>
        <w:t>Размер индексации рассчитывается исходя из величины прожиточного минимума пенсионера за два предыдущих года. После её проведения средний размер социальной пенсии составит 10183 рубля.</w:t>
      </w:r>
    </w:p>
    <w:p w:rsidR="00751822" w:rsidRDefault="00751822" w:rsidP="00751822">
      <w:pPr>
        <w:pStyle w:val="aa"/>
        <w:ind w:firstLine="851"/>
        <w:jc w:val="both"/>
      </w:pPr>
      <w:r>
        <w:t>Источник:</w:t>
      </w:r>
      <w:r w:rsidR="00624D7E">
        <w:t xml:space="preserve"> </w:t>
      </w:r>
      <w:r>
        <w:t>http://government.ru/.</w:t>
      </w:r>
    </w:p>
    <w:p w:rsidR="00F37BDB" w:rsidRPr="00624D7E" w:rsidRDefault="00F37BDB" w:rsidP="00624D7E">
      <w:pPr>
        <w:pStyle w:val="aa"/>
        <w:ind w:firstLine="851"/>
        <w:jc w:val="center"/>
        <w:rPr>
          <w:u w:val="single"/>
        </w:rPr>
      </w:pPr>
      <w:proofErr w:type="spellStart"/>
      <w:r w:rsidRPr="00624D7E">
        <w:rPr>
          <w:u w:val="single"/>
        </w:rPr>
        <w:t>Рособрнадзор</w:t>
      </w:r>
      <w:proofErr w:type="spellEnd"/>
      <w:r w:rsidRPr="00624D7E">
        <w:rPr>
          <w:u w:val="single"/>
        </w:rPr>
        <w:t xml:space="preserve"> назвал даты контрольных работ для 9-классников</w:t>
      </w:r>
    </w:p>
    <w:p w:rsidR="00F37BDB" w:rsidRDefault="00F37BDB" w:rsidP="00F37BDB">
      <w:pPr>
        <w:pStyle w:val="aa"/>
        <w:ind w:firstLine="851"/>
        <w:jc w:val="both"/>
      </w:pPr>
      <w:proofErr w:type="spellStart"/>
      <w:r>
        <w:t>Рособрнадзор</w:t>
      </w:r>
      <w:proofErr w:type="spellEnd"/>
      <w:r>
        <w:t xml:space="preserve"> опубликовал сроки проведения контрольных работ для 9-х классов, которые пройдут в 2021 году во всех регионах.</w:t>
      </w:r>
    </w:p>
    <w:p w:rsidR="00624D7E" w:rsidRDefault="00F37BDB" w:rsidP="00F37BDB">
      <w:pPr>
        <w:pStyle w:val="aa"/>
        <w:ind w:firstLine="851"/>
        <w:jc w:val="both"/>
      </w:pPr>
      <w:r>
        <w:t xml:space="preserve">В этом году ОГЭ по предметам по выбору отменяется: вместо этих экзаменов для девятиклассников предусмотрены контрольные работы. </w:t>
      </w:r>
      <w:proofErr w:type="gramStart"/>
      <w:r>
        <w:t>Доступные предметы: физика, химия, биология, литература, география, история, обществознание, иностранные языки (английский, французский, немецкий и испанский), информатика.</w:t>
      </w:r>
      <w:proofErr w:type="gramEnd"/>
    </w:p>
    <w:p w:rsidR="00F37BDB" w:rsidRDefault="00F37BDB" w:rsidP="00F37BDB">
      <w:pPr>
        <w:pStyle w:val="aa"/>
        <w:ind w:firstLine="851"/>
        <w:jc w:val="both"/>
      </w:pPr>
      <w:r>
        <w:t xml:space="preserve">- Девятиклассники напишут контрольную работу по одному предмету по своему выбору. Прохождение контрольных работ по нескольким предметам не предусматривается, - уточняет </w:t>
      </w:r>
      <w:proofErr w:type="spellStart"/>
      <w:r>
        <w:t>Рособрнадзор</w:t>
      </w:r>
      <w:proofErr w:type="spellEnd"/>
      <w:r>
        <w:t>. - Обучающиеся должны будут подать заявления на участие в контрольной работе с указанием выбранного предмета до 30 апреля 2021 года (включительно). Заявление подается в своей школе. До завершения этого срока участники вправе изменить выбранный ранее учебный предмет, подав повторное заявление.</w:t>
      </w:r>
    </w:p>
    <w:p w:rsidR="00F37BDB" w:rsidRDefault="00F37BDB" w:rsidP="00F37BDB">
      <w:pPr>
        <w:pStyle w:val="aa"/>
        <w:ind w:firstLine="851"/>
        <w:jc w:val="both"/>
      </w:pPr>
      <w:r>
        <w:t>Даты - единые для всей страны:</w:t>
      </w:r>
    </w:p>
    <w:p w:rsidR="00F37BDB" w:rsidRDefault="00F37BDB" w:rsidP="00F37BDB">
      <w:pPr>
        <w:pStyle w:val="aa"/>
        <w:ind w:firstLine="851"/>
        <w:jc w:val="both"/>
      </w:pPr>
      <w:r>
        <w:t>18 мая - биология, литература, информатика и ИКТ;</w:t>
      </w:r>
    </w:p>
    <w:p w:rsidR="00F37BDB" w:rsidRDefault="00F37BDB" w:rsidP="00F37BDB">
      <w:pPr>
        <w:pStyle w:val="aa"/>
        <w:ind w:firstLine="851"/>
        <w:jc w:val="both"/>
      </w:pPr>
      <w:r>
        <w:t>19 мая - физика, история;</w:t>
      </w:r>
    </w:p>
    <w:p w:rsidR="00F37BDB" w:rsidRDefault="00F37BDB" w:rsidP="00F37BDB">
      <w:pPr>
        <w:pStyle w:val="aa"/>
        <w:ind w:firstLine="851"/>
        <w:jc w:val="both"/>
      </w:pPr>
      <w:r>
        <w:t>20 мая - обществознание, химия;</w:t>
      </w:r>
    </w:p>
    <w:p w:rsidR="00F37BDB" w:rsidRDefault="00F37BDB" w:rsidP="00F37BDB">
      <w:pPr>
        <w:pStyle w:val="aa"/>
        <w:ind w:firstLine="851"/>
        <w:jc w:val="both"/>
      </w:pPr>
      <w:r>
        <w:t>21 мая - география, иностранные языки.</w:t>
      </w:r>
    </w:p>
    <w:p w:rsidR="00F37BDB" w:rsidRDefault="00F37BDB" w:rsidP="00F37BDB">
      <w:pPr>
        <w:pStyle w:val="aa"/>
        <w:ind w:firstLine="851"/>
        <w:jc w:val="both"/>
      </w:pPr>
      <w:r>
        <w:t>- Результат контрольной не будет условием допуска 9-классников к государственной итоговой аттестации, однако может быть использован при зачислении в профильные классы, - подчеркивает ведомство. - Рекомендуется выставление полученной за контрольную работу отметки в классный журнал.</w:t>
      </w:r>
    </w:p>
    <w:p w:rsidR="00F37BDB" w:rsidRDefault="00F37BDB" w:rsidP="00F37BDB">
      <w:pPr>
        <w:pStyle w:val="aa"/>
        <w:ind w:firstLine="851"/>
        <w:jc w:val="both"/>
      </w:pPr>
      <w:r>
        <w:t>Какие будут задания? Варианты контрольной работы будут составляться по моделям ОГЭ 2021 года: они опубликованы на сайте Федерального института педагогических измерений.</w:t>
      </w:r>
    </w:p>
    <w:p w:rsidR="00F37BDB" w:rsidRDefault="00F37BDB" w:rsidP="00F37BDB">
      <w:pPr>
        <w:pStyle w:val="aa"/>
        <w:ind w:firstLine="851"/>
        <w:jc w:val="both"/>
      </w:pPr>
      <w:r>
        <w:t xml:space="preserve">Писать контрольные работы девятиклассники будут в своих школах. Порядок организации, проведения и проверки контрольных работ определяется региональными министерствами образования. Контрольная работа начинается в 10:00 по местному времени. </w:t>
      </w:r>
    </w:p>
    <w:p w:rsidR="003C46F4" w:rsidRPr="008A3526" w:rsidRDefault="00F37BDB" w:rsidP="008A3526">
      <w:pPr>
        <w:pStyle w:val="aa"/>
        <w:ind w:firstLine="851"/>
        <w:jc w:val="both"/>
      </w:pPr>
      <w:r>
        <w:t>Источник:</w:t>
      </w:r>
      <w:r w:rsidR="00624D7E">
        <w:t xml:space="preserve"> </w:t>
      </w:r>
      <w:hyperlink r:id="rId7" w:history="1">
        <w:r w:rsidR="00596B24" w:rsidRPr="002D6FC7">
          <w:rPr>
            <w:rStyle w:val="af5"/>
          </w:rPr>
          <w:t>https://rg.ru/</w:t>
        </w:r>
      </w:hyperlink>
      <w:r w:rsidR="00624D7E">
        <w:t>.</w:t>
      </w:r>
    </w:p>
    <w:sectPr w:rsidR="003C46F4" w:rsidRPr="008A35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949" w:rsidRDefault="00BD3949" w:rsidP="00D2648D">
      <w:pPr>
        <w:spacing w:after="0" w:line="240" w:lineRule="auto"/>
      </w:pPr>
      <w:r>
        <w:separator/>
      </w:r>
    </w:p>
  </w:endnote>
  <w:endnote w:type="continuationSeparator" w:id="0">
    <w:p w:rsidR="00BD3949" w:rsidRDefault="00BD3949" w:rsidP="00D26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48D" w:rsidRDefault="00D2648D">
    <w:pPr>
      <w:pStyle w:val="af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795059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D2648D" w:rsidRDefault="00D2648D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D2648D" w:rsidRDefault="00D2648D">
    <w:pPr>
      <w:pStyle w:val="af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48D" w:rsidRDefault="00D2648D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949" w:rsidRDefault="00BD3949" w:rsidP="00D2648D">
      <w:pPr>
        <w:spacing w:after="0" w:line="240" w:lineRule="auto"/>
      </w:pPr>
      <w:r>
        <w:separator/>
      </w:r>
    </w:p>
  </w:footnote>
  <w:footnote w:type="continuationSeparator" w:id="0">
    <w:p w:rsidR="00BD3949" w:rsidRDefault="00BD3949" w:rsidP="00D264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48D" w:rsidRDefault="00D2648D">
    <w:pPr>
      <w:pStyle w:val="af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48D" w:rsidRDefault="00D2648D">
    <w:pPr>
      <w:pStyle w:val="af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48D" w:rsidRDefault="00D2648D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C66"/>
    <w:rsid w:val="0005232B"/>
    <w:rsid w:val="000D3741"/>
    <w:rsid w:val="000D7BA3"/>
    <w:rsid w:val="001D544B"/>
    <w:rsid w:val="001E3BB5"/>
    <w:rsid w:val="00206CA6"/>
    <w:rsid w:val="00235831"/>
    <w:rsid w:val="00241438"/>
    <w:rsid w:val="002A2C66"/>
    <w:rsid w:val="003C46F4"/>
    <w:rsid w:val="00423DBC"/>
    <w:rsid w:val="005067BF"/>
    <w:rsid w:val="005938D0"/>
    <w:rsid w:val="00596B24"/>
    <w:rsid w:val="00612E27"/>
    <w:rsid w:val="00624D7E"/>
    <w:rsid w:val="006B0574"/>
    <w:rsid w:val="006C7438"/>
    <w:rsid w:val="006D0CA9"/>
    <w:rsid w:val="006F75D7"/>
    <w:rsid w:val="00750505"/>
    <w:rsid w:val="00751822"/>
    <w:rsid w:val="00880F53"/>
    <w:rsid w:val="008A3526"/>
    <w:rsid w:val="008B13FD"/>
    <w:rsid w:val="008D1E32"/>
    <w:rsid w:val="008E1841"/>
    <w:rsid w:val="008F02BD"/>
    <w:rsid w:val="009105E0"/>
    <w:rsid w:val="00922F1C"/>
    <w:rsid w:val="009522DF"/>
    <w:rsid w:val="009C4562"/>
    <w:rsid w:val="00B5303D"/>
    <w:rsid w:val="00B73ECA"/>
    <w:rsid w:val="00BD3949"/>
    <w:rsid w:val="00BF6D90"/>
    <w:rsid w:val="00C75D04"/>
    <w:rsid w:val="00D12174"/>
    <w:rsid w:val="00D2648D"/>
    <w:rsid w:val="00D26A09"/>
    <w:rsid w:val="00D66051"/>
    <w:rsid w:val="00E02146"/>
    <w:rsid w:val="00E16508"/>
    <w:rsid w:val="00E92972"/>
    <w:rsid w:val="00F140FE"/>
    <w:rsid w:val="00F37BDB"/>
    <w:rsid w:val="00F47B45"/>
    <w:rsid w:val="00F6247C"/>
    <w:rsid w:val="00F97F56"/>
    <w:rsid w:val="00FE3C7B"/>
    <w:rsid w:val="00FF0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7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B0574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206C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206C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206C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6B0574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link w:val="60"/>
    <w:qFormat/>
    <w:rsid w:val="006B0574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206CA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206CA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206CA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06CA6"/>
    <w:rPr>
      <w:sz w:val="28"/>
    </w:rPr>
  </w:style>
  <w:style w:type="character" w:customStyle="1" w:styleId="20">
    <w:name w:val="Заголовок 2 Знак"/>
    <w:link w:val="2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link w:val="4"/>
    <w:semiHidden/>
    <w:rsid w:val="00206CA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6B0574"/>
    <w:rPr>
      <w:rFonts w:ascii="Arial Narrow" w:hAnsi="Arial Narrow"/>
      <w:b/>
      <w:sz w:val="36"/>
    </w:rPr>
  </w:style>
  <w:style w:type="character" w:customStyle="1" w:styleId="60">
    <w:name w:val="Заголовок 6 Знак"/>
    <w:link w:val="6"/>
    <w:rsid w:val="00206CA6"/>
    <w:rPr>
      <w:rFonts w:ascii="Arial" w:hAnsi="Arial"/>
      <w:b/>
      <w:sz w:val="16"/>
    </w:rPr>
  </w:style>
  <w:style w:type="character" w:customStyle="1" w:styleId="70">
    <w:name w:val="Заголовок 7 Знак"/>
    <w:link w:val="7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link w:val="8"/>
    <w:semiHidden/>
    <w:rsid w:val="00206CA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caption"/>
    <w:basedOn w:val="a"/>
    <w:next w:val="a"/>
    <w:semiHidden/>
    <w:unhideWhenUsed/>
    <w:qFormat/>
    <w:rsid w:val="00206CA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qFormat/>
    <w:rsid w:val="00206C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rsid w:val="00206C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qFormat/>
    <w:rsid w:val="00206C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link w:val="a6"/>
    <w:rsid w:val="00206C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qFormat/>
    <w:rsid w:val="00206CA6"/>
    <w:rPr>
      <w:b/>
      <w:bCs/>
    </w:rPr>
  </w:style>
  <w:style w:type="character" w:styleId="a9">
    <w:name w:val="Emphasis"/>
    <w:qFormat/>
    <w:rsid w:val="00206CA6"/>
    <w:rPr>
      <w:i/>
      <w:iCs/>
    </w:rPr>
  </w:style>
  <w:style w:type="paragraph" w:styleId="aa">
    <w:name w:val="No Spacing"/>
    <w:link w:val="ab"/>
    <w:uiPriority w:val="1"/>
    <w:qFormat/>
    <w:rsid w:val="00206CA6"/>
    <w:pPr>
      <w:spacing w:after="0" w:line="240" w:lineRule="auto"/>
    </w:pPr>
    <w:rPr>
      <w:sz w:val="24"/>
      <w:szCs w:val="24"/>
    </w:rPr>
  </w:style>
  <w:style w:type="character" w:customStyle="1" w:styleId="ab">
    <w:name w:val="Без интервала Знак"/>
    <w:link w:val="aa"/>
    <w:uiPriority w:val="1"/>
    <w:rsid w:val="00206CA6"/>
    <w:rPr>
      <w:sz w:val="24"/>
      <w:szCs w:val="24"/>
    </w:rPr>
  </w:style>
  <w:style w:type="paragraph" w:styleId="ac">
    <w:name w:val="List Paragraph"/>
    <w:basedOn w:val="a"/>
    <w:uiPriority w:val="34"/>
    <w:qFormat/>
    <w:rsid w:val="00206CA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06CA6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206CA6"/>
    <w:rPr>
      <w:i/>
      <w:iCs/>
      <w:color w:val="000000" w:themeColor="text1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206CA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link w:val="ad"/>
    <w:uiPriority w:val="30"/>
    <w:rsid w:val="00206CA6"/>
    <w:rPr>
      <w:b/>
      <w:bCs/>
      <w:i/>
      <w:iCs/>
      <w:color w:val="4F81BD" w:themeColor="accent1"/>
      <w:sz w:val="24"/>
      <w:szCs w:val="24"/>
    </w:rPr>
  </w:style>
  <w:style w:type="character" w:styleId="af">
    <w:name w:val="Subtle Emphasis"/>
    <w:uiPriority w:val="19"/>
    <w:qFormat/>
    <w:rsid w:val="00206CA6"/>
    <w:rPr>
      <w:i/>
      <w:iCs/>
      <w:color w:val="808080" w:themeColor="text1" w:themeTint="7F"/>
    </w:rPr>
  </w:style>
  <w:style w:type="character" w:styleId="af0">
    <w:name w:val="Intense Emphasis"/>
    <w:uiPriority w:val="21"/>
    <w:qFormat/>
    <w:rsid w:val="00206CA6"/>
    <w:rPr>
      <w:b/>
      <w:bCs/>
      <w:i/>
      <w:iCs/>
      <w:color w:val="4F81BD" w:themeColor="accent1"/>
    </w:rPr>
  </w:style>
  <w:style w:type="character" w:styleId="af1">
    <w:name w:val="Subtle Reference"/>
    <w:uiPriority w:val="31"/>
    <w:qFormat/>
    <w:rsid w:val="00206CA6"/>
    <w:rPr>
      <w:smallCaps/>
      <w:color w:val="C0504D" w:themeColor="accent2"/>
      <w:u w:val="single"/>
    </w:rPr>
  </w:style>
  <w:style w:type="character" w:styleId="af2">
    <w:name w:val="Intense Reference"/>
    <w:uiPriority w:val="32"/>
    <w:qFormat/>
    <w:rsid w:val="00206CA6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uiPriority w:val="33"/>
    <w:qFormat/>
    <w:rsid w:val="00206CA6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206CA6"/>
    <w:pPr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styleId="af5">
    <w:name w:val="Hyperlink"/>
    <w:basedOn w:val="a0"/>
    <w:uiPriority w:val="99"/>
    <w:unhideWhenUsed/>
    <w:rsid w:val="00596B24"/>
    <w:rPr>
      <w:color w:val="0000FF" w:themeColor="hyperlink"/>
      <w:u w:val="single"/>
    </w:rPr>
  </w:style>
  <w:style w:type="paragraph" w:styleId="af6">
    <w:name w:val="header"/>
    <w:basedOn w:val="a"/>
    <w:link w:val="af7"/>
    <w:uiPriority w:val="99"/>
    <w:unhideWhenUsed/>
    <w:rsid w:val="00D26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D2648D"/>
    <w:rPr>
      <w:sz w:val="24"/>
      <w:szCs w:val="24"/>
    </w:rPr>
  </w:style>
  <w:style w:type="paragraph" w:styleId="af8">
    <w:name w:val="footer"/>
    <w:basedOn w:val="a"/>
    <w:link w:val="af9"/>
    <w:uiPriority w:val="99"/>
    <w:unhideWhenUsed/>
    <w:rsid w:val="00D26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D2648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7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B0574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206C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206C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206C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6B0574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link w:val="60"/>
    <w:qFormat/>
    <w:rsid w:val="006B0574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206CA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206CA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206CA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06CA6"/>
    <w:rPr>
      <w:sz w:val="28"/>
    </w:rPr>
  </w:style>
  <w:style w:type="character" w:customStyle="1" w:styleId="20">
    <w:name w:val="Заголовок 2 Знак"/>
    <w:link w:val="2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link w:val="4"/>
    <w:semiHidden/>
    <w:rsid w:val="00206CA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6B0574"/>
    <w:rPr>
      <w:rFonts w:ascii="Arial Narrow" w:hAnsi="Arial Narrow"/>
      <w:b/>
      <w:sz w:val="36"/>
    </w:rPr>
  </w:style>
  <w:style w:type="character" w:customStyle="1" w:styleId="60">
    <w:name w:val="Заголовок 6 Знак"/>
    <w:link w:val="6"/>
    <w:rsid w:val="00206CA6"/>
    <w:rPr>
      <w:rFonts w:ascii="Arial" w:hAnsi="Arial"/>
      <w:b/>
      <w:sz w:val="16"/>
    </w:rPr>
  </w:style>
  <w:style w:type="character" w:customStyle="1" w:styleId="70">
    <w:name w:val="Заголовок 7 Знак"/>
    <w:link w:val="7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link w:val="8"/>
    <w:semiHidden/>
    <w:rsid w:val="00206CA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caption"/>
    <w:basedOn w:val="a"/>
    <w:next w:val="a"/>
    <w:semiHidden/>
    <w:unhideWhenUsed/>
    <w:qFormat/>
    <w:rsid w:val="00206CA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qFormat/>
    <w:rsid w:val="00206C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rsid w:val="00206C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qFormat/>
    <w:rsid w:val="00206C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link w:val="a6"/>
    <w:rsid w:val="00206C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qFormat/>
    <w:rsid w:val="00206CA6"/>
    <w:rPr>
      <w:b/>
      <w:bCs/>
    </w:rPr>
  </w:style>
  <w:style w:type="character" w:styleId="a9">
    <w:name w:val="Emphasis"/>
    <w:qFormat/>
    <w:rsid w:val="00206CA6"/>
    <w:rPr>
      <w:i/>
      <w:iCs/>
    </w:rPr>
  </w:style>
  <w:style w:type="paragraph" w:styleId="aa">
    <w:name w:val="No Spacing"/>
    <w:link w:val="ab"/>
    <w:uiPriority w:val="1"/>
    <w:qFormat/>
    <w:rsid w:val="00206CA6"/>
    <w:pPr>
      <w:spacing w:after="0" w:line="240" w:lineRule="auto"/>
    </w:pPr>
    <w:rPr>
      <w:sz w:val="24"/>
      <w:szCs w:val="24"/>
    </w:rPr>
  </w:style>
  <w:style w:type="character" w:customStyle="1" w:styleId="ab">
    <w:name w:val="Без интервала Знак"/>
    <w:link w:val="aa"/>
    <w:uiPriority w:val="1"/>
    <w:rsid w:val="00206CA6"/>
    <w:rPr>
      <w:sz w:val="24"/>
      <w:szCs w:val="24"/>
    </w:rPr>
  </w:style>
  <w:style w:type="paragraph" w:styleId="ac">
    <w:name w:val="List Paragraph"/>
    <w:basedOn w:val="a"/>
    <w:uiPriority w:val="34"/>
    <w:qFormat/>
    <w:rsid w:val="00206CA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06CA6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206CA6"/>
    <w:rPr>
      <w:i/>
      <w:iCs/>
      <w:color w:val="000000" w:themeColor="text1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206CA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link w:val="ad"/>
    <w:uiPriority w:val="30"/>
    <w:rsid w:val="00206CA6"/>
    <w:rPr>
      <w:b/>
      <w:bCs/>
      <w:i/>
      <w:iCs/>
      <w:color w:val="4F81BD" w:themeColor="accent1"/>
      <w:sz w:val="24"/>
      <w:szCs w:val="24"/>
    </w:rPr>
  </w:style>
  <w:style w:type="character" w:styleId="af">
    <w:name w:val="Subtle Emphasis"/>
    <w:uiPriority w:val="19"/>
    <w:qFormat/>
    <w:rsid w:val="00206CA6"/>
    <w:rPr>
      <w:i/>
      <w:iCs/>
      <w:color w:val="808080" w:themeColor="text1" w:themeTint="7F"/>
    </w:rPr>
  </w:style>
  <w:style w:type="character" w:styleId="af0">
    <w:name w:val="Intense Emphasis"/>
    <w:uiPriority w:val="21"/>
    <w:qFormat/>
    <w:rsid w:val="00206CA6"/>
    <w:rPr>
      <w:b/>
      <w:bCs/>
      <w:i/>
      <w:iCs/>
      <w:color w:val="4F81BD" w:themeColor="accent1"/>
    </w:rPr>
  </w:style>
  <w:style w:type="character" w:styleId="af1">
    <w:name w:val="Subtle Reference"/>
    <w:uiPriority w:val="31"/>
    <w:qFormat/>
    <w:rsid w:val="00206CA6"/>
    <w:rPr>
      <w:smallCaps/>
      <w:color w:val="C0504D" w:themeColor="accent2"/>
      <w:u w:val="single"/>
    </w:rPr>
  </w:style>
  <w:style w:type="character" w:styleId="af2">
    <w:name w:val="Intense Reference"/>
    <w:uiPriority w:val="32"/>
    <w:qFormat/>
    <w:rsid w:val="00206CA6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uiPriority w:val="33"/>
    <w:qFormat/>
    <w:rsid w:val="00206CA6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206CA6"/>
    <w:pPr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styleId="af5">
    <w:name w:val="Hyperlink"/>
    <w:basedOn w:val="a0"/>
    <w:uiPriority w:val="99"/>
    <w:unhideWhenUsed/>
    <w:rsid w:val="00596B24"/>
    <w:rPr>
      <w:color w:val="0000FF" w:themeColor="hyperlink"/>
      <w:u w:val="single"/>
    </w:rPr>
  </w:style>
  <w:style w:type="paragraph" w:styleId="af6">
    <w:name w:val="header"/>
    <w:basedOn w:val="a"/>
    <w:link w:val="af7"/>
    <w:uiPriority w:val="99"/>
    <w:unhideWhenUsed/>
    <w:rsid w:val="00D26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D2648D"/>
    <w:rPr>
      <w:sz w:val="24"/>
      <w:szCs w:val="24"/>
    </w:rPr>
  </w:style>
  <w:style w:type="paragraph" w:styleId="af8">
    <w:name w:val="footer"/>
    <w:basedOn w:val="a"/>
    <w:link w:val="af9"/>
    <w:uiPriority w:val="99"/>
    <w:unhideWhenUsed/>
    <w:rsid w:val="00D264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D2648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rg.ru/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6</Pages>
  <Words>2611</Words>
  <Characters>14888</Characters>
  <Application>Microsoft Office Word</Application>
  <DocSecurity>0</DocSecurity>
  <Lines>124</Lines>
  <Paragraphs>34</Paragraphs>
  <ScaleCrop>false</ScaleCrop>
  <Company/>
  <LinksUpToDate>false</LinksUpToDate>
  <CharactersWithSpaces>17465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83</cp:revision>
  <dcterms:created xsi:type="dcterms:W3CDTF">2021-03-28T15:20:00Z</dcterms:created>
  <dcterms:modified xsi:type="dcterms:W3CDTF">2021-03-29T12:55:00Z</dcterms:modified>
</cp:coreProperties>
</file>