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56" w:rsidRDefault="00F97F56"/>
    <w:p w:rsidR="00345967" w:rsidRDefault="00345967" w:rsidP="00345967">
      <w:pPr>
        <w:jc w:val="center"/>
      </w:pPr>
      <w:r>
        <w:t>Обзор изменений законодательства</w:t>
      </w:r>
    </w:p>
    <w:p w:rsidR="00DC6FD1" w:rsidRDefault="00DC6FD1" w:rsidP="00823597">
      <w:pPr>
        <w:pStyle w:val="aa"/>
        <w:ind w:firstLine="851"/>
        <w:jc w:val="center"/>
      </w:pPr>
      <w:r w:rsidRPr="00823597">
        <w:rPr>
          <w:u w:val="single"/>
        </w:rPr>
        <w:t>Подписан закон о расширении круга лиц, освобожденных от штрафов за отсутствие прописки</w:t>
      </w:r>
    </w:p>
    <w:p w:rsidR="00DC6FD1" w:rsidRDefault="00DC6FD1" w:rsidP="000F1CE0">
      <w:pPr>
        <w:pStyle w:val="aa"/>
        <w:ind w:firstLine="851"/>
        <w:jc w:val="both"/>
      </w:pPr>
      <w:r>
        <w:t>Фед</w:t>
      </w:r>
      <w:r w:rsidR="00823597">
        <w:t>еральным законом от 17.02.2021 №</w:t>
      </w:r>
      <w:r>
        <w:t xml:space="preserve"> 12-ФЗ освобождаются от административной ответственности за отсутствие прописки братья и сестры собственника, его усыновители, опекуны и подопечные.</w:t>
      </w:r>
    </w:p>
    <w:p w:rsidR="00DC6FD1" w:rsidRDefault="00DC6FD1" w:rsidP="000F1CE0">
      <w:pPr>
        <w:pStyle w:val="aa"/>
        <w:ind w:firstLine="851"/>
        <w:jc w:val="both"/>
      </w:pPr>
      <w:r>
        <w:t>Раньше этот список ограничивался супругами владельца, его бабушками и дедушками, внуками, родителями и детьми, а также супругами двух последних категорий жильцов.</w:t>
      </w:r>
    </w:p>
    <w:p w:rsidR="00DC6FD1" w:rsidRDefault="00DC6FD1" w:rsidP="000F1CE0">
      <w:pPr>
        <w:pStyle w:val="aa"/>
        <w:ind w:firstLine="851"/>
        <w:jc w:val="both"/>
      </w:pPr>
      <w:r>
        <w:t xml:space="preserve">Напомним, что КоАП предусматривает </w:t>
      </w:r>
      <w:proofErr w:type="gramStart"/>
      <w:r>
        <w:t>штрафы</w:t>
      </w:r>
      <w:proofErr w:type="gramEnd"/>
      <w:r>
        <w:t xml:space="preserve"> как для самих жильцов, так и для владельцев квартир, в которых живут без регистрации по определенному адресу более 90 дней. </w:t>
      </w:r>
    </w:p>
    <w:p w:rsidR="00DC6FD1" w:rsidRDefault="00DC6FD1" w:rsidP="000F1CE0">
      <w:pPr>
        <w:pStyle w:val="aa"/>
        <w:ind w:firstLine="851"/>
        <w:jc w:val="both"/>
      </w:pPr>
      <w:r>
        <w:t>Дата вступления в силу - 28.02.2021</w:t>
      </w:r>
      <w:r w:rsidR="00F54988">
        <w:t>.</w:t>
      </w:r>
    </w:p>
    <w:p w:rsidR="00DC098E" w:rsidRDefault="00DC098E" w:rsidP="008A2851">
      <w:pPr>
        <w:pStyle w:val="aa"/>
        <w:ind w:firstLine="851"/>
        <w:jc w:val="center"/>
      </w:pPr>
      <w:r w:rsidRPr="00F54988">
        <w:rPr>
          <w:u w:val="single"/>
        </w:rPr>
        <w:t>Оплату санаторно-курортного лечения работников можно включать в расходы на оплату труда</w:t>
      </w:r>
    </w:p>
    <w:p w:rsidR="00DC098E" w:rsidRDefault="00DC098E" w:rsidP="000F1CE0">
      <w:pPr>
        <w:pStyle w:val="aa"/>
        <w:ind w:firstLine="851"/>
        <w:jc w:val="both"/>
      </w:pPr>
      <w:proofErr w:type="gramStart"/>
      <w:r>
        <w:t>Ф</w:t>
      </w:r>
      <w:r w:rsidR="008A2851">
        <w:t>едеральный закон от 17.02.2021 №</w:t>
      </w:r>
      <w:r>
        <w:t xml:space="preserve"> 8-ФЗ устанавливает порядок учета для целей налогообложения налогом на прибыль организаций расходов работодателя на оплату услуг по санаторно-курортному лечению (включая расходы на проживание и питание) работников (и членов их семей) по договорам, заключенным непосредственно с санаторно-курортными организациями, а также по организации туризма и отдыха на территории Российской Федерации.</w:t>
      </w:r>
      <w:proofErr w:type="gramEnd"/>
    </w:p>
    <w:p w:rsidR="00DC098E" w:rsidRDefault="00DC098E" w:rsidP="000F1CE0">
      <w:pPr>
        <w:pStyle w:val="aa"/>
        <w:ind w:firstLine="851"/>
        <w:jc w:val="both"/>
      </w:pPr>
      <w:r>
        <w:t>Данное правило д</w:t>
      </w:r>
      <w:r w:rsidR="008A2851">
        <w:t>ействует с 01.01.</w:t>
      </w:r>
      <w:r>
        <w:t>2022.</w:t>
      </w:r>
    </w:p>
    <w:p w:rsidR="00E552C5" w:rsidRDefault="00E552C5" w:rsidP="008A2851">
      <w:pPr>
        <w:pStyle w:val="aa"/>
        <w:ind w:firstLine="851"/>
        <w:jc w:val="center"/>
      </w:pPr>
      <w:r w:rsidRPr="008A2851">
        <w:rPr>
          <w:u w:val="single"/>
        </w:rPr>
        <w:t>Подписан закон, наделяющий детей-сирот и детей, оставшихся без попечения родителей, а также ветеранов боевых действий правом на бюджетные места в вузах в рамках квоты</w:t>
      </w:r>
    </w:p>
    <w:p w:rsidR="00E552C5" w:rsidRDefault="00E552C5" w:rsidP="000F1CE0">
      <w:pPr>
        <w:pStyle w:val="aa"/>
        <w:ind w:firstLine="851"/>
        <w:jc w:val="both"/>
      </w:pPr>
      <w:r>
        <w:t>Фед</w:t>
      </w:r>
      <w:r w:rsidR="008A2851">
        <w:t>еральным законом от 17.02.2021 №</w:t>
      </w:r>
      <w:r>
        <w:t xml:space="preserve"> 10-ФЗ внесены изменения в статьи 71 и 108 Федерального закона </w:t>
      </w:r>
      <w:r w:rsidR="008A2851">
        <w:t>«</w:t>
      </w:r>
      <w:r>
        <w:t>Об обр</w:t>
      </w:r>
      <w:r w:rsidR="008A2851">
        <w:t>азовании в Российской Федерации»</w:t>
      </w:r>
      <w:r>
        <w:t xml:space="preserve"> и статью 6 Федерального закона </w:t>
      </w:r>
      <w:r w:rsidR="008A2851">
        <w:t>«</w:t>
      </w:r>
      <w:r>
        <w:t>О дополнительных гарантиях по социальной поддержке детей-сирот и детей, ост</w:t>
      </w:r>
      <w:r w:rsidR="008A2851">
        <w:t>авшихся без попечения родителей»</w:t>
      </w:r>
      <w:r>
        <w:t>.</w:t>
      </w:r>
    </w:p>
    <w:p w:rsidR="00E552C5" w:rsidRDefault="00E552C5" w:rsidP="000F1CE0">
      <w:pPr>
        <w:pStyle w:val="aa"/>
        <w:ind w:firstLine="851"/>
        <w:jc w:val="both"/>
      </w:pPr>
      <w:proofErr w:type="gramStart"/>
      <w:r>
        <w:t xml:space="preserve">Предусмотрено, что дети-сироты и дети, оставшиеся без попечения родителей, а также лица из числа детей-сирот и детей, оставшихся без попечения родителей, ветераны боевых действий из числа лиц, указанных в подпунктах 1-4 пункта 1 статьи 3 Федерального закона </w:t>
      </w:r>
      <w:r w:rsidR="008A2851">
        <w:t>«</w:t>
      </w:r>
      <w:r>
        <w:t>О ветеранах</w:t>
      </w:r>
      <w:r w:rsidR="008A2851">
        <w:t>»</w:t>
      </w:r>
      <w:r>
        <w:t xml:space="preserve">, наделяются правом на прием на обучение по программам </w:t>
      </w:r>
      <w:proofErr w:type="spellStart"/>
      <w:r>
        <w:t>бакалавриата</w:t>
      </w:r>
      <w:proofErr w:type="spellEnd"/>
      <w:r>
        <w:t xml:space="preserve"> и программам </w:t>
      </w:r>
      <w:proofErr w:type="spellStart"/>
      <w:r>
        <w:t>специалитета</w:t>
      </w:r>
      <w:proofErr w:type="spellEnd"/>
      <w:r>
        <w:t xml:space="preserve"> в пределах установленной квоты при условии успешного прохождения вступительных</w:t>
      </w:r>
      <w:proofErr w:type="gramEnd"/>
      <w:r>
        <w:t xml:space="preserve"> испытаний. </w:t>
      </w:r>
    </w:p>
    <w:p w:rsidR="00E552C5" w:rsidRDefault="00E552C5" w:rsidP="000F1CE0">
      <w:pPr>
        <w:pStyle w:val="aa"/>
        <w:ind w:firstLine="851"/>
        <w:jc w:val="both"/>
      </w:pPr>
      <w:r>
        <w:t>Дата вступления в силу - 28.02.2021</w:t>
      </w:r>
      <w:r w:rsidR="008A2851">
        <w:t>.</w:t>
      </w:r>
    </w:p>
    <w:p w:rsidR="00462EC0" w:rsidRDefault="00462EC0" w:rsidP="00122B13">
      <w:pPr>
        <w:pStyle w:val="aa"/>
        <w:ind w:firstLine="851"/>
        <w:jc w:val="center"/>
      </w:pPr>
      <w:r w:rsidRPr="008A2851">
        <w:rPr>
          <w:u w:val="single"/>
        </w:rPr>
        <w:t>Оплата санаторно-курортного лечения работников освобождена от НДФЛ, и уточнен порядок налогообложения азартных игр</w:t>
      </w:r>
    </w:p>
    <w:p w:rsidR="00462EC0" w:rsidRDefault="00462EC0" w:rsidP="000F1CE0">
      <w:pPr>
        <w:pStyle w:val="aa"/>
        <w:ind w:firstLine="851"/>
        <w:jc w:val="both"/>
      </w:pPr>
      <w:r>
        <w:t>Ф</w:t>
      </w:r>
      <w:r w:rsidR="00122B13">
        <w:t>едеральный закон от 17.02.2021 №</w:t>
      </w:r>
      <w:r>
        <w:t xml:space="preserve"> 8-ФЗ предусматривает установление порядка учета для целей налогообложения НДФЛ и налогом на прибыль организаций расходов работодателя на оплату услуг по санаторно-курортному лечению, также по организации туризма и отдыха на территории России.</w:t>
      </w:r>
    </w:p>
    <w:p w:rsidR="00462EC0" w:rsidRDefault="00462EC0" w:rsidP="000F1CE0">
      <w:pPr>
        <w:pStyle w:val="aa"/>
        <w:ind w:firstLine="851"/>
        <w:jc w:val="both"/>
      </w:pPr>
      <w:r>
        <w:t>От обложения НДФЛ освобождаются суммы компенсации стоимости путевок выплачиваемой работодателями своим работникам за санаторно-курортные и оздоровительные услуги для детей в возрасте до 18 лет и до 24 лет, которые обучаются по очной форме. Сейчас такие льготы предусмотрены только для детей до 16 лет. Указанные услуги должны оказываться на территории РФ.</w:t>
      </w:r>
    </w:p>
    <w:p w:rsidR="00462EC0" w:rsidRDefault="00462EC0" w:rsidP="000F1CE0">
      <w:pPr>
        <w:pStyle w:val="aa"/>
        <w:ind w:firstLine="851"/>
        <w:jc w:val="both"/>
      </w:pPr>
      <w:r>
        <w:t xml:space="preserve">Также законом установлено, что налог на прибыль организаций, исчисленный в отношении дивидендов, которые получены российской организацией, подлежит зачету </w:t>
      </w:r>
      <w:r>
        <w:lastRenderedPageBreak/>
        <w:t>при определении суммы НДФЛ, подлежащей уплате в отношении доходов налогоплательщика, признаваемого налоговым резидентом РФ, от долевого участия в этой российской организации, пропорционально доле такого участия.</w:t>
      </w:r>
    </w:p>
    <w:p w:rsidR="00462EC0" w:rsidRDefault="00462EC0" w:rsidP="000F1CE0">
      <w:pPr>
        <w:pStyle w:val="aa"/>
        <w:ind w:firstLine="851"/>
        <w:jc w:val="both"/>
      </w:pPr>
      <w:r>
        <w:t>Указанные меры будут способствовать расширению спроса на санаторно-курортное лечение и развитию туризма и отдыха.</w:t>
      </w:r>
    </w:p>
    <w:p w:rsidR="00462EC0" w:rsidRDefault="00462EC0" w:rsidP="000F1CE0">
      <w:pPr>
        <w:pStyle w:val="aa"/>
        <w:ind w:firstLine="851"/>
        <w:jc w:val="both"/>
      </w:pPr>
      <w:r>
        <w:t xml:space="preserve">Также изменен порядок налогообложения азартных игр. </w:t>
      </w:r>
      <w:proofErr w:type="gramStart"/>
      <w:r>
        <w:t>В случае если организаторы азартных игр, проводимых в казино и залах игровых автоматов, в 2020 году не представили в налоговый орган данные в соответствии с абз.2 п.3 ст.214_7 НК РФ,  определение налоговой базы и исчисление суммы НДФЛ с доходов в виде выигрышей, полученных от участия в азартных играх в 2020 году, производятся налоговым органом на основании</w:t>
      </w:r>
      <w:proofErr w:type="gramEnd"/>
      <w:r>
        <w:t xml:space="preserve"> сведений от организаторов азартных игр. Речь идет о сведениях, которые они должны предоставить в налоговые органы в электронной форме в виде реестра сведений в срок не позднее 1 мая 2021 года. Состав таких сведений, формат и порядок представления реестра сведений в электронной форме утверждаются ФНС России. </w:t>
      </w:r>
    </w:p>
    <w:p w:rsidR="00B335B5" w:rsidRDefault="00462EC0" w:rsidP="000F1CE0">
      <w:pPr>
        <w:pStyle w:val="aa"/>
        <w:ind w:firstLine="851"/>
        <w:jc w:val="both"/>
        <w:rPr>
          <w:u w:val="single"/>
        </w:rPr>
      </w:pPr>
      <w:r>
        <w:t>Дата вступления в силу - 17.02.2021</w:t>
      </w:r>
      <w:r w:rsidR="00B657DB">
        <w:t>.</w:t>
      </w:r>
    </w:p>
    <w:p w:rsidR="00543E9C" w:rsidRDefault="00543E9C" w:rsidP="00B335B5">
      <w:pPr>
        <w:pStyle w:val="aa"/>
        <w:ind w:firstLine="851"/>
        <w:jc w:val="center"/>
      </w:pPr>
      <w:r w:rsidRPr="00B335B5">
        <w:rPr>
          <w:u w:val="single"/>
        </w:rPr>
        <w:t>ДОМ</w:t>
      </w:r>
      <w:proofErr w:type="gramStart"/>
      <w:r w:rsidRPr="00B335B5">
        <w:rPr>
          <w:u w:val="single"/>
        </w:rPr>
        <w:t>.Р</w:t>
      </w:r>
      <w:proofErr w:type="gramEnd"/>
      <w:r w:rsidRPr="00B335B5">
        <w:rPr>
          <w:u w:val="single"/>
        </w:rPr>
        <w:t>Ф исключил ограничение по возрасту заемщиков по программе льготной ипотеки на ИЖС</w:t>
      </w:r>
    </w:p>
    <w:p w:rsidR="00543E9C" w:rsidRDefault="00543E9C" w:rsidP="000F1CE0">
      <w:pPr>
        <w:pStyle w:val="aa"/>
        <w:ind w:firstLine="851"/>
        <w:jc w:val="both"/>
      </w:pPr>
      <w:r>
        <w:t>ДОМ</w:t>
      </w:r>
      <w:proofErr w:type="gramStart"/>
      <w:r>
        <w:t>.Р</w:t>
      </w:r>
      <w:proofErr w:type="gramEnd"/>
      <w:r>
        <w:t>Ф обновил условия собственной программы льготной ипотеки на индивидуальное жилищное строительство и исключил ограничения по возрасту для потенциальных заемщиков. Об этом сообщил заместитель генерального директора ДОМ</w:t>
      </w:r>
      <w:proofErr w:type="gramStart"/>
      <w:r>
        <w:t>.Р</w:t>
      </w:r>
      <w:proofErr w:type="gramEnd"/>
      <w:r>
        <w:t xml:space="preserve">Ф Денис Филиппов на круглом столе в Совете Федерации </w:t>
      </w:r>
      <w:r w:rsidR="00B335B5">
        <w:t>«</w:t>
      </w:r>
      <w:r>
        <w:t>Особенности жилищного строительства в Арктич</w:t>
      </w:r>
      <w:r w:rsidR="00B335B5">
        <w:t>еской зоне Российской Федерации»</w:t>
      </w:r>
      <w:r>
        <w:t>.</w:t>
      </w:r>
    </w:p>
    <w:p w:rsidR="00543E9C" w:rsidRDefault="00B335B5" w:rsidP="000F1CE0">
      <w:pPr>
        <w:pStyle w:val="aa"/>
        <w:ind w:firstLine="851"/>
        <w:jc w:val="both"/>
      </w:pPr>
      <w:r>
        <w:t>«</w:t>
      </w:r>
      <w:r w:rsidR="00543E9C">
        <w:t>До определенного времени у нас было ограничение под молодые семьи и одного ребенка, но на прошлой неделе [генеральный директор ДОМ</w:t>
      </w:r>
      <w:proofErr w:type="gramStart"/>
      <w:r w:rsidR="00543E9C">
        <w:t>.Р</w:t>
      </w:r>
      <w:proofErr w:type="gramEnd"/>
      <w:r w:rsidR="00543E9C">
        <w:t>Ф] Виталий Леонтьевич Мутко принял решение расширить категорию граждан. Теперь отсутствуе</w:t>
      </w:r>
      <w:r>
        <w:t>т ограничение под молодые семьи»</w:t>
      </w:r>
      <w:r w:rsidR="00543E9C">
        <w:t>, - сказал Филиппов.</w:t>
      </w:r>
    </w:p>
    <w:p w:rsidR="00543E9C" w:rsidRDefault="00543E9C" w:rsidP="000F1CE0">
      <w:pPr>
        <w:pStyle w:val="aa"/>
        <w:ind w:firstLine="851"/>
        <w:jc w:val="both"/>
      </w:pPr>
      <w:r>
        <w:t>Программа льготной ипотеки на частные дома от ДОМ</w:t>
      </w:r>
      <w:proofErr w:type="gramStart"/>
      <w:r>
        <w:t>.Р</w:t>
      </w:r>
      <w:proofErr w:type="gramEnd"/>
      <w:r>
        <w:t>Ф начала действовать 1 декабря 2020 года. Изначально кредит могли получить молодые семьи, в которых возраст одного из заемщиков не достиг 36 лет, при этом родители воспитывают не менее одного ребенка в возрасте до 19 лет. По данным Банка ДОМ</w:t>
      </w:r>
      <w:proofErr w:type="gramStart"/>
      <w:r>
        <w:t>.Р</w:t>
      </w:r>
      <w:proofErr w:type="gramEnd"/>
      <w:r>
        <w:t>Ф на начало февраля 2021 года, по программе одобрены ипотечные кредиты на 600 млн рублей.</w:t>
      </w:r>
    </w:p>
    <w:p w:rsidR="00543E9C" w:rsidRDefault="00543E9C" w:rsidP="000F1CE0">
      <w:pPr>
        <w:pStyle w:val="aa"/>
        <w:ind w:firstLine="851"/>
        <w:jc w:val="both"/>
      </w:pPr>
      <w:r>
        <w:t xml:space="preserve">Программа действует до 30 июня 2021 года. По ее условиям, ипотека предоставляется на строительство типовых домов комплексной застройки или домов по </w:t>
      </w:r>
      <w:proofErr w:type="gramStart"/>
      <w:r>
        <w:t>индивидуальному проекту</w:t>
      </w:r>
      <w:proofErr w:type="gramEnd"/>
      <w:r>
        <w:t xml:space="preserve"> на территории с транспортной и социальной инфраструктурой, дополнительного залога не требуется. Максимальная сумма ипотеки составляет 12 </w:t>
      </w:r>
      <w:proofErr w:type="gramStart"/>
      <w:r>
        <w:t>млн</w:t>
      </w:r>
      <w:proofErr w:type="gramEnd"/>
      <w:r>
        <w:t xml:space="preserve"> рублей для Москвы, Санкт-Петербурга, Московской и Ленинградской областей и до 6 млн для других субъектов РФ. Первоначальный взнос на такую ипотеку должен быть не меньше 20%, ипотека выдается на срок до 20 лет.</w:t>
      </w:r>
    </w:p>
    <w:p w:rsidR="00CC174B" w:rsidRDefault="00543E9C" w:rsidP="000F1CE0">
      <w:pPr>
        <w:pStyle w:val="aa"/>
        <w:ind w:firstLine="851"/>
        <w:jc w:val="both"/>
      </w:pPr>
      <w:r>
        <w:t>Источник:</w:t>
      </w:r>
      <w:r>
        <w:t xml:space="preserve"> </w:t>
      </w:r>
      <w:hyperlink r:id="rId7" w:history="1">
        <w:r w:rsidR="00CC174B" w:rsidRPr="004618B2">
          <w:rPr>
            <w:rStyle w:val="af5"/>
          </w:rPr>
          <w:t>https://tass.ru/</w:t>
        </w:r>
      </w:hyperlink>
      <w:r w:rsidR="00B335B5">
        <w:t>.</w:t>
      </w:r>
    </w:p>
    <w:p w:rsidR="00CC174B" w:rsidRDefault="00CC174B" w:rsidP="00B335B5">
      <w:pPr>
        <w:pStyle w:val="aa"/>
        <w:ind w:firstLine="851"/>
        <w:jc w:val="center"/>
      </w:pPr>
      <w:r w:rsidRPr="00B335B5">
        <w:rPr>
          <w:u w:val="single"/>
        </w:rPr>
        <w:t>В ГД предложили увеличить срок ротации региональных глав контрольных органов</w:t>
      </w:r>
    </w:p>
    <w:p w:rsidR="00CC174B" w:rsidRDefault="00CC174B" w:rsidP="000F1CE0">
      <w:pPr>
        <w:pStyle w:val="aa"/>
        <w:ind w:firstLine="851"/>
        <w:jc w:val="both"/>
      </w:pPr>
      <w:r>
        <w:t>Действующий порядок ротации руководства органов контроля в регионах зачастую вынуждает их увольняться с гражданской службы по истечении срока контракта.</w:t>
      </w:r>
    </w:p>
    <w:p w:rsidR="00CC174B" w:rsidRDefault="00CC174B" w:rsidP="000F1CE0">
      <w:pPr>
        <w:pStyle w:val="aa"/>
        <w:ind w:firstLine="851"/>
        <w:jc w:val="both"/>
      </w:pPr>
      <w:r>
        <w:t>18 февраля в Государственную Думу внесли законопроект, который до 10 лет увеличивает срок ротации руководителей контрольных органов в регионах. По мнению авторов документа, сейчас к гражданским служащим необоснованно предъявляют более жесткие требования.</w:t>
      </w:r>
    </w:p>
    <w:p w:rsidR="00CC174B" w:rsidRDefault="00CC174B" w:rsidP="000F1CE0">
      <w:pPr>
        <w:pStyle w:val="aa"/>
        <w:ind w:firstLine="851"/>
        <w:jc w:val="both"/>
      </w:pPr>
      <w:r>
        <w:t xml:space="preserve">Законопроект вносит ряд изменений в порядок ротации гражданских служащих, которые замещают руководящие должности в органах надзора и контроля в регионах. Срок их ротации устанавливается в 10 лет (сейчас он составляет 5 лет). Запрещается переводить их на должность с более низким окладом, чем на прежнем месте, кроме как с письменного согласия самого </w:t>
      </w:r>
      <w:proofErr w:type="spellStart"/>
      <w:r>
        <w:t>работника</w:t>
      </w:r>
      <w:proofErr w:type="gramStart"/>
      <w:r>
        <w:t>.В</w:t>
      </w:r>
      <w:proofErr w:type="spellEnd"/>
      <w:proofErr w:type="gramEnd"/>
      <w:r>
        <w:t xml:space="preserve"> течение последнего года действия контракта </w:t>
      </w:r>
      <w:r>
        <w:lastRenderedPageBreak/>
        <w:t>служащего должны назначить на новую должность в порядке ротации с учетом его квалификации, специальности и стажа. Если предельный срок ротации не истек, наниматель может в срок не позднее семи месяцев до окончания контракта принять решение о его продлении. Если служащий отказывается от предложенной ему новой должности, ему разрешается предложить еще одну альтернативную позицию.</w:t>
      </w:r>
    </w:p>
    <w:p w:rsidR="00CC174B" w:rsidRDefault="00CC174B" w:rsidP="000F1CE0">
      <w:pPr>
        <w:pStyle w:val="aa"/>
        <w:ind w:firstLine="851"/>
        <w:jc w:val="both"/>
      </w:pPr>
      <w:r>
        <w:t>Как указано в пояснительной записке, действующие правила о ротации раз в пять лет вкупе со сравнительно низким денежным содержанием гражданских служащих и отсутствием у них служебного жилья приводят зачастую к вынужденному увольнению по окончании срока контракта. Таким образом, региональные органы контроля постоянно теряют квалифицированные кадры.</w:t>
      </w:r>
    </w:p>
    <w:p w:rsidR="00CC174B" w:rsidRDefault="00CC174B" w:rsidP="000F1CE0">
      <w:pPr>
        <w:pStyle w:val="aa"/>
        <w:ind w:firstLine="851"/>
        <w:jc w:val="both"/>
      </w:pPr>
      <w:r>
        <w:t>В других госорганах правила ротации более мягкие, отмечают авторы законопроекта.</w:t>
      </w:r>
    </w:p>
    <w:p w:rsidR="00CC174B" w:rsidRDefault="00CC174B" w:rsidP="000F1CE0">
      <w:pPr>
        <w:pStyle w:val="aa"/>
        <w:ind w:firstLine="851"/>
        <w:jc w:val="both"/>
      </w:pPr>
      <w:r>
        <w:t>К тому же ротация гражданских служащих требует и значительных бюджетных расходов - компенсации затрат на переезд и съем жилья, например.</w:t>
      </w:r>
    </w:p>
    <w:p w:rsidR="00CC174B" w:rsidRDefault="00CC174B" w:rsidP="000F1CE0">
      <w:pPr>
        <w:pStyle w:val="aa"/>
        <w:ind w:firstLine="851"/>
        <w:jc w:val="both"/>
      </w:pPr>
      <w:r>
        <w:t>Чтобы сохранить кадры, обеспечить более стабильную работу региональных органов контроля и восстановить единство правовых и организационных основ госслужбы, депутаты и внесли этот законопроект.</w:t>
      </w:r>
    </w:p>
    <w:p w:rsidR="00CC174B" w:rsidRDefault="00CC174B" w:rsidP="000F1CE0">
      <w:pPr>
        <w:pStyle w:val="aa"/>
        <w:ind w:firstLine="851"/>
        <w:jc w:val="both"/>
      </w:pPr>
      <w:r>
        <w:t>Источник:</w:t>
      </w:r>
      <w:r w:rsidR="00B335B5">
        <w:t xml:space="preserve"> </w:t>
      </w:r>
      <w:r>
        <w:t>https://pravo.ru/news/</w:t>
      </w:r>
      <w:r w:rsidR="00B335B5">
        <w:t>.</w:t>
      </w:r>
      <w:r>
        <w:t xml:space="preserve"> </w:t>
      </w:r>
    </w:p>
    <w:p w:rsidR="002F1D6B" w:rsidRDefault="002F1D6B" w:rsidP="00C079EB">
      <w:pPr>
        <w:pStyle w:val="aa"/>
        <w:ind w:firstLine="851"/>
        <w:jc w:val="center"/>
      </w:pPr>
      <w:r w:rsidRPr="00B335B5">
        <w:rPr>
          <w:u w:val="single"/>
        </w:rPr>
        <w:t>Суд отказал в иске о взыскании штрафа, поскольку истец не предоставил достоверных доказатель</w:t>
      </w:r>
      <w:proofErr w:type="gramStart"/>
      <w:r w:rsidRPr="00B335B5">
        <w:rPr>
          <w:u w:val="single"/>
        </w:rPr>
        <w:t>ств пр</w:t>
      </w:r>
      <w:proofErr w:type="gramEnd"/>
      <w:r w:rsidRPr="00B335B5">
        <w:rPr>
          <w:u w:val="single"/>
        </w:rPr>
        <w:t>оизве</w:t>
      </w:r>
      <w:r w:rsidR="00C079EB">
        <w:rPr>
          <w:u w:val="single"/>
        </w:rPr>
        <w:t>денной ответчиком перепланировки</w:t>
      </w:r>
    </w:p>
    <w:p w:rsidR="002F1D6B" w:rsidRDefault="002F1D6B" w:rsidP="000F1CE0">
      <w:pPr>
        <w:pStyle w:val="aa"/>
        <w:ind w:firstLine="851"/>
        <w:jc w:val="both"/>
      </w:pPr>
      <w:r>
        <w:t>Департамент (истец) обратился в суд с иском к ООО (ответчик) о взыскании штрафа.</w:t>
      </w:r>
    </w:p>
    <w:p w:rsidR="002F1D6B" w:rsidRDefault="002F1D6B" w:rsidP="000F1CE0">
      <w:pPr>
        <w:pStyle w:val="aa"/>
        <w:ind w:firstLine="851"/>
        <w:jc w:val="both"/>
      </w:pPr>
      <w:r>
        <w:t>Решением арбитражного суда, оставленным без изменения постановлением арбитражного апелляционного суда, в удовлетворении исковых требований отказано. Арбитражный суд Московского округ</w:t>
      </w:r>
      <w:r w:rsidR="00C079EB">
        <w:t>а постановлением от 12.02.2021 №</w:t>
      </w:r>
      <w:r>
        <w:t xml:space="preserve"> А40-308401/2019 оставил указанные судебные акты без изменения, а кассационную жалобу - без удовлетворения.</w:t>
      </w:r>
    </w:p>
    <w:p w:rsidR="002F1D6B" w:rsidRDefault="002F1D6B" w:rsidP="000F1CE0">
      <w:pPr>
        <w:pStyle w:val="aa"/>
        <w:ind w:firstLine="851"/>
        <w:jc w:val="both"/>
      </w:pPr>
      <w:r>
        <w:t>Как следует из материалов дела и установлено судами, между истцом (арендодатель) и ответчиком (арендатор) заключен договор аренды нежилого фонда, в соответствии с которым арендодатель сдает, а арендатор принимает в аренду спорное нежилое помещение.</w:t>
      </w:r>
    </w:p>
    <w:p w:rsidR="002F1D6B" w:rsidRDefault="002F1D6B" w:rsidP="000F1CE0">
      <w:pPr>
        <w:pStyle w:val="aa"/>
        <w:ind w:firstLine="851"/>
        <w:jc w:val="both"/>
      </w:pPr>
      <w:r>
        <w:t>Согласно условиям договора арендатор вправе производить перепланировку объекта нежилого фонда в случае, если в результате перепланировки не нарушается несущая способность конструктивных элементов здания, соблюдаются требования технических регламентов, не создается угроза жизни, безопасности и здоровью граждан, не нарушаются права третьих лиц и отсутствует необходимость внесения изменений в данные ЕГРН. В случае выявления арендодателем факта нарушения арендатором этих условий, арендатор обязан уплатить арендодателю неустойку (штраф) в размере годовой арендной платы.</w:t>
      </w:r>
    </w:p>
    <w:p w:rsidR="002F1D6B" w:rsidRDefault="002F1D6B" w:rsidP="000F1CE0">
      <w:pPr>
        <w:pStyle w:val="aa"/>
        <w:ind w:firstLine="851"/>
        <w:jc w:val="both"/>
      </w:pPr>
      <w:r>
        <w:t xml:space="preserve">Истец указывает на то, что ответчиком произведена перепланировка арендуемого помещения без согласия арендодателя, в подтверждение чего представил акты осмотра. В обоснование иска Департамент указал, что Общество в нарушение условий договора произвело перепланировку помещений в отсутствие согласования с Департаментом, поэтому ответчик должен </w:t>
      </w:r>
      <w:proofErr w:type="gramStart"/>
      <w:r>
        <w:t>оплатить неустойку в</w:t>
      </w:r>
      <w:proofErr w:type="gramEnd"/>
      <w:r>
        <w:t xml:space="preserve"> спорном размере.</w:t>
      </w:r>
    </w:p>
    <w:p w:rsidR="002F1D6B" w:rsidRDefault="002F1D6B" w:rsidP="000F1CE0">
      <w:pPr>
        <w:pStyle w:val="aa"/>
        <w:ind w:firstLine="851"/>
        <w:jc w:val="both"/>
      </w:pPr>
      <w:r>
        <w:t>Оценив представленные доказательства по правилам статьи 71 АПК РФ, руководствуясь положениями статей 615, 616 ГК РФ, суды пришли к обоснованному выводу об отказе в удовлетворении исковых требований, поскольку установили, что истцом не предоставлено допустимых и достоверных доказатель</w:t>
      </w:r>
      <w:proofErr w:type="gramStart"/>
      <w:r>
        <w:t>ств пр</w:t>
      </w:r>
      <w:proofErr w:type="gramEnd"/>
      <w:r>
        <w:t xml:space="preserve">оизведенной ответчиком перепланировки, нарушения ответчиком условий договора. </w:t>
      </w:r>
    </w:p>
    <w:p w:rsidR="00257B72" w:rsidRPr="005C5639" w:rsidRDefault="00257B72" w:rsidP="005C5639">
      <w:pPr>
        <w:pStyle w:val="aa"/>
        <w:ind w:firstLine="851"/>
        <w:jc w:val="center"/>
        <w:rPr>
          <w:u w:val="single"/>
        </w:rPr>
      </w:pPr>
      <w:r w:rsidRPr="005C5639">
        <w:rPr>
          <w:u w:val="single"/>
        </w:rPr>
        <w:t>Утверждены новые правила перевозки животных железнодорожным транспортом</w:t>
      </w:r>
    </w:p>
    <w:p w:rsidR="00257B72" w:rsidRPr="005C5639" w:rsidRDefault="00257B72" w:rsidP="005C5639">
      <w:pPr>
        <w:pStyle w:val="aa"/>
        <w:ind w:firstLine="851"/>
        <w:jc w:val="center"/>
        <w:rPr>
          <w:u w:val="single"/>
        </w:rPr>
      </w:pPr>
    </w:p>
    <w:p w:rsidR="00257B72" w:rsidRDefault="00257B72" w:rsidP="000F1CE0">
      <w:pPr>
        <w:pStyle w:val="aa"/>
        <w:ind w:firstLine="851"/>
        <w:jc w:val="both"/>
      </w:pPr>
    </w:p>
    <w:p w:rsidR="00257B72" w:rsidRDefault="00257B72" w:rsidP="000F1CE0">
      <w:pPr>
        <w:pStyle w:val="aa"/>
        <w:ind w:firstLine="851"/>
        <w:jc w:val="both"/>
      </w:pPr>
    </w:p>
    <w:p w:rsidR="00FE55D6" w:rsidRDefault="00FE55D6" w:rsidP="000F1CE0">
      <w:pPr>
        <w:pStyle w:val="aa"/>
        <w:ind w:firstLine="851"/>
        <w:jc w:val="both"/>
      </w:pPr>
    </w:p>
    <w:p w:rsidR="00257B72" w:rsidRDefault="00257B72" w:rsidP="000F1CE0">
      <w:pPr>
        <w:pStyle w:val="aa"/>
        <w:ind w:firstLine="851"/>
        <w:jc w:val="both"/>
      </w:pPr>
    </w:p>
    <w:p w:rsidR="00257B72" w:rsidRDefault="00257B72" w:rsidP="000F1CE0">
      <w:pPr>
        <w:pStyle w:val="aa"/>
        <w:ind w:firstLine="851"/>
        <w:jc w:val="both"/>
      </w:pPr>
    </w:p>
    <w:p w:rsidR="00257B72" w:rsidRDefault="00257B72" w:rsidP="000F1CE0">
      <w:pPr>
        <w:pStyle w:val="aa"/>
        <w:ind w:firstLine="851"/>
        <w:jc w:val="both"/>
      </w:pPr>
      <w:r>
        <w:t xml:space="preserve">Приказом </w:t>
      </w:r>
      <w:r w:rsidR="00FE55D6">
        <w:t>Минтранса России от 19.10.2020 №</w:t>
      </w:r>
      <w:r>
        <w:t xml:space="preserve"> 427 определены порядок и условия перевозок железнодорожным транспортом животных.</w:t>
      </w:r>
    </w:p>
    <w:p w:rsidR="00257B72" w:rsidRDefault="00257B72" w:rsidP="000F1CE0">
      <w:pPr>
        <w:pStyle w:val="aa"/>
        <w:ind w:firstLine="851"/>
        <w:jc w:val="both"/>
      </w:pPr>
      <w:r>
        <w:t xml:space="preserve">В частности, установлено, что перевозка в пассажирских поездах мелких домашних животных, собак и птиц осуществляется в соответствии с Правилами перевозок пассажиров, багажа, </w:t>
      </w:r>
      <w:proofErr w:type="spellStart"/>
      <w:r>
        <w:t>грузобагажа</w:t>
      </w:r>
      <w:proofErr w:type="spellEnd"/>
      <w:r>
        <w:t xml:space="preserve"> железнодорожным транспортом, утвержденными приказом Минтранса России о</w:t>
      </w:r>
      <w:r w:rsidR="00392DC9">
        <w:t>т 19.12. 2013  №</w:t>
      </w:r>
      <w:r>
        <w:t xml:space="preserve"> 473.</w:t>
      </w:r>
    </w:p>
    <w:p w:rsidR="00257B72" w:rsidRDefault="00257B72" w:rsidP="000F1CE0">
      <w:pPr>
        <w:pStyle w:val="aa"/>
        <w:ind w:firstLine="851"/>
        <w:jc w:val="both"/>
      </w:pPr>
      <w:r>
        <w:t>Перевозка животных, относящихся к грузам, подлежащим федеральному государственному ветеринарному надзору, осуществляется в соответствии с Правилами перевозок железнодорожным транспортом грузов, подлежащих федеральному государственному ветеринарному надзору, утвержденными приказ</w:t>
      </w:r>
      <w:r w:rsidR="008B18EB">
        <w:t>ом Минтранса России от 14.01.</w:t>
      </w:r>
      <w:r>
        <w:t>2020</w:t>
      </w:r>
      <w:r w:rsidR="008B18EB">
        <w:t xml:space="preserve"> №</w:t>
      </w:r>
      <w:r>
        <w:t xml:space="preserve"> 10.</w:t>
      </w:r>
    </w:p>
    <w:p w:rsidR="00257B72" w:rsidRDefault="00257B72" w:rsidP="000F1CE0">
      <w:pPr>
        <w:pStyle w:val="aa"/>
        <w:ind w:firstLine="851"/>
        <w:jc w:val="both"/>
      </w:pPr>
      <w:r>
        <w:t xml:space="preserve">Правилами определены особенности перевозки животных в международном сообщении, прямом железнодорожном сообщении. </w:t>
      </w:r>
    </w:p>
    <w:p w:rsidR="00257B72" w:rsidRDefault="00257B72" w:rsidP="000F1CE0">
      <w:pPr>
        <w:pStyle w:val="aa"/>
        <w:ind w:firstLine="851"/>
        <w:jc w:val="both"/>
      </w:pPr>
      <w:r>
        <w:t xml:space="preserve">Ранее действовавшие правила признаны не подлежащими применению. </w:t>
      </w:r>
    </w:p>
    <w:p w:rsidR="00257B72" w:rsidRDefault="00257B72" w:rsidP="000F1CE0">
      <w:pPr>
        <w:pStyle w:val="aa"/>
        <w:ind w:firstLine="851"/>
        <w:jc w:val="both"/>
      </w:pPr>
      <w:r>
        <w:t>Дата вступления в силу - 01.09.2021</w:t>
      </w:r>
      <w:r w:rsidR="00956019">
        <w:t>.</w:t>
      </w:r>
      <w:bookmarkStart w:id="0" w:name="_GoBack"/>
      <w:bookmarkEnd w:id="0"/>
    </w:p>
    <w:p w:rsidR="00D14354" w:rsidRDefault="00D14354" w:rsidP="00304B58">
      <w:pPr>
        <w:pStyle w:val="aa"/>
        <w:ind w:firstLine="851"/>
        <w:jc w:val="center"/>
      </w:pPr>
      <w:proofErr w:type="spellStart"/>
      <w:r w:rsidRPr="008B18EB">
        <w:rPr>
          <w:u w:val="single"/>
        </w:rPr>
        <w:t>Рособрнадзор</w:t>
      </w:r>
      <w:proofErr w:type="spellEnd"/>
      <w:r w:rsidRPr="008B18EB">
        <w:rPr>
          <w:u w:val="single"/>
        </w:rPr>
        <w:t xml:space="preserve"> разъясняет особенности проведения ГВЭ для выпускников 11 классов в 2021 году</w:t>
      </w:r>
    </w:p>
    <w:p w:rsidR="00D14354" w:rsidRDefault="00D14354" w:rsidP="000F1CE0">
      <w:pPr>
        <w:pStyle w:val="aa"/>
        <w:ind w:firstLine="851"/>
        <w:jc w:val="both"/>
      </w:pPr>
      <w:proofErr w:type="spellStart"/>
      <w:r>
        <w:t>Рособрнадзор</w:t>
      </w:r>
      <w:proofErr w:type="spellEnd"/>
      <w:r>
        <w:t xml:space="preserve"> сообщает, что выпускники 11 классов, не планирующие поступать в вузы, для получения аттестата в 2021 году должны будут сдать два обязательных предмета в форме государственного выпускного экзамена (ГВЭ): русский язык и математику.   </w:t>
      </w:r>
    </w:p>
    <w:p w:rsidR="00D14354" w:rsidRDefault="00D14354" w:rsidP="000F1CE0">
      <w:pPr>
        <w:pStyle w:val="aa"/>
        <w:ind w:firstLine="851"/>
        <w:jc w:val="both"/>
      </w:pPr>
      <w:r>
        <w:t xml:space="preserve">Лицам с ограниченными возможностями здоровья, а также детям-инвалидам и инвалидам для получения аттестата достаточно будет сдать по их выбору только ГВЭ или ЕГЭ по русскому языку. </w:t>
      </w:r>
    </w:p>
    <w:p w:rsidR="00D14354" w:rsidRDefault="00D14354" w:rsidP="000F1CE0">
      <w:pPr>
        <w:pStyle w:val="aa"/>
        <w:ind w:firstLine="851"/>
        <w:jc w:val="both"/>
      </w:pPr>
      <w:r>
        <w:t xml:space="preserve">Государственная итоговая аттестация в 11 классах (ГИА-11) в форме ГВЭ по предметам по выбору в 2021 году проводиться не будет. </w:t>
      </w:r>
    </w:p>
    <w:p w:rsidR="00D14354" w:rsidRDefault="00D14354" w:rsidP="000F1CE0">
      <w:pPr>
        <w:pStyle w:val="aa"/>
        <w:ind w:firstLine="851"/>
        <w:jc w:val="both"/>
      </w:pPr>
      <w:r>
        <w:t xml:space="preserve">Экзаменационная работа ГВЭ для выпускников, не планирующих поступать в вузы в 2021 году, по русскому языку будет состоять из отдельных заданий с кратким ответом (задания 1-24) по спецификации контрольных измерительных материалов (КИМ) ЕГЭ 2021 года по русскому языку. Экзаменационная работа ГВЭ по математике в 2021 году будет состоять из отдельных заданий по спецификации КИМ ЕГЭ 2021 года по математике базового уровня. </w:t>
      </w:r>
    </w:p>
    <w:p w:rsidR="00D14354" w:rsidRDefault="00D14354" w:rsidP="000F1CE0">
      <w:pPr>
        <w:pStyle w:val="aa"/>
        <w:ind w:firstLine="851"/>
        <w:jc w:val="both"/>
      </w:pPr>
      <w:r>
        <w:t xml:space="preserve">Основной срок проведения ГВЭ для выпускников 11 классов запланирован с 24 по 28 мая 2021 года. Также в расписании будет предусмотрен дополнительный сентябрьский период проведения ГВЭ по русскому языку и математике (с 3 по 17 сентября 2021 года), который предусмотрен для того, чтобы предоставить возможность получить аттестат тем, кто не прошел ГИА-11 в установленные сроки. </w:t>
      </w:r>
    </w:p>
    <w:p w:rsidR="00933975" w:rsidRPr="00304B58" w:rsidRDefault="00D14354" w:rsidP="00304B58">
      <w:pPr>
        <w:pStyle w:val="aa"/>
        <w:ind w:firstLine="851"/>
        <w:jc w:val="center"/>
        <w:rPr>
          <w:u w:val="single"/>
        </w:rPr>
      </w:pPr>
      <w:proofErr w:type="spellStart"/>
      <w:r w:rsidRPr="00304B58">
        <w:rPr>
          <w:u w:val="single"/>
        </w:rPr>
        <w:t>Рособрнадзор</w:t>
      </w:r>
      <w:proofErr w:type="spellEnd"/>
      <w:r w:rsidRPr="00304B58">
        <w:rPr>
          <w:u w:val="single"/>
        </w:rPr>
        <w:t xml:space="preserve"> разъясняет особенности проведения контрольных работ по выбору для выпускников 9 классов</w:t>
      </w:r>
    </w:p>
    <w:p w:rsidR="00933975" w:rsidRDefault="00D14354" w:rsidP="000F1CE0">
      <w:pPr>
        <w:pStyle w:val="aa"/>
        <w:ind w:firstLine="851"/>
        <w:jc w:val="both"/>
      </w:pPr>
      <w:proofErr w:type="spellStart"/>
      <w:r>
        <w:t>Рособрнадзор</w:t>
      </w:r>
      <w:proofErr w:type="spellEnd"/>
      <w:r>
        <w:t xml:space="preserve"> сообщает, что проведение основного государственного экзамена (ОГЭ) по предметам по выбору в 2020/21 учебном году отменено, вместо этих экзаменов для девятиклассников будут проведены контрольные работы по одному учебному предмету. </w:t>
      </w:r>
    </w:p>
    <w:p w:rsidR="00D14354" w:rsidRDefault="00D14354" w:rsidP="000F1CE0">
      <w:pPr>
        <w:pStyle w:val="aa"/>
        <w:ind w:firstLine="851"/>
        <w:jc w:val="both"/>
      </w:pPr>
      <w:proofErr w:type="gramStart"/>
      <w:r>
        <w:t>Контрольные работы выпускники смогут выбрать из числа учебных предметов, по которым проводится государственная итоговая аттестация (ГИА-9) по выбору: физика, химия, информатика, биология, история, география, иностранные языки (английский, немецкий, французский, испанский), обществознание, литература.</w:t>
      </w:r>
      <w:proofErr w:type="gramEnd"/>
      <w:r>
        <w:t xml:space="preserve"> Они будут проведены </w:t>
      </w:r>
      <w:r>
        <w:lastRenderedPageBreak/>
        <w:t xml:space="preserve">до начала основного периода ГИА-9 по рекомендованному </w:t>
      </w:r>
      <w:proofErr w:type="spellStart"/>
      <w:r>
        <w:t>Рособрнадзором</w:t>
      </w:r>
      <w:proofErr w:type="spellEnd"/>
      <w:r>
        <w:t xml:space="preserve"> расписанию в период с 17 по 21 мая 2021 года.</w:t>
      </w:r>
    </w:p>
    <w:p w:rsidR="00D14354" w:rsidRDefault="00D14354" w:rsidP="000F1CE0">
      <w:pPr>
        <w:pStyle w:val="aa"/>
        <w:ind w:firstLine="851"/>
        <w:jc w:val="both"/>
      </w:pPr>
    </w:p>
    <w:p w:rsidR="00D14354" w:rsidRDefault="00D14354" w:rsidP="000F1CE0">
      <w:pPr>
        <w:pStyle w:val="aa"/>
        <w:ind w:firstLine="851"/>
        <w:jc w:val="both"/>
      </w:pPr>
    </w:p>
    <w:p w:rsidR="00E01148" w:rsidRDefault="00E01148" w:rsidP="000F1CE0">
      <w:pPr>
        <w:pStyle w:val="aa"/>
        <w:ind w:firstLine="851"/>
        <w:jc w:val="both"/>
      </w:pPr>
    </w:p>
    <w:p w:rsidR="00B62DFA" w:rsidRPr="00790E82" w:rsidRDefault="00B62DFA" w:rsidP="000F1CE0">
      <w:pPr>
        <w:pStyle w:val="aa"/>
        <w:ind w:firstLine="851"/>
        <w:jc w:val="both"/>
        <w:rPr>
          <w:lang w:val="en-US"/>
        </w:rPr>
      </w:pPr>
    </w:p>
    <w:p w:rsidR="00D14354" w:rsidRDefault="00D14354" w:rsidP="000F1CE0">
      <w:pPr>
        <w:pStyle w:val="aa"/>
        <w:ind w:firstLine="851"/>
        <w:jc w:val="both"/>
      </w:pPr>
    </w:p>
    <w:p w:rsidR="002F1D6B" w:rsidRDefault="002F1D6B" w:rsidP="000F1CE0">
      <w:pPr>
        <w:pStyle w:val="aa"/>
        <w:ind w:firstLine="851"/>
        <w:jc w:val="both"/>
      </w:pPr>
    </w:p>
    <w:p w:rsidR="00CC174B" w:rsidRDefault="00CC174B" w:rsidP="000F1CE0">
      <w:pPr>
        <w:pStyle w:val="aa"/>
        <w:ind w:firstLine="851"/>
        <w:jc w:val="both"/>
      </w:pPr>
    </w:p>
    <w:p w:rsidR="00543E9C" w:rsidRDefault="00543E9C" w:rsidP="000F1CE0">
      <w:pPr>
        <w:pStyle w:val="aa"/>
        <w:ind w:firstLine="851"/>
        <w:jc w:val="both"/>
      </w:pPr>
    </w:p>
    <w:p w:rsidR="00DC1B91" w:rsidRDefault="00DC1B91" w:rsidP="000F1CE0">
      <w:pPr>
        <w:pStyle w:val="aa"/>
        <w:ind w:firstLine="851"/>
        <w:jc w:val="both"/>
      </w:pPr>
    </w:p>
    <w:p w:rsidR="00DC1B91" w:rsidRDefault="00DC1B91" w:rsidP="000F1CE0">
      <w:pPr>
        <w:pStyle w:val="aa"/>
        <w:ind w:firstLine="851"/>
        <w:jc w:val="both"/>
      </w:pPr>
    </w:p>
    <w:p w:rsidR="00DC1B91" w:rsidRDefault="00DC1B91" w:rsidP="000F1CE0">
      <w:pPr>
        <w:pStyle w:val="aa"/>
        <w:ind w:firstLine="851"/>
        <w:jc w:val="both"/>
      </w:pPr>
    </w:p>
    <w:p w:rsidR="00345967" w:rsidRDefault="00345967" w:rsidP="000F1CE0">
      <w:pPr>
        <w:pStyle w:val="aa"/>
        <w:ind w:firstLine="851"/>
        <w:jc w:val="both"/>
      </w:pPr>
    </w:p>
    <w:p w:rsidR="001079F1" w:rsidRDefault="001079F1" w:rsidP="000F1CE0">
      <w:pPr>
        <w:pStyle w:val="aa"/>
        <w:ind w:firstLine="851"/>
        <w:jc w:val="both"/>
      </w:pPr>
    </w:p>
    <w:sectPr w:rsidR="001079F1" w:rsidSect="00345967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106" w:rsidRDefault="006C2106" w:rsidP="00082DF1">
      <w:pPr>
        <w:spacing w:after="0" w:line="240" w:lineRule="auto"/>
      </w:pPr>
      <w:r>
        <w:separator/>
      </w:r>
    </w:p>
  </w:endnote>
  <w:endnote w:type="continuationSeparator" w:id="0">
    <w:p w:rsidR="006C2106" w:rsidRDefault="006C2106" w:rsidP="00082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9193277"/>
      <w:docPartObj>
        <w:docPartGallery w:val="Page Numbers (Bottom of Page)"/>
        <w:docPartUnique/>
      </w:docPartObj>
    </w:sdtPr>
    <w:sdtContent>
      <w:p w:rsidR="00082DF1" w:rsidRDefault="00082DF1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019">
          <w:rPr>
            <w:noProof/>
          </w:rPr>
          <w:t>4</w:t>
        </w:r>
        <w:r>
          <w:fldChar w:fldCharType="end"/>
        </w:r>
      </w:p>
    </w:sdtContent>
  </w:sdt>
  <w:p w:rsidR="00082DF1" w:rsidRDefault="00082DF1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106" w:rsidRDefault="006C2106" w:rsidP="00082DF1">
      <w:pPr>
        <w:spacing w:after="0" w:line="240" w:lineRule="auto"/>
      </w:pPr>
      <w:r>
        <w:separator/>
      </w:r>
    </w:p>
  </w:footnote>
  <w:footnote w:type="continuationSeparator" w:id="0">
    <w:p w:rsidR="006C2106" w:rsidRDefault="006C2106" w:rsidP="00082D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854"/>
    <w:rsid w:val="00000038"/>
    <w:rsid w:val="00073D0D"/>
    <w:rsid w:val="00082DF1"/>
    <w:rsid w:val="000F1CE0"/>
    <w:rsid w:val="001079F1"/>
    <w:rsid w:val="00122B13"/>
    <w:rsid w:val="00165D21"/>
    <w:rsid w:val="00175819"/>
    <w:rsid w:val="002027DF"/>
    <w:rsid w:val="00206CA6"/>
    <w:rsid w:val="00257B72"/>
    <w:rsid w:val="002F1D6B"/>
    <w:rsid w:val="00304B58"/>
    <w:rsid w:val="00345967"/>
    <w:rsid w:val="00392DC9"/>
    <w:rsid w:val="00462EC0"/>
    <w:rsid w:val="00543E9C"/>
    <w:rsid w:val="00565854"/>
    <w:rsid w:val="005C5639"/>
    <w:rsid w:val="005D41AD"/>
    <w:rsid w:val="005E6049"/>
    <w:rsid w:val="006B0574"/>
    <w:rsid w:val="006C2106"/>
    <w:rsid w:val="00743AB5"/>
    <w:rsid w:val="00750505"/>
    <w:rsid w:val="00790E82"/>
    <w:rsid w:val="00823597"/>
    <w:rsid w:val="008A2851"/>
    <w:rsid w:val="008B18EB"/>
    <w:rsid w:val="008C177B"/>
    <w:rsid w:val="00933975"/>
    <w:rsid w:val="00956019"/>
    <w:rsid w:val="009859D7"/>
    <w:rsid w:val="00B335B5"/>
    <w:rsid w:val="00B62DFA"/>
    <w:rsid w:val="00B657DB"/>
    <w:rsid w:val="00BE7DE8"/>
    <w:rsid w:val="00C079EB"/>
    <w:rsid w:val="00CC174B"/>
    <w:rsid w:val="00D14354"/>
    <w:rsid w:val="00D60E78"/>
    <w:rsid w:val="00DC098E"/>
    <w:rsid w:val="00DC1B91"/>
    <w:rsid w:val="00DC6FD1"/>
    <w:rsid w:val="00E01148"/>
    <w:rsid w:val="00E552C5"/>
    <w:rsid w:val="00F54988"/>
    <w:rsid w:val="00F97F56"/>
    <w:rsid w:val="00FE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styleId="af5">
    <w:name w:val="Hyperlink"/>
    <w:basedOn w:val="a0"/>
    <w:uiPriority w:val="99"/>
    <w:unhideWhenUsed/>
    <w:rsid w:val="00CC174B"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rsid w:val="00082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082DF1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082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082DF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styleId="af5">
    <w:name w:val="Hyperlink"/>
    <w:basedOn w:val="a0"/>
    <w:uiPriority w:val="99"/>
    <w:unhideWhenUsed/>
    <w:rsid w:val="00CC174B"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rsid w:val="00082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082DF1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082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082D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tass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1979</Words>
  <Characters>11283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67</cp:revision>
  <dcterms:created xsi:type="dcterms:W3CDTF">2021-02-23T13:04:00Z</dcterms:created>
  <dcterms:modified xsi:type="dcterms:W3CDTF">2021-02-23T17:08:00Z</dcterms:modified>
</cp:coreProperties>
</file>