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56" w:rsidRDefault="00FE2AB4" w:rsidP="00FE2AB4">
      <w:pPr>
        <w:jc w:val="center"/>
      </w:pPr>
      <w:r>
        <w:t>Обзор изменений законодательства</w:t>
      </w:r>
    </w:p>
    <w:p w:rsidR="00CC388A" w:rsidRPr="00C44541" w:rsidRDefault="009466B2" w:rsidP="00C44541">
      <w:pPr>
        <w:pStyle w:val="aa"/>
        <w:ind w:firstLine="851"/>
        <w:jc w:val="center"/>
        <w:rPr>
          <w:u w:val="single"/>
        </w:rPr>
      </w:pPr>
      <w:r w:rsidRPr="00C44541">
        <w:rPr>
          <w:u w:val="single"/>
        </w:rPr>
        <w:t xml:space="preserve">Регламентированы правила информационно-технологического взаимодействия </w:t>
      </w:r>
      <w:proofErr w:type="spellStart"/>
      <w:r w:rsidRPr="00C44541">
        <w:rPr>
          <w:u w:val="single"/>
        </w:rPr>
        <w:t>информсистем</w:t>
      </w:r>
      <w:proofErr w:type="spellEnd"/>
      <w:r w:rsidRPr="00C44541">
        <w:rPr>
          <w:u w:val="single"/>
        </w:rPr>
        <w:t xml:space="preserve">, </w:t>
      </w:r>
      <w:proofErr w:type="gramStart"/>
      <w:r w:rsidRPr="00C44541">
        <w:rPr>
          <w:u w:val="single"/>
        </w:rPr>
        <w:t>используемых</w:t>
      </w:r>
      <w:proofErr w:type="gramEnd"/>
      <w:r w:rsidRPr="00C44541">
        <w:rPr>
          <w:u w:val="single"/>
        </w:rPr>
        <w:t xml:space="preserve"> для предоставления </w:t>
      </w:r>
      <w:proofErr w:type="spellStart"/>
      <w:r w:rsidRPr="00C44541">
        <w:rPr>
          <w:u w:val="single"/>
        </w:rPr>
        <w:t>госуслуг</w:t>
      </w:r>
      <w:proofErr w:type="spellEnd"/>
      <w:r w:rsidRPr="00C44541">
        <w:rPr>
          <w:u w:val="single"/>
        </w:rPr>
        <w:t xml:space="preserve"> в электронной форме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 xml:space="preserve">Постановлением </w:t>
      </w:r>
      <w:r w:rsidR="00914F79">
        <w:t>Правительства РФ от 18.09.2021 №</w:t>
      </w:r>
      <w:r w:rsidRPr="00CC388A">
        <w:t xml:space="preserve"> 1575 утверждены Правила информационно-технологического взаимодействия информационных систем, используемых для предоставления государственных и муниципальных услуг в электронной форме.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 xml:space="preserve">Установлено, что реализация такого рода взаимодействия </w:t>
      </w:r>
      <w:proofErr w:type="gramStart"/>
      <w:r w:rsidRPr="00CC388A">
        <w:t>осуществляется</w:t>
      </w:r>
      <w:proofErr w:type="gramEnd"/>
      <w:r w:rsidRPr="00CC388A">
        <w:t xml:space="preserve"> в том числе с использованием ФГИС: </w:t>
      </w:r>
      <w:r w:rsidR="00914F79">
        <w:t>«</w:t>
      </w:r>
      <w:r w:rsidRPr="00CC388A">
        <w:t xml:space="preserve">Федеральный реестр государственных </w:t>
      </w:r>
      <w:r w:rsidR="00914F79">
        <w:t>и муниципальных услуг (функций)»</w:t>
      </w:r>
      <w:r w:rsidRPr="00CC388A">
        <w:t xml:space="preserve">; </w:t>
      </w:r>
      <w:r w:rsidR="00914F79">
        <w:t>«</w:t>
      </w:r>
      <w:r w:rsidRPr="00CC388A">
        <w:t>Единая система но</w:t>
      </w:r>
      <w:r w:rsidR="00914F79">
        <w:t>рмативной справочной информации»</w:t>
      </w:r>
      <w:r w:rsidRPr="00CC388A">
        <w:t xml:space="preserve">; </w:t>
      </w:r>
      <w:r w:rsidR="00914F79">
        <w:t>«</w:t>
      </w:r>
      <w:r w:rsidRPr="00CC388A">
        <w:t>Федеральный ситуационный центр электронного правите</w:t>
      </w:r>
      <w:r w:rsidR="00914F79">
        <w:t>льства»</w:t>
      </w:r>
      <w:r w:rsidRPr="00CC388A">
        <w:t xml:space="preserve">; </w:t>
      </w:r>
      <w:r w:rsidR="00914F79">
        <w:t>«</w:t>
      </w:r>
      <w:r w:rsidRPr="00CC388A">
        <w:t>Единая информационная платформа национал</w:t>
      </w:r>
      <w:r w:rsidR="00914F79">
        <w:t>ьной системы управления данными»</w:t>
      </w:r>
      <w:r w:rsidRPr="00CC388A">
        <w:t>; единой системы межведомственного электронного взаимодействия.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>Органы и организации, являющиеся участниками, осуществляют функции: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>- поставщиков документов и (или) информации, необходимых для предоставления государственных и муниципальных услуг (далее - сведения) (органы и организации, в распоряжении которых находятся сведения, предоставляют их органам и организациям для предоставления государственных или муниципальных услу</w:t>
      </w:r>
      <w:r w:rsidR="00914F79">
        <w:t>г);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>- потребителей сведений.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>Поставщик сведений с использованием информационной системы, используемой для предоставления государственных и муниципальных услуг в электронной форме, оператором которой поставщик сведений является, осуществляет предоставление потребителю сведений в рамках межведомственного информационного взаимодействия. Потребитель получает сведения от поставщика сведений в рамках межведомственного информационного взаимодействия.</w:t>
      </w:r>
    </w:p>
    <w:p w:rsidR="009466B2" w:rsidRPr="00CC388A" w:rsidRDefault="009466B2" w:rsidP="00525E94">
      <w:pPr>
        <w:pStyle w:val="aa"/>
        <w:ind w:firstLine="851"/>
        <w:jc w:val="both"/>
      </w:pPr>
      <w:r w:rsidRPr="00CC388A">
        <w:t>Разногласия между органами и организациями в процессе информационного обмена при предоставлении государственных и муниципальных услуг в электронной форме (далее - разногласия) регулируются при участии администратора информационно-технологического взаимодействия, а также с привлечением единого национального оператора эксплуатации инфраструктуры электронного правительства.</w:t>
      </w:r>
    </w:p>
    <w:p w:rsidR="00FE2AB4" w:rsidRPr="00CC388A" w:rsidRDefault="009466B2" w:rsidP="00525E94">
      <w:pPr>
        <w:pStyle w:val="aa"/>
        <w:ind w:firstLine="851"/>
        <w:jc w:val="both"/>
      </w:pPr>
      <w:r w:rsidRPr="00CC388A">
        <w:t>Дата вступления в силу - 22.03.2022</w:t>
      </w:r>
      <w:r w:rsidR="00914F79">
        <w:t>.</w:t>
      </w:r>
    </w:p>
    <w:p w:rsidR="00914F79" w:rsidRPr="00CC388A" w:rsidRDefault="009724D6" w:rsidP="00914F79">
      <w:pPr>
        <w:pStyle w:val="aa"/>
        <w:ind w:firstLine="851"/>
        <w:jc w:val="center"/>
      </w:pPr>
      <w:r w:rsidRPr="00914F79">
        <w:rPr>
          <w:u w:val="single"/>
        </w:rPr>
        <w:t>Скорректированы требования к предоставлению в электронной форме государственных и муниципальных услуг</w:t>
      </w:r>
    </w:p>
    <w:p w:rsidR="009724D6" w:rsidRPr="00CC388A" w:rsidRDefault="009724D6" w:rsidP="00525E94">
      <w:pPr>
        <w:pStyle w:val="aa"/>
        <w:ind w:firstLine="851"/>
        <w:jc w:val="both"/>
      </w:pPr>
      <w:r w:rsidRPr="00CC388A">
        <w:t xml:space="preserve">Постановлением </w:t>
      </w:r>
      <w:r w:rsidR="00914F79">
        <w:t>Правительства РФ от 18.09.2021 №</w:t>
      </w:r>
      <w:r w:rsidRPr="00CC388A">
        <w:t xml:space="preserve"> 1574 внесены изменения в Требования к предоставлению в электронной форме государственных и муниципальных услуг.</w:t>
      </w:r>
    </w:p>
    <w:p w:rsidR="009724D6" w:rsidRPr="00CC388A" w:rsidRDefault="009724D6" w:rsidP="00525E94">
      <w:pPr>
        <w:pStyle w:val="aa"/>
        <w:ind w:firstLine="851"/>
        <w:jc w:val="both"/>
      </w:pPr>
      <w:r w:rsidRPr="00CC388A">
        <w:t xml:space="preserve">Уточнено, что предоставление услуг посредством ФГИС </w:t>
      </w:r>
      <w:r w:rsidR="00914F79">
        <w:t>«</w:t>
      </w:r>
      <w:r w:rsidRPr="00CC388A">
        <w:t xml:space="preserve">Единый портал государственных </w:t>
      </w:r>
      <w:r w:rsidR="00914F79">
        <w:t>и муниципальных услуг (функций)»</w:t>
      </w:r>
      <w:r w:rsidRPr="00CC388A">
        <w:t xml:space="preserve"> осуществляется на основе сведений, содержащихся во ФГИС </w:t>
      </w:r>
      <w:r w:rsidR="00914F79">
        <w:t>«</w:t>
      </w:r>
      <w:r w:rsidRPr="00CC388A">
        <w:t>Федеральный реестр государственных и муниципальных услуг (функций)</w:t>
      </w:r>
      <w:r w:rsidR="00914F79">
        <w:t>»</w:t>
      </w:r>
      <w:r w:rsidRPr="00CC388A">
        <w:t>.</w:t>
      </w:r>
    </w:p>
    <w:p w:rsidR="009724D6" w:rsidRPr="00CC388A" w:rsidRDefault="009724D6" w:rsidP="00525E94">
      <w:pPr>
        <w:pStyle w:val="aa"/>
        <w:ind w:firstLine="851"/>
        <w:jc w:val="both"/>
      </w:pPr>
      <w:r w:rsidRPr="00CC388A">
        <w:t xml:space="preserve">Дополнено, что предоставление услуг в электронной форме может осуществляться с использованием информационных систем, интегрированных в установленном порядке с единым порталом и обеспечивающих санкционированный доступ заявителей к функциональности единого портала.  </w:t>
      </w:r>
    </w:p>
    <w:p w:rsidR="009724D6" w:rsidRPr="00CC388A" w:rsidRDefault="009724D6" w:rsidP="00525E94">
      <w:pPr>
        <w:pStyle w:val="aa"/>
        <w:ind w:firstLine="851"/>
        <w:jc w:val="both"/>
      </w:pPr>
      <w:r w:rsidRPr="00CC388A">
        <w:t>Кроме того, в случае если административный регламент предоставления государственной услуги предполагает несколько вариантов предоставления услуги, соответственно единым порталом, порталом услуг, официальным сайтом обеспечивается возможность получения информации о порядке и сроках предоставления услуги в рамках соответствующего варианта, при этом определение подходящего для заявителя варианта осуществляется автоматически на основе сведений, указанных заявителем.</w:t>
      </w:r>
      <w:r w:rsidR="00914F79">
        <w:t xml:space="preserve"> </w:t>
      </w:r>
      <w:r w:rsidRPr="00CC388A">
        <w:t xml:space="preserve">Органом (организацией), предоставляющим (предоставляющей) услугу, может быть обеспечена </w:t>
      </w:r>
      <w:r w:rsidRPr="00CC388A">
        <w:lastRenderedPageBreak/>
        <w:t>возможность автоматизированного принятия решения в отношении результата предоставления услуги в порядке, предусмотренном административным регламентом предоставления услуги.</w:t>
      </w:r>
    </w:p>
    <w:p w:rsidR="009724D6" w:rsidRPr="00CC388A" w:rsidRDefault="009724D6" w:rsidP="00525E94">
      <w:pPr>
        <w:pStyle w:val="aa"/>
        <w:ind w:firstLine="851"/>
        <w:jc w:val="both"/>
      </w:pPr>
      <w:r w:rsidRPr="00CC388A">
        <w:t>Дата вступления в силу - 22.03.2022</w:t>
      </w:r>
      <w:r w:rsidR="00914F79">
        <w:t>.</w:t>
      </w:r>
    </w:p>
    <w:p w:rsidR="00F96FE1" w:rsidRPr="00CC388A" w:rsidRDefault="003C04F2" w:rsidP="00F96FE1">
      <w:pPr>
        <w:pStyle w:val="aa"/>
        <w:ind w:firstLine="851"/>
        <w:jc w:val="center"/>
      </w:pPr>
      <w:r w:rsidRPr="00914F79">
        <w:rPr>
          <w:u w:val="single"/>
        </w:rPr>
        <w:t>Утверждены Правила формирования и ведения единого реестра учета лицензий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 xml:space="preserve">Подписано постановление </w:t>
      </w:r>
      <w:r w:rsidR="00F96FE1">
        <w:t>Правительства РФ от 14.09.2021 №</w:t>
      </w:r>
      <w:r w:rsidRPr="00CC388A">
        <w:t xml:space="preserve"> 1559 </w:t>
      </w:r>
      <w:r w:rsidR="00F96FE1">
        <w:t>«</w:t>
      </w:r>
      <w:r w:rsidRPr="00CC388A">
        <w:t>Об изменении и о признании утратившими силу некоторых актов Пра</w:t>
      </w:r>
      <w:r w:rsidR="00F96FE1">
        <w:t>вительства Российской Федерации»</w:t>
      </w:r>
      <w:r w:rsidRPr="00CC388A">
        <w:t>,  которым внесены изменения в целый ряд актов Правительства РФ по вопросам лицензирования. Изменения связаны с переходом на электронный формат лицензий.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В частности, постановлени</w:t>
      </w:r>
      <w:r w:rsidR="00F96FE1">
        <w:t>е Правительства РФ от 24.10.</w:t>
      </w:r>
      <w:r w:rsidRPr="00CC388A">
        <w:t xml:space="preserve">2011 </w:t>
      </w:r>
      <w:r w:rsidR="00F96FE1">
        <w:t>№</w:t>
      </w:r>
      <w:r w:rsidRPr="00CC388A">
        <w:t xml:space="preserve"> 861 </w:t>
      </w:r>
      <w:r w:rsidR="00F96FE1">
        <w:t>«</w:t>
      </w:r>
      <w:r w:rsidRPr="00CC388A">
        <w:t>О федеральных государственных информационных системах, обеспечивающих предоставление в электронной форме государственных и муниципальны</w:t>
      </w:r>
      <w:r w:rsidR="00F96FE1">
        <w:t>х услуг (осуществление функций)»</w:t>
      </w:r>
      <w:r w:rsidRPr="00CC388A">
        <w:t xml:space="preserve"> дополнено приложением, в котором содержатся Правила формирования и ведения единого реестра учета лицензий и присвоения лицензиям регистрационных номеров с использованием указанного реестра.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Реестр создается в целях информационного обеспечения организации и осуществления лицензирования отдельных видов деятельности, систематизации и учета сведений, обмен которыми осуществляется в рамках лицензирования отдельных видов деятельности, обеспечения открытости деятельности лицензирующими органами.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 xml:space="preserve">Реестр является подсистемой ФГИС </w:t>
      </w:r>
      <w:r w:rsidR="00F96FE1">
        <w:t>«</w:t>
      </w:r>
      <w:r w:rsidRPr="00CC388A">
        <w:t xml:space="preserve">Федеральный реестр государственных </w:t>
      </w:r>
      <w:r w:rsidR="00F96FE1">
        <w:t>и муниципальных услуг (функций)»</w:t>
      </w:r>
      <w:r w:rsidRPr="00CC388A">
        <w:t>. Реестр включает в себя следующие сведения: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а) перечень лицензируемых видов деятельности;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б) сведения о лицензирующих органах, их территориальных подразделениях, осуществляющих лицензирование;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в) сведения по вопросам осуществления лицензируемых видов деятельности.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Общедоступные сведения, содержащиеся в реестре, должны быть доступны для ознакомления без взимания платы на официальном сайте реестра.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>Также изменения внесены в Правила предоставления документов по вопросам лицензирования в форме электронных документов, в постановление об организации лицензирования отдельных видов деятельности, постановление об утверждении Правил формирования и ведения реестра лицензий и типовой формы выписки из реестра лицензий.</w:t>
      </w:r>
    </w:p>
    <w:p w:rsidR="003C04F2" w:rsidRPr="00CC388A" w:rsidRDefault="003C04F2" w:rsidP="00525E94">
      <w:pPr>
        <w:pStyle w:val="aa"/>
        <w:ind w:firstLine="851"/>
        <w:jc w:val="both"/>
      </w:pPr>
      <w:r w:rsidRPr="00CC388A">
        <w:t xml:space="preserve">Постановление о порядке формирования плана проведения плановых контрольных (надзорных) мероприятий дополнено следующим положением. </w:t>
      </w:r>
      <w:proofErr w:type="gramStart"/>
      <w:r w:rsidRPr="00CC388A">
        <w:t xml:space="preserve">Формирование планов проведения плановых проверок на 2022 год в отношении видов лицензионного контроля, регулирование которых с 1 марта 2022 г. осуществляется на основании Федерального закона </w:t>
      </w:r>
      <w:r w:rsidR="00F96FE1">
        <w:t>«</w:t>
      </w:r>
      <w:r w:rsidRPr="00CC388A">
        <w:t xml:space="preserve">О государственном контроле (надзоре) и муниципальном </w:t>
      </w:r>
      <w:r w:rsidR="00F96FE1">
        <w:t>контроле в Российской Федерации»</w:t>
      </w:r>
      <w:r w:rsidRPr="00CC388A">
        <w:t xml:space="preserve">, производится в соответствии с Федеральным законом </w:t>
      </w:r>
      <w:r w:rsidR="00F96FE1">
        <w:t>«</w:t>
      </w:r>
      <w:r w:rsidRPr="00CC388A">
        <w:t>О защите прав юридических лиц и индивидуальных предпринимателей при осуществлении государственного контроля (над</w:t>
      </w:r>
      <w:r w:rsidR="00F96FE1">
        <w:t>зора) и муниципального контроля»</w:t>
      </w:r>
      <w:r w:rsidRPr="00CC388A">
        <w:t>.</w:t>
      </w:r>
      <w:proofErr w:type="gramEnd"/>
    </w:p>
    <w:p w:rsidR="003C04F2" w:rsidRPr="00CC388A" w:rsidRDefault="003C04F2" w:rsidP="00525E94">
      <w:pPr>
        <w:pStyle w:val="aa"/>
        <w:ind w:firstLine="851"/>
        <w:jc w:val="both"/>
      </w:pPr>
      <w:r w:rsidRPr="00CC388A">
        <w:t xml:space="preserve">Постановление от </w:t>
      </w:r>
      <w:r w:rsidR="00F96FE1">
        <w:t>0</w:t>
      </w:r>
      <w:r w:rsidRPr="00CC388A">
        <w:t>6</w:t>
      </w:r>
      <w:r w:rsidR="00F96FE1">
        <w:t>.10.</w:t>
      </w:r>
      <w:r w:rsidRPr="00CC388A">
        <w:t>2011</w:t>
      </w:r>
      <w:r w:rsidR="00F96FE1">
        <w:t xml:space="preserve"> №</w:t>
      </w:r>
      <w:r w:rsidRPr="00CC388A">
        <w:t xml:space="preserve"> 826 </w:t>
      </w:r>
      <w:r w:rsidR="00F96FE1">
        <w:t>«</w:t>
      </w:r>
      <w:r w:rsidRPr="00CC388A">
        <w:t>Об утверждении типовой ф</w:t>
      </w:r>
      <w:r w:rsidR="00F96FE1">
        <w:t>ормы лицензии»</w:t>
      </w:r>
      <w:r w:rsidRPr="00CC388A">
        <w:t xml:space="preserve"> признается утратившим силу.</w:t>
      </w:r>
    </w:p>
    <w:p w:rsidR="003929D2" w:rsidRPr="00CC388A" w:rsidRDefault="003C04F2" w:rsidP="00525E94">
      <w:pPr>
        <w:pStyle w:val="aa"/>
        <w:ind w:firstLine="851"/>
        <w:jc w:val="both"/>
      </w:pPr>
      <w:r w:rsidRPr="00CC388A">
        <w:t>Дата вступления в силу - 01.03.2022</w:t>
      </w:r>
      <w:r w:rsidR="00F96FE1">
        <w:t>.</w:t>
      </w:r>
    </w:p>
    <w:p w:rsidR="0017189E" w:rsidRPr="00CC388A" w:rsidRDefault="00566ADC" w:rsidP="0017189E">
      <w:pPr>
        <w:pStyle w:val="aa"/>
        <w:ind w:firstLine="851"/>
        <w:jc w:val="center"/>
      </w:pPr>
      <w:r w:rsidRPr="00F96FE1">
        <w:rPr>
          <w:u w:val="single"/>
        </w:rPr>
        <w:t>Правительство скорректировало правила поддержки организаций в сфере дополнительного образования</w:t>
      </w:r>
    </w:p>
    <w:p w:rsidR="00566ADC" w:rsidRPr="00CC388A" w:rsidRDefault="00566ADC" w:rsidP="00525E94">
      <w:pPr>
        <w:pStyle w:val="aa"/>
        <w:ind w:firstLine="851"/>
        <w:jc w:val="both"/>
      </w:pPr>
      <w:r w:rsidRPr="00CC388A">
        <w:t xml:space="preserve">Организации и индивидуальные предприниматели, занимающиеся развитием дополнительного образования для детей, смогут получить господдержку в виде субсидии на частичную компенсацию своих затрат. Постановление об этом утвердил Председатель Правительства Михаил </w:t>
      </w:r>
      <w:proofErr w:type="spellStart"/>
      <w:r w:rsidRPr="00CC388A">
        <w:t>Мишустин</w:t>
      </w:r>
      <w:proofErr w:type="spellEnd"/>
      <w:r w:rsidRPr="00CC388A">
        <w:t>.</w:t>
      </w:r>
      <w:r w:rsidR="0017189E">
        <w:t xml:space="preserve"> </w:t>
      </w:r>
      <w:r w:rsidRPr="00CC388A">
        <w:t xml:space="preserve">Ранее такие компании могли рассчитывать на возмещение расходов, связанных с уплатой процентов по кредитам. По просьбе бизнеса </w:t>
      </w:r>
      <w:r w:rsidRPr="00CC388A">
        <w:lastRenderedPageBreak/>
        <w:t>правительство пересмотрело эту меру поддержки, и теперь компенсации подлежит 5% от суммы фактических затрат на совершенствование образовательной инфраструктуры, текущий и капитальный ремонт зданий, модернизацию и покупку оборудования, учебных пособий, игр и расходных материалов. Помимо этого возмещением можно воспользоваться при найме квалифицированных специалистов для работы с детьми с особенностями развития.</w:t>
      </w:r>
    </w:p>
    <w:p w:rsidR="00566ADC" w:rsidRPr="00CC388A" w:rsidRDefault="00566ADC" w:rsidP="00525E94">
      <w:pPr>
        <w:pStyle w:val="aa"/>
        <w:ind w:firstLine="851"/>
        <w:jc w:val="both"/>
      </w:pPr>
      <w:r w:rsidRPr="00CC388A">
        <w:t xml:space="preserve">Мера поддержки также распространяется на компании, которые занимаются оздоровлением детей и обеспечением детского отдыха. Для получения субсидии необходимо принять участие в конкурсном отборе, который организует </w:t>
      </w:r>
      <w:proofErr w:type="spellStart"/>
      <w:r w:rsidRPr="00CC388A">
        <w:t>Минпросвещения</w:t>
      </w:r>
      <w:proofErr w:type="spellEnd"/>
      <w:r w:rsidRPr="00CC388A">
        <w:t xml:space="preserve">. </w:t>
      </w:r>
      <w:r w:rsidR="0017189E">
        <w:t xml:space="preserve">              </w:t>
      </w:r>
      <w:r w:rsidRPr="00CC388A">
        <w:t>Информация о сроках его проведения будет размещена на сайте министерства.</w:t>
      </w:r>
    </w:p>
    <w:p w:rsidR="00566ADC" w:rsidRPr="00CC388A" w:rsidRDefault="00566ADC" w:rsidP="00525E94">
      <w:pPr>
        <w:pStyle w:val="aa"/>
        <w:ind w:firstLine="851"/>
        <w:jc w:val="both"/>
      </w:pPr>
      <w:r w:rsidRPr="00CC388A">
        <w:t>Принятое решение позволит поддержать предпринимателей, работающих в социальной сфере, станет дополнительным стимулом для привлечения инвестиций в развитие частного дополнительного образования и детского отдыха.</w:t>
      </w:r>
    </w:p>
    <w:p w:rsidR="00566ADC" w:rsidRPr="00CC388A" w:rsidRDefault="00566ADC" w:rsidP="00525E94">
      <w:pPr>
        <w:pStyle w:val="aa"/>
        <w:ind w:firstLine="851"/>
        <w:jc w:val="both"/>
      </w:pPr>
      <w:r w:rsidRPr="00CC388A">
        <w:t>Дата вступления в силу - 30.09.2021</w:t>
      </w:r>
      <w:r w:rsidR="0017189E">
        <w:t>.</w:t>
      </w:r>
    </w:p>
    <w:p w:rsidR="0017189E" w:rsidRPr="00CC388A" w:rsidRDefault="007D0968" w:rsidP="0017189E">
      <w:pPr>
        <w:pStyle w:val="aa"/>
        <w:ind w:firstLine="851"/>
        <w:jc w:val="center"/>
      </w:pPr>
      <w:r w:rsidRPr="0017189E">
        <w:rPr>
          <w:u w:val="single"/>
        </w:rPr>
        <w:t>Утверждены формы документов для получения социального вычета по страхованию жизни и имущественного вычета на покупку или строительство жилья</w:t>
      </w:r>
    </w:p>
    <w:p w:rsidR="007D0968" w:rsidRPr="00CC388A" w:rsidRDefault="007D0968" w:rsidP="00525E94">
      <w:pPr>
        <w:pStyle w:val="aa"/>
        <w:ind w:firstLine="851"/>
        <w:jc w:val="both"/>
      </w:pPr>
      <w:proofErr w:type="gramStart"/>
      <w:r w:rsidRPr="00CC388A">
        <w:t>В соответствии с пунктом 2 статьи 219 и пунктом 8 статьи 220 НК РФ, которыми установлена возможность получить социальный налоговый вычет в сумме страховых взносов по договорам добровольного страхования жизни и имущественный вычет на строительство или покупку жилья, для чего нужно соответствующее уведомление налогового органа, при</w:t>
      </w:r>
      <w:r w:rsidR="0017189E">
        <w:t>казом ФНС России от 17.08.2021 №</w:t>
      </w:r>
      <w:r w:rsidRPr="00CC388A">
        <w:t xml:space="preserve"> ЕД-7-11/755@ утверждены:</w:t>
      </w:r>
      <w:proofErr w:type="gramEnd"/>
    </w:p>
    <w:p w:rsidR="007D0968" w:rsidRPr="00CC388A" w:rsidRDefault="007D0968" w:rsidP="00525E94">
      <w:pPr>
        <w:pStyle w:val="aa"/>
        <w:ind w:firstLine="851"/>
        <w:jc w:val="both"/>
      </w:pPr>
      <w:r w:rsidRPr="00CC388A">
        <w:t>- форма заявления о подтверждении права налогоплательщика на получение социальных налоговых вычетов, предусмотренных подпунктами 2, 3, 4 (в части социального налогового вычета в сумме страховых взносов по договору (договорам) добровольного страхования жизни) и 7 пункта 1 статьи 219 НК РФ, порядок её заполнения и электронный формат представления;</w:t>
      </w:r>
    </w:p>
    <w:p w:rsidR="007D0968" w:rsidRPr="00CC388A" w:rsidRDefault="007D0968" w:rsidP="00525E94">
      <w:pPr>
        <w:pStyle w:val="aa"/>
        <w:ind w:firstLine="851"/>
        <w:jc w:val="both"/>
      </w:pPr>
      <w:r w:rsidRPr="00CC388A">
        <w:t>- форма уведомления о подтверждении права налогоплательщика на получение социальных налоговых вычетов, предусмотренных подпунктами 2, 3, 4 (в части социального налогового вычета в сумме страховых взносов по договору (договорам) добровольного страхования жизни) и 7 пункта 1 статьи 219 НК РФ;</w:t>
      </w:r>
    </w:p>
    <w:p w:rsidR="007D0968" w:rsidRPr="00CC388A" w:rsidRDefault="007D0968" w:rsidP="00525E94">
      <w:pPr>
        <w:pStyle w:val="aa"/>
        <w:ind w:firstLine="851"/>
        <w:jc w:val="both"/>
      </w:pPr>
      <w:r w:rsidRPr="00CC388A">
        <w:t>- форма заявления о подтверждении права налогоплательщика на получение имущественных налоговых вычетов, предусмотренных подпунктами 3 и 4 пункта 1 статьи 220 НК РФ; порядок её заполнения и электронный формат представления;</w:t>
      </w:r>
    </w:p>
    <w:p w:rsidR="007D0968" w:rsidRPr="00CC388A" w:rsidRDefault="007D0968" w:rsidP="00525E94">
      <w:pPr>
        <w:pStyle w:val="aa"/>
        <w:ind w:firstLine="851"/>
        <w:jc w:val="both"/>
      </w:pPr>
      <w:r w:rsidRPr="00CC388A">
        <w:t>- форма уведомления о подтверждении права налогоплательщика на получение имущественных налоговых вычетов, предусмотренных подпунктами 3 и 4 пункта 1 статьи 220 НК РФ.</w:t>
      </w:r>
    </w:p>
    <w:p w:rsidR="007D0968" w:rsidRPr="00CC388A" w:rsidRDefault="007D0968" w:rsidP="00525E94">
      <w:pPr>
        <w:pStyle w:val="aa"/>
        <w:ind w:firstLine="851"/>
        <w:jc w:val="both"/>
      </w:pPr>
      <w:r w:rsidRPr="00CC388A">
        <w:t>Уведомления в электронной форме направляются в формате PDF.</w:t>
      </w:r>
    </w:p>
    <w:p w:rsidR="007D0968" w:rsidRPr="00CC388A" w:rsidRDefault="007D0968" w:rsidP="00525E94">
      <w:pPr>
        <w:pStyle w:val="aa"/>
        <w:ind w:firstLine="851"/>
        <w:jc w:val="both"/>
      </w:pPr>
      <w:r w:rsidRPr="00CC388A">
        <w:t>Приказ вступает в силу с 01.01.2022.</w:t>
      </w:r>
    </w:p>
    <w:p w:rsidR="00D02810" w:rsidRPr="00CC388A" w:rsidRDefault="00EE15EE" w:rsidP="00D02810">
      <w:pPr>
        <w:pStyle w:val="aa"/>
        <w:ind w:firstLine="851"/>
        <w:jc w:val="center"/>
      </w:pPr>
      <w:r w:rsidRPr="00761AE3">
        <w:rPr>
          <w:u w:val="single"/>
        </w:rPr>
        <w:t>В Минтруде сообщили об индексации страховых пенсий на 5,9% в 2022 году</w:t>
      </w:r>
    </w:p>
    <w:p w:rsidR="00EE15EE" w:rsidRPr="00CC388A" w:rsidRDefault="00EE15EE" w:rsidP="00525E94">
      <w:pPr>
        <w:pStyle w:val="aa"/>
        <w:ind w:firstLine="851"/>
        <w:jc w:val="both"/>
      </w:pPr>
      <w:r w:rsidRPr="00CC388A">
        <w:t xml:space="preserve">В 2022 году россиянам проиндексируют пенсии на 5,9%, рассказал глава Минтруда Антон </w:t>
      </w:r>
      <w:proofErr w:type="spellStart"/>
      <w:r w:rsidRPr="00CC388A">
        <w:t>Котяков</w:t>
      </w:r>
      <w:proofErr w:type="spellEnd"/>
      <w:r w:rsidRPr="00CC388A">
        <w:t>. Он напомнил, что индексация страховой пенсии проводится на уровне выше годовой инфляции, которая, по прогнозам Минэкономразвития, составит 5,8%.</w:t>
      </w:r>
    </w:p>
    <w:p w:rsidR="00EE15EE" w:rsidRPr="00CC388A" w:rsidRDefault="00D02810" w:rsidP="00525E94">
      <w:pPr>
        <w:pStyle w:val="aa"/>
        <w:ind w:firstLine="851"/>
        <w:jc w:val="both"/>
      </w:pPr>
      <w:r>
        <w:t>«</w:t>
      </w:r>
      <w:r w:rsidR="00EE15EE" w:rsidRPr="00CC388A">
        <w:t>С учетом этого планируемая в 2022 году индексация остается в параметрах трехлетнего б</w:t>
      </w:r>
      <w:r>
        <w:t>юджета - на уровне 5,9 процента»</w:t>
      </w:r>
      <w:r w:rsidR="00EE15EE" w:rsidRPr="00CC388A">
        <w:t>, - отметил министр.</w:t>
      </w:r>
    </w:p>
    <w:p w:rsidR="00EE15EE" w:rsidRPr="00CC388A" w:rsidRDefault="00EE15EE" w:rsidP="00525E94">
      <w:pPr>
        <w:pStyle w:val="aa"/>
        <w:ind w:firstLine="851"/>
        <w:jc w:val="both"/>
      </w:pPr>
      <w:proofErr w:type="spellStart"/>
      <w:r w:rsidRPr="00CC388A">
        <w:t>Котяков</w:t>
      </w:r>
      <w:proofErr w:type="spellEnd"/>
      <w:r w:rsidRPr="00CC388A">
        <w:t xml:space="preserve"> уточнил, что в 2022 году среднегодовой размер пенсии по старости неработающего пенсионера составит 18521 рубль, в 2023-м - 19477 рублей, а в 2024-м - 20469 рублей.</w:t>
      </w:r>
    </w:p>
    <w:p w:rsidR="00EE15EE" w:rsidRPr="00CC388A" w:rsidRDefault="00EE15EE" w:rsidP="00525E94">
      <w:pPr>
        <w:pStyle w:val="aa"/>
        <w:ind w:firstLine="851"/>
        <w:jc w:val="both"/>
      </w:pPr>
      <w:r w:rsidRPr="00CC388A">
        <w:t xml:space="preserve">Ранее сенатор Елена Бибикова сообщила, что с 1 января 2022 года пенсионеры будут получать </w:t>
      </w:r>
      <w:r w:rsidR="00D02810">
        <w:t>«</w:t>
      </w:r>
      <w:r w:rsidRPr="00CC388A">
        <w:t xml:space="preserve">сельскую" надбавку к пенсии даже после переезда в город. Она составляет 25% от фиксированной выплаты и назначается неработающим россиянам, </w:t>
      </w:r>
      <w:r w:rsidRPr="00CC388A">
        <w:lastRenderedPageBreak/>
        <w:t>которые 30 и более лет трудились в сельхозпроизводстве и проживают в сельской местности.</w:t>
      </w:r>
      <w:r w:rsidR="00D02810">
        <w:t xml:space="preserve"> </w:t>
      </w:r>
      <w:r w:rsidRPr="00CC388A">
        <w:t>Источник:</w:t>
      </w:r>
      <w:r w:rsidRPr="00CC388A">
        <w:t xml:space="preserve"> </w:t>
      </w:r>
      <w:hyperlink r:id="rId8" w:history="1">
        <w:r w:rsidR="00BE3B07" w:rsidRPr="00CC388A">
          <w:rPr>
            <w:rStyle w:val="af5"/>
          </w:rPr>
          <w:t>https://rg.ru/</w:t>
        </w:r>
      </w:hyperlink>
      <w:r w:rsidR="00D02810">
        <w:t>.</w:t>
      </w:r>
    </w:p>
    <w:p w:rsidR="004026B1" w:rsidRPr="00CC388A" w:rsidRDefault="00BE3B07" w:rsidP="004026B1">
      <w:pPr>
        <w:pStyle w:val="aa"/>
        <w:ind w:firstLine="851"/>
        <w:jc w:val="center"/>
      </w:pPr>
      <w:r w:rsidRPr="00D02810">
        <w:rPr>
          <w:u w:val="single"/>
        </w:rPr>
        <w:t>В ПФР напомнили о праве наследников на пенсионные накопления</w:t>
      </w:r>
    </w:p>
    <w:p w:rsidR="00BE3B07" w:rsidRPr="00CC388A" w:rsidRDefault="00BE3B07" w:rsidP="00525E94">
      <w:pPr>
        <w:pStyle w:val="aa"/>
        <w:ind w:firstLine="851"/>
        <w:jc w:val="both"/>
      </w:pPr>
      <w:r w:rsidRPr="00CC388A">
        <w:t>Если у человека есть пенсионные накопления, то он имеет право заранее определить правопреемников этих средств. Ведь может случиться, что правообладатель пенсионных накоплений при жизни не успеет их получить.</w:t>
      </w:r>
    </w:p>
    <w:p w:rsidR="00BE3B07" w:rsidRPr="00CC388A" w:rsidRDefault="00BE3B07" w:rsidP="00525E94">
      <w:pPr>
        <w:pStyle w:val="aa"/>
        <w:ind w:firstLine="851"/>
        <w:jc w:val="both"/>
      </w:pPr>
      <w:r w:rsidRPr="00CC388A">
        <w:t>Для того чтобы определить правопреемников, человеку необходимо подать заявление в Пенсионный фонд РФ (или в негосударственный пенсионный фонд, если пенсионные накопления формируются в нем), напоминают эксперты отделения Пенсионного фонда России по Саратовской области. В заявлении необходимо указать своих правопреемников и то, в каких долях будут распределяться между ними накопления в случае смерти правообладателя.</w:t>
      </w:r>
    </w:p>
    <w:p w:rsidR="00BE3B07" w:rsidRPr="00CC388A" w:rsidRDefault="00BE3B07" w:rsidP="00525E94">
      <w:pPr>
        <w:pStyle w:val="aa"/>
        <w:ind w:firstLine="851"/>
        <w:jc w:val="both"/>
      </w:pPr>
      <w:proofErr w:type="gramStart"/>
      <w:r w:rsidRPr="00CC388A">
        <w:t>При этом стоит отметить, что если при жизни человек не определил, кто получит его пенсионные накопления, то по закону правопреемниками будут считаться его ближайшие родственники: первая очередь - дети (в том числе усыновленные), супруг, родители (усыновители); вторая очередь (при отсутствии первой) - братья, сестры, дедушки, бабушки, внуки.</w:t>
      </w:r>
      <w:proofErr w:type="gramEnd"/>
    </w:p>
    <w:p w:rsidR="00BE3B07" w:rsidRPr="00CC388A" w:rsidRDefault="00BE3B07" w:rsidP="00525E94">
      <w:pPr>
        <w:pStyle w:val="aa"/>
        <w:ind w:firstLine="851"/>
        <w:jc w:val="both"/>
      </w:pPr>
      <w:r w:rsidRPr="00CC388A">
        <w:t>В ПФР напоминают, что средства пенсионных накоплений имеются не у всех. В 2002-2004 годах они формировались у женщин 1957 года рождения и моложе, у мужчин 1953 года рождения и моложе. С 2005 года пенсионные накопления пополнялись только у граждан 1967 года рождения и моложе за счет уплаты работодателем страховых взносов в Пенсионный фонд России. С 2014 года все страховые взносы работодателей идут на формирование только страховой пенсии их работников, новыми взносами пенсионные накопления не пополняются.</w:t>
      </w:r>
    </w:p>
    <w:p w:rsidR="00BE3B07" w:rsidRPr="00CC388A" w:rsidRDefault="00BE3B07" w:rsidP="00525E94">
      <w:pPr>
        <w:pStyle w:val="aa"/>
        <w:ind w:firstLine="851"/>
        <w:jc w:val="both"/>
      </w:pPr>
      <w:r w:rsidRPr="00CC388A">
        <w:t xml:space="preserve">Также пенсионные накопления имеются у участников Программы государственного </w:t>
      </w:r>
      <w:proofErr w:type="spellStart"/>
      <w:r w:rsidRPr="00CC388A">
        <w:t>софинансирования</w:t>
      </w:r>
      <w:proofErr w:type="spellEnd"/>
      <w:r w:rsidRPr="00CC388A">
        <w:t xml:space="preserve"> пенсий, а также у тех, кто направил средства материнского (семейного) капитала на формирование накопительной пенсии.</w:t>
      </w:r>
    </w:p>
    <w:p w:rsidR="00BE3B07" w:rsidRPr="00CC388A" w:rsidRDefault="00BE3B07" w:rsidP="00525E94">
      <w:pPr>
        <w:pStyle w:val="aa"/>
        <w:ind w:firstLine="851"/>
        <w:jc w:val="both"/>
      </w:pPr>
      <w:r w:rsidRPr="00CC388A">
        <w:t xml:space="preserve">В случае смерти обладателя пенсионных накоплений его правопреемники могут обратиться за выплатой накоплений в течение шести месяцев со дня смерти застрахованного лица. Обращаться нужно либо в ПФР, либо в негосударственный пенсионный фонд, который формировал накопительную пенсию гражданина. Если правопреемник пропустит шестимесячный срок, то он может восстановить его в судебном </w:t>
      </w:r>
      <w:proofErr w:type="spellStart"/>
      <w:r w:rsidRPr="00CC388A">
        <w:t>порядке</w:t>
      </w:r>
      <w:proofErr w:type="gramStart"/>
      <w:r w:rsidRPr="00CC388A">
        <w:t>.И</w:t>
      </w:r>
      <w:proofErr w:type="gramEnd"/>
      <w:r w:rsidRPr="00CC388A">
        <w:t>сточник:</w:t>
      </w:r>
      <w:hyperlink r:id="rId9" w:history="1">
        <w:r w:rsidR="008A0242" w:rsidRPr="00CC388A">
          <w:rPr>
            <w:rStyle w:val="af5"/>
          </w:rPr>
          <w:t>https</w:t>
        </w:r>
        <w:proofErr w:type="spellEnd"/>
        <w:r w:rsidR="008A0242" w:rsidRPr="00CC388A">
          <w:rPr>
            <w:rStyle w:val="af5"/>
          </w:rPr>
          <w:t>://rg.ru/</w:t>
        </w:r>
      </w:hyperlink>
      <w:r w:rsidR="004026B1">
        <w:t>.</w:t>
      </w:r>
    </w:p>
    <w:p w:rsidR="008A0242" w:rsidRPr="00CC388A" w:rsidRDefault="008A0242" w:rsidP="002211EF">
      <w:pPr>
        <w:pStyle w:val="aa"/>
        <w:ind w:firstLine="851"/>
        <w:jc w:val="center"/>
      </w:pPr>
      <w:r w:rsidRPr="004026B1">
        <w:rPr>
          <w:u w:val="single"/>
        </w:rPr>
        <w:t xml:space="preserve">Минздрав изменил </w:t>
      </w:r>
      <w:proofErr w:type="spellStart"/>
      <w:r w:rsidRPr="004026B1">
        <w:rPr>
          <w:u w:val="single"/>
        </w:rPr>
        <w:t>методрекомендации</w:t>
      </w:r>
      <w:proofErr w:type="spellEnd"/>
      <w:r w:rsidRPr="004026B1">
        <w:rPr>
          <w:u w:val="single"/>
        </w:rPr>
        <w:t xml:space="preserve"> по профилактике, диагностике и лечению COVID-19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Двенадцатую версию временных рекомендаций дополнили вариантами диагностики и лечения инвазивных аспергиллеза и кандидоза. Обновили разделы по этиотропному и патогенетическому лечению и др. Рассмотрим некоторые новшества.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Этиологическая лабораторная диагностика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Уточнили, что основное значение для этиологической лабораторной диагностики COVID-19 имеет не только выявление РНК SARS-CoV-2 с помощью МАНК, как и ранее, но и обнаружение антигенов </w:t>
      </w:r>
      <w:proofErr w:type="spellStart"/>
      <w:r w:rsidRPr="00CC388A">
        <w:t>коронавируса</w:t>
      </w:r>
      <w:proofErr w:type="spellEnd"/>
      <w:r w:rsidRPr="00CC388A">
        <w:t xml:space="preserve"> с помощью иммунохимических методов (п. 4.2.1 разд. 4.2 рекомендаций).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Анализ на РНК SARS-CoV-2 </w:t>
      </w:r>
      <w:proofErr w:type="gramStart"/>
      <w:r w:rsidRPr="00CC388A">
        <w:t>проводят пациентам без признаков ОРИ</w:t>
      </w:r>
      <w:proofErr w:type="gramEnd"/>
      <w:r w:rsidRPr="00CC388A">
        <w:t xml:space="preserve"> в следующих случаях (п. 4.2.1 разд. 4.2 рекомендаций):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есть профессиональные контакты с биоматериалом больных </w:t>
      </w:r>
      <w:proofErr w:type="spellStart"/>
      <w:r w:rsidRPr="00CC388A">
        <w:t>коронавирусом</w:t>
      </w:r>
      <w:proofErr w:type="spellEnd"/>
      <w:r w:rsidRPr="00CC388A">
        <w:t xml:space="preserve"> и лиц с подозрением на него;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рождение от матери, у которой в течение 14 дней до родов был подозрительный или подтвержденный COVID-19.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Ранее этот перечень был шире. Обследовали, в частности, тех, кто за 14 дней до обращения в </w:t>
      </w:r>
      <w:proofErr w:type="spellStart"/>
      <w:r w:rsidRPr="00CC388A">
        <w:t>медорганизацию</w:t>
      </w:r>
      <w:proofErr w:type="spellEnd"/>
      <w:r w:rsidRPr="00CC388A">
        <w:t xml:space="preserve"> вернулся из-за рубежа.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Диагностика и лечение инвазивных аспергиллеза и кандидоза</w:t>
      </w:r>
    </w:p>
    <w:p w:rsidR="008A0242" w:rsidRPr="00CC388A" w:rsidRDefault="008A0242" w:rsidP="00525E94">
      <w:pPr>
        <w:pStyle w:val="aa"/>
        <w:ind w:firstLine="851"/>
        <w:jc w:val="both"/>
      </w:pP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Эти </w:t>
      </w:r>
      <w:proofErr w:type="spellStart"/>
      <w:r w:rsidRPr="00CC388A">
        <w:t>жизнеугрожающие</w:t>
      </w:r>
      <w:proofErr w:type="spellEnd"/>
      <w:r w:rsidRPr="00CC388A">
        <w:t xml:space="preserve"> микозы возникают преимущественно у больных в отделениях реанимации и интенсивной терапии.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Диагностика инвазивного кандидоза основана на выделении </w:t>
      </w:r>
      <w:proofErr w:type="spellStart"/>
      <w:r w:rsidRPr="00CC388A">
        <w:t>Candida</w:t>
      </w:r>
      <w:proofErr w:type="spellEnd"/>
      <w:r w:rsidRPr="00CC388A">
        <w:t xml:space="preserve"> </w:t>
      </w:r>
      <w:proofErr w:type="spellStart"/>
      <w:r w:rsidRPr="00CC388A">
        <w:t>spp</w:t>
      </w:r>
      <w:proofErr w:type="spellEnd"/>
      <w:r w:rsidRPr="00CC388A">
        <w:t xml:space="preserve">. из крови и </w:t>
      </w:r>
      <w:proofErr w:type="gramStart"/>
      <w:r w:rsidRPr="00CC388A">
        <w:t>других</w:t>
      </w:r>
      <w:proofErr w:type="gramEnd"/>
      <w:r w:rsidRPr="00CC388A">
        <w:t xml:space="preserve"> стерильных в норме субстратов (п. 4.2.4 разд. 4.2 рекомендаций).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Для лечения инвазивного аспергиллеза используют в </w:t>
      </w:r>
      <w:proofErr w:type="spellStart"/>
      <w:r w:rsidRPr="00CC388A">
        <w:t>т.ч</w:t>
      </w:r>
      <w:proofErr w:type="spellEnd"/>
      <w:r w:rsidRPr="00CC388A">
        <w:t xml:space="preserve">. </w:t>
      </w:r>
      <w:proofErr w:type="spellStart"/>
      <w:r w:rsidRPr="00CC388A">
        <w:t>вориконазол</w:t>
      </w:r>
      <w:proofErr w:type="spellEnd"/>
      <w:r w:rsidRPr="00CC388A">
        <w:t xml:space="preserve"> и </w:t>
      </w:r>
      <w:proofErr w:type="spellStart"/>
      <w:r w:rsidRPr="00CC388A">
        <w:t>изавуконазол</w:t>
      </w:r>
      <w:proofErr w:type="spellEnd"/>
      <w:r w:rsidRPr="00CC388A">
        <w:t xml:space="preserve">. Их вводят внутривенно, а после стабилизации состояния пациента эти лекарства можно применять перорально (п. 5.4.2 разд. 5.4 рекомендаций). При терапии кандидоза внутривенно назначают </w:t>
      </w:r>
      <w:proofErr w:type="spellStart"/>
      <w:r w:rsidRPr="00CC388A">
        <w:t>анидулафунгин</w:t>
      </w:r>
      <w:proofErr w:type="spellEnd"/>
      <w:r w:rsidRPr="00CC388A">
        <w:t xml:space="preserve">, </w:t>
      </w:r>
      <w:proofErr w:type="spellStart"/>
      <w:r w:rsidRPr="00CC388A">
        <w:t>каспофунгин</w:t>
      </w:r>
      <w:proofErr w:type="spellEnd"/>
      <w:r w:rsidRPr="00CC388A">
        <w:t xml:space="preserve"> и </w:t>
      </w:r>
      <w:proofErr w:type="spellStart"/>
      <w:r w:rsidRPr="00CC388A">
        <w:t>микафунгин</w:t>
      </w:r>
      <w:proofErr w:type="spellEnd"/>
      <w:r w:rsidRPr="00CC388A">
        <w:t>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Этиотропное лечение</w:t>
      </w:r>
    </w:p>
    <w:p w:rsidR="008A0242" w:rsidRPr="00CC388A" w:rsidRDefault="008A0242" w:rsidP="00525E94">
      <w:pPr>
        <w:pStyle w:val="aa"/>
        <w:ind w:firstLine="851"/>
        <w:jc w:val="both"/>
      </w:pPr>
      <w:proofErr w:type="spellStart"/>
      <w:r w:rsidRPr="00CC388A">
        <w:t>Антиковидную</w:t>
      </w:r>
      <w:proofErr w:type="spellEnd"/>
      <w:r w:rsidRPr="00CC388A">
        <w:t xml:space="preserve"> плазму можно использовать до 10 дня от момента появления клинических симптомов заболевания у пациентов. Прежде оптимальным считали период от 3 до 7 дней.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Теперь </w:t>
      </w:r>
      <w:proofErr w:type="spellStart"/>
      <w:r w:rsidRPr="00CC388A">
        <w:t>антиковидную</w:t>
      </w:r>
      <w:proofErr w:type="spellEnd"/>
      <w:r w:rsidRPr="00CC388A">
        <w:t xml:space="preserve"> плазму, в частности, нельзя назначать при общих противопоказаниях для ее трансфузии (разд. 5.1 рекомендаций).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Рекомендовали применять иммуноглобулин человека в составе комплексной терапии у пациентов с высоким риском тяжелого течения заболевания: возраст старше 65 лет, сопутствующие заболевания (например, сахарный диабет, ожирение). Аутоиммунные заболевания и возраст до 18 лет и старше 60 лет больше не являются противопоказаниями к назначению иммуноглобулина человека против COVID-19.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Патогенетическое лечение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В течение первых 7 дней болезни или </w:t>
      </w:r>
      <w:proofErr w:type="gramStart"/>
      <w:r w:rsidRPr="00CC388A">
        <w:t>при</w:t>
      </w:r>
      <w:proofErr w:type="gramEnd"/>
      <w:r w:rsidRPr="00CC388A">
        <w:t xml:space="preserve"> положительной РНК SARS-CoV-2 терапию антагонистами рецептора ИЛ-6 или блокаторами ИЛ-6 сочетают с этиотропным лечением (</w:t>
      </w:r>
      <w:proofErr w:type="spellStart"/>
      <w:r w:rsidRPr="00CC388A">
        <w:t>фавипиравиром</w:t>
      </w:r>
      <w:proofErr w:type="spellEnd"/>
      <w:r w:rsidRPr="00CC388A">
        <w:t xml:space="preserve">, </w:t>
      </w:r>
      <w:proofErr w:type="spellStart"/>
      <w:r w:rsidRPr="00CC388A">
        <w:t>ремдесивиром</w:t>
      </w:r>
      <w:proofErr w:type="spellEnd"/>
      <w:r w:rsidRPr="00CC388A">
        <w:t xml:space="preserve"> или иммуноглобулином человека против COVID-19), а также с антикоагулянтами (разд. 5.2 рекомендаций)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Для терапии тяжелой формы COVID-19 (пневмония с дыхательной недостаточностью/ОРДС, признаки </w:t>
      </w:r>
      <w:r w:rsidR="002211EF">
        <w:t>«</w:t>
      </w:r>
      <w:proofErr w:type="spellStart"/>
      <w:r w:rsidRPr="00CC388A">
        <w:t>цитокинового</w:t>
      </w:r>
      <w:proofErr w:type="spellEnd"/>
      <w:r w:rsidRPr="00CC388A">
        <w:t xml:space="preserve"> шторма</w:t>
      </w:r>
      <w:r w:rsidR="002211EF">
        <w:t>»</w:t>
      </w:r>
      <w:r w:rsidRPr="00CC388A">
        <w:t xml:space="preserve">) уточнили дозировки препаратов при применении различных схем введения </w:t>
      </w:r>
      <w:proofErr w:type="spellStart"/>
      <w:r w:rsidRPr="00CC388A">
        <w:t>глюкокортикостероидов</w:t>
      </w:r>
      <w:proofErr w:type="spellEnd"/>
      <w:r w:rsidRPr="00CC388A">
        <w:t xml:space="preserve">. Так, </w:t>
      </w:r>
      <w:proofErr w:type="spellStart"/>
      <w:r w:rsidRPr="00CC388A">
        <w:t>дексаметазон</w:t>
      </w:r>
      <w:proofErr w:type="spellEnd"/>
      <w:r w:rsidRPr="00CC388A">
        <w:t xml:space="preserve"> в дозе 16-24 мг/сутки вводят внутривенно в зависимости от тяжести состояния пациента за 1-2 введения. Для </w:t>
      </w:r>
      <w:proofErr w:type="spellStart"/>
      <w:r w:rsidRPr="00CC388A">
        <w:t>метилпреднизолона</w:t>
      </w:r>
      <w:proofErr w:type="spellEnd"/>
      <w:r w:rsidRPr="00CC388A">
        <w:t xml:space="preserve"> используют дозу 125 мг внутривенно каждые 6-12 ч или 250 мг одномоментно.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Для амбулаторного лечения пациентов с легким течением заболевания появились 2 новые схемы, которые включают </w:t>
      </w:r>
      <w:proofErr w:type="spellStart"/>
      <w:r w:rsidRPr="00CC388A">
        <w:t>будесонид</w:t>
      </w:r>
      <w:proofErr w:type="spellEnd"/>
      <w:r w:rsidRPr="00CC388A">
        <w:t xml:space="preserve"> (приложение 8-1 к рекомендациям).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Изменили схемы лечения пациентов в стационаре (приложение 8-2 к рекомендациям). Например, при легком течении заболевания больше не используют </w:t>
      </w:r>
      <w:proofErr w:type="spellStart"/>
      <w:r w:rsidRPr="00CC388A">
        <w:t>интраназальные</w:t>
      </w:r>
      <w:proofErr w:type="spellEnd"/>
      <w:r w:rsidRPr="00CC388A">
        <w:t xml:space="preserve"> формы ИФ</w:t>
      </w:r>
      <w:proofErr w:type="gramStart"/>
      <w:r w:rsidRPr="00CC388A">
        <w:t>Н-</w:t>
      </w:r>
      <w:proofErr w:type="gramEnd"/>
      <w:r w:rsidRPr="00CC388A">
        <w:t xml:space="preserve">α и </w:t>
      </w:r>
      <w:proofErr w:type="spellStart"/>
      <w:r w:rsidRPr="00CC388A">
        <w:t>умифеновир</w:t>
      </w:r>
      <w:proofErr w:type="spellEnd"/>
      <w:r w:rsidRPr="00CC388A">
        <w:t xml:space="preserve">. Зато можно применять, в частности, иммуноглобулин человека против COVID-19, </w:t>
      </w:r>
      <w:proofErr w:type="spellStart"/>
      <w:r w:rsidRPr="00CC388A">
        <w:t>барицитиниб</w:t>
      </w:r>
      <w:proofErr w:type="spellEnd"/>
      <w:r w:rsidRPr="00CC388A">
        <w:t xml:space="preserve"> и </w:t>
      </w:r>
      <w:proofErr w:type="spellStart"/>
      <w:r w:rsidRPr="00CC388A">
        <w:t>тофацитиниб</w:t>
      </w:r>
      <w:proofErr w:type="spellEnd"/>
      <w:r w:rsidRPr="00CC388A">
        <w:t>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Акушерская тактика при COVID-19</w:t>
      </w:r>
    </w:p>
    <w:p w:rsidR="008A0242" w:rsidRPr="00CC388A" w:rsidRDefault="008A0242" w:rsidP="00525E94">
      <w:pPr>
        <w:pStyle w:val="aa"/>
        <w:ind w:firstLine="851"/>
        <w:jc w:val="both"/>
      </w:pPr>
      <w:proofErr w:type="spellStart"/>
      <w:r w:rsidRPr="00CC388A">
        <w:t>Коронавирус</w:t>
      </w:r>
      <w:proofErr w:type="spellEnd"/>
      <w:r w:rsidRPr="00CC388A">
        <w:t xml:space="preserve">, </w:t>
      </w:r>
      <w:proofErr w:type="gramStart"/>
      <w:r w:rsidRPr="00CC388A">
        <w:t>перенесенный</w:t>
      </w:r>
      <w:proofErr w:type="gramEnd"/>
      <w:r w:rsidRPr="00CC388A">
        <w:t xml:space="preserve"> до 12 недель беременности, не является показанием для ее прерывания. При тяжелом и крайне тяжелом течении заболевания вопрос о сохранении беременности решает консилиум врачей. Если нет скрининга 1-го триместра, риск хромосомных анеуплоидий у плода оценивают на основании скрининга 2-го триместра. При заболевании COVID-19 рекомендуют отложить инвазивную диагностику минимально на 14 дней (разд. 5.5 рекомендаций).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Рациональное использование кислорода при респираторной поддержке пациентов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Для снижения дефицита медицинского кислорода рекомендуют (п. 5.6.3 разд. 5.6 рекомендаций):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 xml:space="preserve">вместо </w:t>
      </w:r>
      <w:proofErr w:type="spellStart"/>
      <w:r w:rsidRPr="00CC388A">
        <w:t>высокопоточной</w:t>
      </w:r>
      <w:proofErr w:type="spellEnd"/>
      <w:r w:rsidRPr="00CC388A">
        <w:t xml:space="preserve"> </w:t>
      </w:r>
      <w:proofErr w:type="spellStart"/>
      <w:r w:rsidRPr="00CC388A">
        <w:t>кислородотерапии</w:t>
      </w:r>
      <w:proofErr w:type="spellEnd"/>
      <w:r w:rsidRPr="00CC388A">
        <w:t xml:space="preserve"> использовать </w:t>
      </w:r>
      <w:proofErr w:type="spellStart"/>
      <w:r w:rsidRPr="00CC388A">
        <w:t>низкопоточную</w:t>
      </w:r>
      <w:proofErr w:type="spellEnd"/>
      <w:r w:rsidRPr="00CC388A">
        <w:t xml:space="preserve">, в </w:t>
      </w:r>
      <w:proofErr w:type="spellStart"/>
      <w:r w:rsidRPr="00CC388A">
        <w:t>т.ч</w:t>
      </w:r>
      <w:proofErr w:type="spellEnd"/>
      <w:r w:rsidRPr="00CC388A">
        <w:t>. лицевые маски с расходным мешком-ресивером при достаточной их эффективности;</w:t>
      </w:r>
    </w:p>
    <w:p w:rsidR="008A0242" w:rsidRPr="00CC388A" w:rsidRDefault="008A0242" w:rsidP="00525E94">
      <w:pPr>
        <w:pStyle w:val="aa"/>
        <w:ind w:firstLine="851"/>
        <w:jc w:val="both"/>
      </w:pPr>
      <w:proofErr w:type="spellStart"/>
      <w:r w:rsidRPr="00CC388A">
        <w:t>высокопоточную</w:t>
      </w:r>
      <w:proofErr w:type="spellEnd"/>
      <w:r w:rsidRPr="00CC388A">
        <w:t xml:space="preserve"> респираторную поддержку проводить только по назначению и под наблюдением анестезиолога-реаниматолога с помощью специального оборудования. </w:t>
      </w:r>
      <w:r w:rsidR="002211EF">
        <w:t xml:space="preserve">                   </w:t>
      </w:r>
      <w:r w:rsidRPr="00CC388A">
        <w:lastRenderedPageBreak/>
        <w:t xml:space="preserve">Своевременно переходить на </w:t>
      </w:r>
      <w:proofErr w:type="spellStart"/>
      <w:r w:rsidRPr="00CC388A">
        <w:t>неинвазивные</w:t>
      </w:r>
      <w:proofErr w:type="spellEnd"/>
      <w:r w:rsidRPr="00CC388A">
        <w:t xml:space="preserve"> технологии ИВЛ при низкой эффективности </w:t>
      </w:r>
      <w:proofErr w:type="spellStart"/>
      <w:r w:rsidRPr="00CC388A">
        <w:t>высокопоточной</w:t>
      </w:r>
      <w:proofErr w:type="spellEnd"/>
      <w:r w:rsidRPr="00CC388A">
        <w:t>;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ограничить использование любых систем с высоким расходом кислорода при его нехватке и возможности использовать устройства, которые потребляют меньшее количество кислорода;</w:t>
      </w:r>
    </w:p>
    <w:p w:rsidR="008A0242" w:rsidRPr="00CC388A" w:rsidRDefault="008A0242" w:rsidP="00525E94">
      <w:pPr>
        <w:pStyle w:val="aa"/>
        <w:ind w:firstLine="851"/>
        <w:jc w:val="both"/>
      </w:pPr>
      <w:r w:rsidRPr="00CC388A">
        <w:t>не допускать расход кислорода, связанный с произвольным снятием маски пациентом.</w:t>
      </w:r>
    </w:p>
    <w:p w:rsidR="00587103" w:rsidRDefault="008A0242" w:rsidP="00525E94">
      <w:pPr>
        <w:pStyle w:val="aa"/>
        <w:ind w:firstLine="851"/>
        <w:jc w:val="both"/>
      </w:pPr>
      <w:r w:rsidRPr="00CC388A">
        <w:t>Документ:</w:t>
      </w:r>
      <w:r w:rsidR="002211EF">
        <w:t xml:space="preserve"> </w:t>
      </w:r>
      <w:r w:rsidRPr="00CC388A">
        <w:t xml:space="preserve">Временные методические рекомендации </w:t>
      </w:r>
      <w:r w:rsidR="002211EF">
        <w:t>«</w:t>
      </w:r>
      <w:r w:rsidRPr="00CC388A">
        <w:t xml:space="preserve">Профилактика, диагностика и лечение новой </w:t>
      </w:r>
      <w:proofErr w:type="spellStart"/>
      <w:r w:rsidRPr="00CC388A">
        <w:t>коронавирусной</w:t>
      </w:r>
      <w:proofErr w:type="spellEnd"/>
      <w:r w:rsidRPr="00CC388A">
        <w:t xml:space="preserve"> инфекции</w:t>
      </w:r>
      <w:r w:rsidR="00587103">
        <w:t>»</w:t>
      </w:r>
      <w:r w:rsidRPr="00CC388A">
        <w:t xml:space="preserve"> (COVID-19). Версия 12 (21.09.2021)</w:t>
      </w:r>
      <w:r w:rsidR="00587103">
        <w:t>.</w:t>
      </w:r>
    </w:p>
    <w:p w:rsidR="00D07D2F" w:rsidRPr="00CC388A" w:rsidRDefault="00D07D2F" w:rsidP="001C324C">
      <w:pPr>
        <w:pStyle w:val="aa"/>
        <w:ind w:firstLine="851"/>
        <w:jc w:val="center"/>
      </w:pPr>
      <w:r w:rsidRPr="001C324C">
        <w:rPr>
          <w:u w:val="single"/>
        </w:rPr>
        <w:t xml:space="preserve">Региональный оператор или </w:t>
      </w:r>
      <w:proofErr w:type="spellStart"/>
      <w:r w:rsidRPr="001C324C">
        <w:rPr>
          <w:u w:val="single"/>
        </w:rPr>
        <w:t>юрлицо</w:t>
      </w:r>
      <w:proofErr w:type="spellEnd"/>
      <w:r w:rsidRPr="001C324C">
        <w:rPr>
          <w:u w:val="single"/>
        </w:rPr>
        <w:t xml:space="preserve"> по договору: ВС РФ разобрался, кто получит плату за вывоз мусора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Практика ВС РФ Оказание услуг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В 2015 году управляющая компания договорилась с обществом о вывозе бытовых отходов с территории многоквартирного дома. Спустя несколько лет в области появился региональный оператор. Он посчитал, что плату за услуги с августа 2018 года по август 2019 года должны были перечислить ему, и обратился в суд.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Три инстанции его поддержали. В спорный период у дома не было согласованного места накопления отходов. Жильцы могли пользоваться контейнерными площадками соседних домов, которые обслуживал оператор.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ВС РФ не согласился. Закон об отходах обязывает регионального оператора оказывать услуги всем потребителям в зоне своей деятельности. Однако этого недостаточно, чтобы взыскать плату в его пользу. Суды не учли следующее: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в спорный период действовал договор с обществом. Управляющая компания заключила его раньше, чем региональный оператор получил свой статус;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платежные поручения подтверждают, что услуги оказывало общество. Оно забирало мусор с площадки во дворе дома. Это место не включили в схему обращения отходов по вине оператора;</w:t>
      </w:r>
    </w:p>
    <w:p w:rsidR="00D07D2F" w:rsidRPr="00CC388A" w:rsidRDefault="00D07D2F" w:rsidP="00525E94">
      <w:pPr>
        <w:pStyle w:val="aa"/>
        <w:ind w:firstLine="851"/>
        <w:jc w:val="both"/>
      </w:pPr>
      <w:r w:rsidRPr="00CC388A">
        <w:t>оп</w:t>
      </w:r>
      <w:r w:rsidR="001C324C">
        <w:t xml:space="preserve">ератор не мог вывозить отходы - </w:t>
      </w:r>
      <w:r w:rsidRPr="00CC388A">
        <w:t>доступ к бункеру-накопителю закрыт для посторонних.</w:t>
      </w:r>
    </w:p>
    <w:p w:rsidR="001C324C" w:rsidRDefault="00D07D2F" w:rsidP="00525E94">
      <w:pPr>
        <w:pStyle w:val="aa"/>
        <w:ind w:firstLine="851"/>
        <w:jc w:val="both"/>
      </w:pPr>
      <w:proofErr w:type="spellStart"/>
      <w:r w:rsidRPr="00CC388A">
        <w:t>Документ</w:t>
      </w:r>
      <w:proofErr w:type="gramStart"/>
      <w:r w:rsidRPr="00CC388A">
        <w:t>:О</w:t>
      </w:r>
      <w:proofErr w:type="gramEnd"/>
      <w:r w:rsidR="001C324C">
        <w:t>пределение</w:t>
      </w:r>
      <w:proofErr w:type="spellEnd"/>
      <w:r w:rsidR="001C324C">
        <w:t xml:space="preserve"> ВС РФ от 14.09.2021 №</w:t>
      </w:r>
      <w:r w:rsidRPr="00CC388A">
        <w:t xml:space="preserve"> 306-ЭС21-8811</w:t>
      </w:r>
      <w:r w:rsidR="001C324C">
        <w:t>.</w:t>
      </w:r>
    </w:p>
    <w:p w:rsidR="00D33E54" w:rsidRPr="00CC388A" w:rsidRDefault="00D33E54" w:rsidP="001C324C">
      <w:pPr>
        <w:pStyle w:val="aa"/>
        <w:ind w:firstLine="851"/>
        <w:jc w:val="center"/>
      </w:pPr>
      <w:r w:rsidRPr="001C324C">
        <w:rPr>
          <w:u w:val="single"/>
        </w:rPr>
        <w:t xml:space="preserve">Информация </w:t>
      </w:r>
      <w:proofErr w:type="spellStart"/>
      <w:r w:rsidRPr="001C324C">
        <w:rPr>
          <w:u w:val="single"/>
        </w:rPr>
        <w:t>Росреестра</w:t>
      </w:r>
      <w:proofErr w:type="spellEnd"/>
      <w:r w:rsidRPr="001C324C">
        <w:rPr>
          <w:u w:val="single"/>
        </w:rPr>
        <w:t xml:space="preserve"> от 23.09.2021 </w:t>
      </w:r>
      <w:r w:rsidR="001C324C">
        <w:rPr>
          <w:u w:val="single"/>
        </w:rPr>
        <w:t>«</w:t>
      </w:r>
      <w:r w:rsidRPr="001C324C">
        <w:rPr>
          <w:u w:val="single"/>
        </w:rPr>
        <w:t xml:space="preserve">Рубрика </w:t>
      </w:r>
      <w:r w:rsidR="001C324C">
        <w:rPr>
          <w:u w:val="single"/>
        </w:rPr>
        <w:t>«Вопрос – ответ»</w:t>
      </w:r>
      <w:r w:rsidRPr="001C324C">
        <w:rPr>
          <w:u w:val="single"/>
        </w:rPr>
        <w:t>: Как уберечь с</w:t>
      </w:r>
      <w:r w:rsidR="001C324C">
        <w:rPr>
          <w:u w:val="single"/>
        </w:rPr>
        <w:t>вою недвижимость от мошенников?»</w:t>
      </w:r>
    </w:p>
    <w:p w:rsidR="00D33E54" w:rsidRPr="00CC388A" w:rsidRDefault="00D33E54" w:rsidP="00525E94">
      <w:pPr>
        <w:pStyle w:val="aa"/>
        <w:ind w:firstLine="851"/>
        <w:jc w:val="both"/>
      </w:pPr>
      <w:proofErr w:type="spellStart"/>
      <w:r w:rsidRPr="00CC388A">
        <w:t>Росреестр</w:t>
      </w:r>
      <w:proofErr w:type="spellEnd"/>
      <w:r w:rsidRPr="00CC388A">
        <w:t xml:space="preserve"> разъяснил, как уберечь свою недвижимость от мошенников</w:t>
      </w:r>
    </w:p>
    <w:p w:rsidR="00D33E54" w:rsidRPr="00CC388A" w:rsidRDefault="00D33E54" w:rsidP="00525E94">
      <w:pPr>
        <w:pStyle w:val="aa"/>
        <w:ind w:firstLine="851"/>
        <w:jc w:val="both"/>
      </w:pPr>
      <w:r w:rsidRPr="00CC388A">
        <w:t>Даны ответы на следующие вопросы:</w:t>
      </w:r>
    </w:p>
    <w:p w:rsidR="00D33E54" w:rsidRPr="00CC388A" w:rsidRDefault="00D33E54" w:rsidP="00525E94">
      <w:pPr>
        <w:pStyle w:val="aa"/>
        <w:ind w:firstLine="851"/>
        <w:jc w:val="both"/>
      </w:pPr>
      <w:r w:rsidRPr="00CC388A">
        <w:t>какие действия предпринять в первую очередь;</w:t>
      </w:r>
    </w:p>
    <w:p w:rsidR="00D33E54" w:rsidRPr="00CC388A" w:rsidRDefault="00D33E54" w:rsidP="00525E94">
      <w:pPr>
        <w:pStyle w:val="aa"/>
        <w:ind w:firstLine="851"/>
        <w:jc w:val="both"/>
      </w:pPr>
      <w:r w:rsidRPr="00CC388A">
        <w:t>как избежать мошенничества при электронной регистрации сделок;</w:t>
      </w:r>
    </w:p>
    <w:p w:rsidR="00D33E54" w:rsidRPr="00CC388A" w:rsidRDefault="00D33E54" w:rsidP="00525E94">
      <w:pPr>
        <w:pStyle w:val="aa"/>
        <w:ind w:firstLine="851"/>
        <w:jc w:val="both"/>
      </w:pPr>
      <w:r w:rsidRPr="00CC388A">
        <w:t>что нужно проверить при покупке жилья;</w:t>
      </w:r>
    </w:p>
    <w:p w:rsidR="00D33E54" w:rsidRPr="00CC388A" w:rsidRDefault="00D33E54" w:rsidP="00525E94">
      <w:pPr>
        <w:pStyle w:val="aa"/>
        <w:ind w:firstLine="851"/>
        <w:jc w:val="both"/>
      </w:pPr>
      <w:r w:rsidRPr="00CC388A">
        <w:t>на что стоит обратить внимание в выписке из ЕГРН.</w:t>
      </w:r>
    </w:p>
    <w:p w:rsidR="001C324C" w:rsidRDefault="00D33E54" w:rsidP="00525E94">
      <w:pPr>
        <w:pStyle w:val="aa"/>
        <w:ind w:firstLine="851"/>
        <w:jc w:val="both"/>
      </w:pPr>
      <w:r w:rsidRPr="00CC388A">
        <w:t>Кроме того, отмечено, что перед покупкой необходимо изучить, как часто переходили права на объект недвижимости и заказать соответствующую выписку. Если продавец недвижимости действует от лица собственника по нотариальной доверенности, стоит проверить ее подлинность на официальном сайте Федеральной нотариальной палаты.</w:t>
      </w:r>
    </w:p>
    <w:p w:rsidR="00E74EE6" w:rsidRPr="00CC388A" w:rsidRDefault="001C324C" w:rsidP="00D66E20">
      <w:pPr>
        <w:pStyle w:val="aa"/>
        <w:ind w:firstLine="851"/>
        <w:jc w:val="center"/>
      </w:pPr>
      <w:r w:rsidRPr="001C324C">
        <w:rPr>
          <w:u w:val="single"/>
        </w:rPr>
        <w:t>«</w:t>
      </w:r>
      <w:r w:rsidR="00E74EE6" w:rsidRPr="001C324C">
        <w:rPr>
          <w:u w:val="single"/>
        </w:rPr>
        <w:t xml:space="preserve">Татьяна Голикова провела заседание оперативного штаба по предупреждению завоза и распространения новой </w:t>
      </w:r>
      <w:proofErr w:type="spellStart"/>
      <w:r w:rsidR="00E74EE6" w:rsidRPr="001C324C">
        <w:rPr>
          <w:u w:val="single"/>
        </w:rPr>
        <w:t>коронавирусно</w:t>
      </w:r>
      <w:r w:rsidRPr="001C324C">
        <w:rPr>
          <w:u w:val="single"/>
        </w:rPr>
        <w:t>й</w:t>
      </w:r>
      <w:proofErr w:type="spellEnd"/>
      <w:r w:rsidRPr="001C324C">
        <w:rPr>
          <w:u w:val="single"/>
        </w:rPr>
        <w:t xml:space="preserve"> инфекции на территории России»</w:t>
      </w:r>
      <w:r w:rsidR="00E74EE6" w:rsidRPr="001C324C">
        <w:rPr>
          <w:u w:val="single"/>
        </w:rPr>
        <w:t xml:space="preserve"> (информация с официального сайта Правительства РФ от 22.09.2021</w:t>
      </w:r>
      <w:r w:rsidR="00E74EE6" w:rsidRPr="00CC388A">
        <w:t>)</w:t>
      </w:r>
    </w:p>
    <w:p w:rsidR="00E74EE6" w:rsidRPr="00CC388A" w:rsidRDefault="00E74EE6" w:rsidP="00525E94">
      <w:pPr>
        <w:pStyle w:val="aa"/>
        <w:ind w:firstLine="851"/>
        <w:jc w:val="both"/>
      </w:pPr>
      <w:r w:rsidRPr="00CC388A">
        <w:t>С 5 октября 2021 г. возобновляется авиасообщение на взаимной основе с Данией, Джибути, Новой Зеландией, Перу, ЮАР</w:t>
      </w:r>
      <w:r w:rsidR="00D66E20">
        <w:t>.</w:t>
      </w:r>
    </w:p>
    <w:p w:rsidR="00E74EE6" w:rsidRPr="00CC388A" w:rsidRDefault="00E74EE6" w:rsidP="00525E94">
      <w:pPr>
        <w:pStyle w:val="aa"/>
        <w:ind w:firstLine="851"/>
        <w:jc w:val="both"/>
      </w:pPr>
      <w:r w:rsidRPr="00CC388A">
        <w:t>Также с этого дня возобновляется авиасообщение с Г</w:t>
      </w:r>
      <w:r w:rsidR="00D66E20">
        <w:t>оа (Индия) и Тенерифе (Испания).</w:t>
      </w:r>
    </w:p>
    <w:p w:rsidR="00E74EE6" w:rsidRPr="00CC388A" w:rsidRDefault="00E74EE6" w:rsidP="00525E94">
      <w:pPr>
        <w:pStyle w:val="aa"/>
        <w:ind w:firstLine="851"/>
        <w:jc w:val="both"/>
      </w:pPr>
      <w:r w:rsidRPr="00CC388A">
        <w:t>Кроме того, увеличивается количество регулярных рейсов в Бахрейн, Индию, ОАЭ, Таджикистан, Узбекистан.</w:t>
      </w:r>
    </w:p>
    <w:p w:rsidR="00E74EE6" w:rsidRPr="00CC388A" w:rsidRDefault="00E74EE6" w:rsidP="00525E94">
      <w:pPr>
        <w:pStyle w:val="aa"/>
        <w:ind w:firstLine="851"/>
        <w:jc w:val="both"/>
      </w:pPr>
    </w:p>
    <w:p w:rsidR="00E74EE6" w:rsidRPr="00CC388A" w:rsidRDefault="00E74EE6" w:rsidP="00525E94">
      <w:pPr>
        <w:pStyle w:val="aa"/>
        <w:ind w:firstLine="851"/>
        <w:jc w:val="both"/>
      </w:pPr>
      <w:r w:rsidRPr="00CC388A">
        <w:t>С 4 ноября принято решение увеличить количество регулярных рейсов на Шри-Ланку.</w:t>
      </w:r>
    </w:p>
    <w:p w:rsidR="00D66E20" w:rsidRPr="00CC388A" w:rsidRDefault="00E74EE6" w:rsidP="00525E94">
      <w:pPr>
        <w:pStyle w:val="aa"/>
        <w:ind w:firstLine="851"/>
        <w:jc w:val="both"/>
      </w:pPr>
      <w:r w:rsidRPr="00CC388A">
        <w:t>При этом действующее ограничение на авиасообщение с Танзанией продлевается до 1 ноября 2021 года включительно ввиду сложной эпидемиологической обстановки.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 xml:space="preserve">Информация </w:t>
      </w:r>
      <w:proofErr w:type="spellStart"/>
      <w:r w:rsidRPr="00CC388A">
        <w:t>Росреестра</w:t>
      </w:r>
      <w:proofErr w:type="spellEnd"/>
      <w:r w:rsidRPr="00CC388A">
        <w:t xml:space="preserve"> от 17.09.2021 </w:t>
      </w:r>
      <w:r w:rsidR="00D66E20">
        <w:t>«</w:t>
      </w:r>
      <w:r w:rsidRPr="00CC388A">
        <w:t>Комплексные кадастровые работы для дачников: почему</w:t>
      </w:r>
      <w:r w:rsidR="00D66E20">
        <w:t xml:space="preserve"> это выгодно и как их провести?»</w:t>
      </w:r>
    </w:p>
    <w:p w:rsidR="00FA4B4C" w:rsidRPr="00CC388A" w:rsidRDefault="00FA4B4C" w:rsidP="00525E94">
      <w:pPr>
        <w:pStyle w:val="aa"/>
        <w:ind w:firstLine="851"/>
        <w:jc w:val="both"/>
      </w:pPr>
      <w:proofErr w:type="spellStart"/>
      <w:r w:rsidRPr="00CC388A">
        <w:t>Росреестр</w:t>
      </w:r>
      <w:proofErr w:type="spellEnd"/>
      <w:r w:rsidRPr="00CC388A">
        <w:t xml:space="preserve"> разъясняет, почему дачникам выгоднее провести комплексные кадастровые работы, чем обычные</w:t>
      </w:r>
      <w:r w:rsidR="00D66E20">
        <w:t>.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>Комплексные кадастровые работы (далее - ККР) в отличие от обычных кадастровых работ проводятся в отношении не одного земельного участка, а одновременно в отношении всех участков, расположенных на территории одного или нескольких кадастровых кварталов (садовые или огородные товарищества, гаражные кооперативы, коттеджные поселки, территории товарищества собственников недвижимости).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>Комплексные кадастровые работы имеют следующие преимущества: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>они дешевле, чем кадастровые работы, выполняемые в индивидуальном порядке;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>проведение комплексных кадастровых работ позволяет сократить количество земельных споров, устранить имеющиеся ошибки, согласованием местоположения границ занимается специальная согласительная комиссия, что избавляет собственников делать это в индивидуальном порядке;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>в рамках ККР определяется местоположение контуров зданий и сооружений (поя</w:t>
      </w:r>
      <w:r w:rsidR="00D66E20">
        <w:t>вляется возможность осуществить «</w:t>
      </w:r>
      <w:r w:rsidRPr="00CC388A">
        <w:t>привязку</w:t>
      </w:r>
      <w:r w:rsidR="00D66E20">
        <w:t>»</w:t>
      </w:r>
      <w:r w:rsidRPr="00CC388A">
        <w:t xml:space="preserve"> зданий и сооружений к земельным участкам).</w:t>
      </w:r>
    </w:p>
    <w:p w:rsidR="00FA4B4C" w:rsidRPr="00CC388A" w:rsidRDefault="00FA4B4C" w:rsidP="00525E94">
      <w:pPr>
        <w:pStyle w:val="aa"/>
        <w:ind w:firstLine="851"/>
        <w:jc w:val="both"/>
      </w:pPr>
      <w:r w:rsidRPr="00CC388A">
        <w:t xml:space="preserve">В информации приводится порядок действий для выполнения ККР, порядок формирования согласительной комиссии, порядок рассмотрения </w:t>
      </w:r>
      <w:proofErr w:type="spellStart"/>
      <w:r w:rsidRPr="00CC388A">
        <w:t>Росреестром</w:t>
      </w:r>
      <w:proofErr w:type="spellEnd"/>
      <w:r w:rsidRPr="00CC388A">
        <w:t xml:space="preserve"> карты-плана территории.</w:t>
      </w:r>
    </w:p>
    <w:p w:rsidR="00FA4B4C" w:rsidRPr="00CC388A" w:rsidRDefault="00FA4B4C" w:rsidP="00525E94">
      <w:pPr>
        <w:pStyle w:val="aa"/>
        <w:ind w:firstLine="851"/>
        <w:jc w:val="both"/>
      </w:pPr>
    </w:p>
    <w:p w:rsidR="00FA4B4C" w:rsidRPr="00CC388A" w:rsidRDefault="00FA4B4C" w:rsidP="00525E94">
      <w:pPr>
        <w:pStyle w:val="aa"/>
        <w:ind w:firstLine="851"/>
        <w:jc w:val="both"/>
      </w:pPr>
    </w:p>
    <w:p w:rsidR="00FA4B4C" w:rsidRPr="00CC388A" w:rsidRDefault="00FA4B4C" w:rsidP="00525E94">
      <w:pPr>
        <w:pStyle w:val="aa"/>
        <w:ind w:firstLine="851"/>
        <w:jc w:val="both"/>
      </w:pPr>
    </w:p>
    <w:p w:rsidR="00567DDF" w:rsidRDefault="00567DDF" w:rsidP="00525E94">
      <w:pPr>
        <w:pStyle w:val="aa"/>
        <w:ind w:firstLine="851"/>
        <w:jc w:val="both"/>
      </w:pPr>
    </w:p>
    <w:p w:rsidR="00D66E20" w:rsidRPr="00CC388A" w:rsidRDefault="00D66E20" w:rsidP="00525E94">
      <w:pPr>
        <w:pStyle w:val="aa"/>
        <w:ind w:firstLine="851"/>
        <w:jc w:val="both"/>
      </w:pPr>
    </w:p>
    <w:sectPr w:rsidR="00D66E20" w:rsidRPr="00CC38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236" w:rsidRDefault="007B3236" w:rsidP="00BD44CB">
      <w:pPr>
        <w:spacing w:after="0" w:line="240" w:lineRule="auto"/>
      </w:pPr>
      <w:r>
        <w:separator/>
      </w:r>
    </w:p>
  </w:endnote>
  <w:endnote w:type="continuationSeparator" w:id="0">
    <w:p w:rsidR="007B3236" w:rsidRDefault="007B3236" w:rsidP="00B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CB" w:rsidRDefault="00BD44CB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69636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D44CB" w:rsidRDefault="00BD44C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D44CB" w:rsidRDefault="00BD44CB">
    <w:pPr>
      <w:pStyle w:val="af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CB" w:rsidRDefault="00BD44CB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236" w:rsidRDefault="007B3236" w:rsidP="00BD44CB">
      <w:pPr>
        <w:spacing w:after="0" w:line="240" w:lineRule="auto"/>
      </w:pPr>
      <w:r>
        <w:separator/>
      </w:r>
    </w:p>
  </w:footnote>
  <w:footnote w:type="continuationSeparator" w:id="0">
    <w:p w:rsidR="007B3236" w:rsidRDefault="007B3236" w:rsidP="00B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CB" w:rsidRDefault="00BD44CB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CB" w:rsidRDefault="00BD44CB">
    <w:pPr>
      <w:pStyle w:val="af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4CB" w:rsidRDefault="00BD44CB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381"/>
    <w:rsid w:val="00071A99"/>
    <w:rsid w:val="00102381"/>
    <w:rsid w:val="0017189E"/>
    <w:rsid w:val="001C324C"/>
    <w:rsid w:val="00206CA6"/>
    <w:rsid w:val="002211EF"/>
    <w:rsid w:val="003929D2"/>
    <w:rsid w:val="003C04F2"/>
    <w:rsid w:val="004026B1"/>
    <w:rsid w:val="00525E94"/>
    <w:rsid w:val="00566ADC"/>
    <w:rsid w:val="00567DDF"/>
    <w:rsid w:val="00587103"/>
    <w:rsid w:val="005D0D1F"/>
    <w:rsid w:val="006B0574"/>
    <w:rsid w:val="00750505"/>
    <w:rsid w:val="00761AE3"/>
    <w:rsid w:val="007B3236"/>
    <w:rsid w:val="007D0968"/>
    <w:rsid w:val="008A0242"/>
    <w:rsid w:val="00914F79"/>
    <w:rsid w:val="009466B2"/>
    <w:rsid w:val="009724D6"/>
    <w:rsid w:val="00AB77B1"/>
    <w:rsid w:val="00BD44CB"/>
    <w:rsid w:val="00BE3B07"/>
    <w:rsid w:val="00C44541"/>
    <w:rsid w:val="00CC388A"/>
    <w:rsid w:val="00D02810"/>
    <w:rsid w:val="00D07D2F"/>
    <w:rsid w:val="00D33E54"/>
    <w:rsid w:val="00D66E20"/>
    <w:rsid w:val="00E55A71"/>
    <w:rsid w:val="00E74EE6"/>
    <w:rsid w:val="00EE15EE"/>
    <w:rsid w:val="00F96FE1"/>
    <w:rsid w:val="00F97F56"/>
    <w:rsid w:val="00FA4B4C"/>
    <w:rsid w:val="00FE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BE3B07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BD4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BD44CB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BD4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D44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7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0574"/>
    <w:pPr>
      <w:keepNext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6CA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06CA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06C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B0574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link w:val="60"/>
    <w:qFormat/>
    <w:rsid w:val="006B0574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paragraph" w:styleId="7">
    <w:name w:val="heading 7"/>
    <w:basedOn w:val="a"/>
    <w:next w:val="a"/>
    <w:link w:val="70"/>
    <w:semiHidden/>
    <w:unhideWhenUsed/>
    <w:qFormat/>
    <w:rsid w:val="00206CA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206CA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semiHidden/>
    <w:unhideWhenUsed/>
    <w:qFormat/>
    <w:rsid w:val="00206CA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06CA6"/>
    <w:rPr>
      <w:sz w:val="28"/>
    </w:rPr>
  </w:style>
  <w:style w:type="character" w:customStyle="1" w:styleId="20">
    <w:name w:val="Заголовок 2 Знак"/>
    <w:link w:val="2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semiHidden/>
    <w:rsid w:val="00206CA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link w:val="4"/>
    <w:semiHidden/>
    <w:rsid w:val="00206CA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6B0574"/>
    <w:rPr>
      <w:rFonts w:ascii="Arial Narrow" w:hAnsi="Arial Narrow"/>
      <w:b/>
      <w:sz w:val="36"/>
    </w:rPr>
  </w:style>
  <w:style w:type="character" w:customStyle="1" w:styleId="60">
    <w:name w:val="Заголовок 6 Знак"/>
    <w:link w:val="6"/>
    <w:rsid w:val="00206CA6"/>
    <w:rPr>
      <w:rFonts w:ascii="Arial" w:hAnsi="Arial"/>
      <w:b/>
      <w:sz w:val="16"/>
    </w:rPr>
  </w:style>
  <w:style w:type="character" w:customStyle="1" w:styleId="70">
    <w:name w:val="Заголовок 7 Знак"/>
    <w:link w:val="7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link w:val="8"/>
    <w:semiHidden/>
    <w:rsid w:val="00206CA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link w:val="9"/>
    <w:semiHidden/>
    <w:rsid w:val="00206CA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caption"/>
    <w:basedOn w:val="a"/>
    <w:next w:val="a"/>
    <w:semiHidden/>
    <w:unhideWhenUsed/>
    <w:qFormat/>
    <w:rsid w:val="00206CA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206C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rsid w:val="00206C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206CA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link w:val="a6"/>
    <w:rsid w:val="00206CA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qFormat/>
    <w:rsid w:val="00206CA6"/>
    <w:rPr>
      <w:b/>
      <w:bCs/>
    </w:rPr>
  </w:style>
  <w:style w:type="character" w:styleId="a9">
    <w:name w:val="Emphasis"/>
    <w:qFormat/>
    <w:rsid w:val="00206CA6"/>
    <w:rPr>
      <w:i/>
      <w:iCs/>
    </w:rPr>
  </w:style>
  <w:style w:type="paragraph" w:styleId="aa">
    <w:name w:val="No Spacing"/>
    <w:link w:val="ab"/>
    <w:uiPriority w:val="1"/>
    <w:qFormat/>
    <w:rsid w:val="00206CA6"/>
    <w:pPr>
      <w:spacing w:after="0" w:line="240" w:lineRule="auto"/>
    </w:pPr>
    <w:rPr>
      <w:sz w:val="24"/>
      <w:szCs w:val="24"/>
    </w:rPr>
  </w:style>
  <w:style w:type="character" w:customStyle="1" w:styleId="ab">
    <w:name w:val="Без интервала Знак"/>
    <w:link w:val="aa"/>
    <w:uiPriority w:val="1"/>
    <w:rsid w:val="00206CA6"/>
    <w:rPr>
      <w:sz w:val="24"/>
      <w:szCs w:val="24"/>
    </w:rPr>
  </w:style>
  <w:style w:type="paragraph" w:styleId="ac">
    <w:name w:val="List Paragraph"/>
    <w:basedOn w:val="a"/>
    <w:uiPriority w:val="34"/>
    <w:qFormat/>
    <w:rsid w:val="00206CA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06CA6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206CA6"/>
    <w:rPr>
      <w:i/>
      <w:iCs/>
      <w:color w:val="000000" w:themeColor="text1"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206CA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link w:val="ad"/>
    <w:uiPriority w:val="30"/>
    <w:rsid w:val="00206CA6"/>
    <w:rPr>
      <w:b/>
      <w:bCs/>
      <w:i/>
      <w:iCs/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206CA6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206CA6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206CA6"/>
    <w:rPr>
      <w:smallCaps/>
      <w:color w:val="C0504D" w:themeColor="accent2"/>
      <w:u w:val="single"/>
    </w:rPr>
  </w:style>
  <w:style w:type="character" w:styleId="af2">
    <w:name w:val="Intense Reference"/>
    <w:uiPriority w:val="32"/>
    <w:qFormat/>
    <w:rsid w:val="00206CA6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uiPriority w:val="33"/>
    <w:qFormat/>
    <w:rsid w:val="00206CA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06CA6"/>
    <w:pPr>
      <w:keepLines/>
      <w:spacing w:before="480" w:after="0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styleId="af5">
    <w:name w:val="Hyperlink"/>
    <w:basedOn w:val="a0"/>
    <w:uiPriority w:val="99"/>
    <w:unhideWhenUsed/>
    <w:rsid w:val="00BE3B07"/>
    <w:rPr>
      <w:color w:val="0000FF" w:themeColor="hyperlink"/>
      <w:u w:val="single"/>
    </w:rPr>
  </w:style>
  <w:style w:type="paragraph" w:styleId="af6">
    <w:name w:val="header"/>
    <w:basedOn w:val="a"/>
    <w:link w:val="af7"/>
    <w:uiPriority w:val="99"/>
    <w:unhideWhenUsed/>
    <w:rsid w:val="00BD4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BD44CB"/>
    <w:rPr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BD4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BD44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2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g.ru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54ED2-6E84-4E72-90C5-6976FB829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3242</Words>
  <Characters>18481</Characters>
  <Application>Microsoft Office Word</Application>
  <DocSecurity>0</DocSecurity>
  <Lines>154</Lines>
  <Paragraphs>43</Paragraphs>
  <ScaleCrop>false</ScaleCrop>
  <Company/>
  <LinksUpToDate>false</LinksUpToDate>
  <CharactersWithSpaces>21680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54</cp:revision>
  <dcterms:created xsi:type="dcterms:W3CDTF">2021-09-26T16:48:00Z</dcterms:created>
  <dcterms:modified xsi:type="dcterms:W3CDTF">2021-09-27T10:29:00Z</dcterms:modified>
</cp:coreProperties>
</file>