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56" w:rsidRDefault="0094481D" w:rsidP="0094481D">
      <w:pPr>
        <w:jc w:val="center"/>
      </w:pPr>
      <w:r>
        <w:t>Обзор изменений законодательства</w:t>
      </w:r>
    </w:p>
    <w:p w:rsidR="009D2A82" w:rsidRPr="009D2A82" w:rsidRDefault="00FB2114" w:rsidP="009D2A82">
      <w:pPr>
        <w:jc w:val="center"/>
        <w:rPr>
          <w:u w:val="single"/>
        </w:rPr>
      </w:pPr>
      <w:r w:rsidRPr="00414F4F">
        <w:rPr>
          <w:u w:val="single"/>
        </w:rPr>
        <w:t>Какие есть особенности вступления в силу нового Закона о проверках</w:t>
      </w:r>
    </w:p>
    <w:p w:rsidR="00C012D1" w:rsidRPr="00FC339E" w:rsidRDefault="00C012D1" w:rsidP="00474C79">
      <w:pPr>
        <w:ind w:firstLine="851"/>
        <w:jc w:val="both"/>
      </w:pPr>
      <w:r w:rsidRPr="00FC339E">
        <w:t xml:space="preserve">Федеральный закон от 31.07.2020 </w:t>
      </w:r>
      <w:r w:rsidR="00F10AE5">
        <w:t>№</w:t>
      </w:r>
      <w:r w:rsidRPr="00FC339E">
        <w:t xml:space="preserve"> 248-ФЗ (ред. от 11.06.2021) </w:t>
      </w:r>
      <w:r w:rsidR="00F10AE5">
        <w:t>«</w:t>
      </w:r>
      <w:r w:rsidRPr="00FC339E">
        <w:t xml:space="preserve">О государственном контроле (надзоре) и муниципальном </w:t>
      </w:r>
      <w:r w:rsidR="00F10AE5">
        <w:t>контроле в Российской Федерации».</w:t>
      </w:r>
    </w:p>
    <w:p w:rsidR="00FB2114" w:rsidRPr="00FC339E" w:rsidRDefault="00F10AE5" w:rsidP="00F10AE5">
      <w:pPr>
        <w:ind w:firstLine="851"/>
        <w:jc w:val="both"/>
      </w:pPr>
      <w:r>
        <w:t xml:space="preserve"> </w:t>
      </w:r>
      <w:r w:rsidR="00FB2114" w:rsidRPr="00FC339E">
        <w:t>Начало действия закона - 1 июля, но предусмотрены переходные положения.</w:t>
      </w:r>
    </w:p>
    <w:p w:rsidR="00FB2114" w:rsidRPr="00FC339E" w:rsidRDefault="00BC2488" w:rsidP="00FC339E">
      <w:pPr>
        <w:jc w:val="both"/>
      </w:pPr>
      <w:r>
        <w:t xml:space="preserve">              </w:t>
      </w:r>
      <w:r w:rsidR="00FB2114" w:rsidRPr="00FC339E">
        <w:t xml:space="preserve">План проверок на 2021 год, утвержденный по прежнему закону о проверках, распространяется и на проверки, которые проходят во втором полугодии. При этом плановую выездную проверку могут </w:t>
      </w:r>
      <w:proofErr w:type="gramStart"/>
      <w:r w:rsidR="00FB2114" w:rsidRPr="00FC339E">
        <w:t>заменить на однодневный</w:t>
      </w:r>
      <w:proofErr w:type="gramEnd"/>
      <w:r w:rsidR="00FB2114" w:rsidRPr="00FC339E">
        <w:t xml:space="preserve"> инспекционный визит, о чем предварительно уведомят.</w:t>
      </w:r>
    </w:p>
    <w:p w:rsidR="00FB2114" w:rsidRPr="00FC339E" w:rsidRDefault="00BC2488" w:rsidP="00FC339E">
      <w:pPr>
        <w:jc w:val="both"/>
      </w:pPr>
      <w:r>
        <w:t xml:space="preserve">              </w:t>
      </w:r>
      <w:r w:rsidR="00FB2114" w:rsidRPr="00FC339E">
        <w:t>Проверки, которые к 1 июля не закончились, проводят и оформляют по правилам, действовавшим на момент их начала. По тем же правилам нужно обжаловать их, даже если организация или ИП подает жалобу после 1 июля.</w:t>
      </w:r>
    </w:p>
    <w:p w:rsidR="00FB2114" w:rsidRPr="00FC339E" w:rsidRDefault="00BC2488" w:rsidP="00BC2488">
      <w:pPr>
        <w:tabs>
          <w:tab w:val="left" w:pos="851"/>
        </w:tabs>
        <w:jc w:val="both"/>
      </w:pPr>
      <w:r>
        <w:t xml:space="preserve">              </w:t>
      </w:r>
      <w:r w:rsidR="00FB2114" w:rsidRPr="00FC339E">
        <w:t>Если жалобу подали до 1 июля, ее рассмотрят в порядке, который действовал на дату начала проверки.</w:t>
      </w:r>
    </w:p>
    <w:p w:rsidR="00FB2114" w:rsidRPr="00FC339E" w:rsidRDefault="00BC2488" w:rsidP="00FC339E">
      <w:pPr>
        <w:jc w:val="both"/>
      </w:pPr>
      <w:r>
        <w:t xml:space="preserve">             </w:t>
      </w:r>
      <w:r w:rsidR="00FB2114" w:rsidRPr="00FC339E">
        <w:t>Региональные и муниципальные проверки проводят по старым правилам до тех пор, пока не будут утверждены положения о видах регионального и муниципального контроля. Они должны быть приняты до 1 января 2022 года.</w:t>
      </w:r>
    </w:p>
    <w:p w:rsidR="00412958" w:rsidRPr="00FC339E" w:rsidRDefault="00BC2488" w:rsidP="00FC339E">
      <w:pPr>
        <w:jc w:val="both"/>
      </w:pPr>
      <w:r>
        <w:t xml:space="preserve">             </w:t>
      </w:r>
      <w:r w:rsidR="00FB2114" w:rsidRPr="00FC339E">
        <w:t xml:space="preserve">До конца 2024 года прежний закон о проверках продолжает применяться к целому ряду видов контроля: к антимонопольному контролю, контролю в сфере </w:t>
      </w:r>
      <w:proofErr w:type="spellStart"/>
      <w:r w:rsidR="00FB2114" w:rsidRPr="00FC339E">
        <w:t>гособоронзаказа</w:t>
      </w:r>
      <w:proofErr w:type="spellEnd"/>
      <w:r w:rsidR="00FB2114" w:rsidRPr="00FC339E">
        <w:t xml:space="preserve"> и т.д. Этот закон продолжает действовать и при уведомлении о начале отдельных видов предпринимательской деятельности.</w:t>
      </w:r>
    </w:p>
    <w:p w:rsidR="00C141C7" w:rsidRPr="00FC339E" w:rsidRDefault="00C141C7" w:rsidP="004B49A5">
      <w:pPr>
        <w:jc w:val="center"/>
      </w:pPr>
      <w:r w:rsidRPr="00BC2488">
        <w:rPr>
          <w:u w:val="single"/>
        </w:rPr>
        <w:t>Подписан закон, направленный на совершенствование порядка выезда несовершеннолетнего гражданина России за пределы Российской Федерации</w:t>
      </w:r>
    </w:p>
    <w:p w:rsidR="00C141C7" w:rsidRPr="00FC339E" w:rsidRDefault="00C141C7" w:rsidP="004B49A5">
      <w:pPr>
        <w:ind w:firstLine="851"/>
        <w:jc w:val="both"/>
      </w:pPr>
      <w:r w:rsidRPr="00FC339E">
        <w:t xml:space="preserve">Федеральный закон разработан во исполнение постановления Конституционного Суда Российской Федерации от 25 июня 2020 г. </w:t>
      </w:r>
      <w:r w:rsidR="004B49A5">
        <w:t>№</w:t>
      </w:r>
      <w:r w:rsidRPr="00FC339E">
        <w:t xml:space="preserve"> 29-П и направлен на совершенствование порядка выезда несовершеннолетнего гражданина Российской Федерации за пределы Российской Федерации.</w:t>
      </w:r>
    </w:p>
    <w:p w:rsidR="00C141C7" w:rsidRPr="00FC339E" w:rsidRDefault="004B49A5" w:rsidP="00FC339E">
      <w:pPr>
        <w:jc w:val="both"/>
      </w:pPr>
      <w:r>
        <w:t xml:space="preserve">            </w:t>
      </w:r>
      <w:r w:rsidR="00C141C7" w:rsidRPr="00FC339E">
        <w:t>В этих целях Федеральным законом предусматривается обязанность учета всех поданных законными представителями несовершеннолетнего заявлений о несогласии на его выезд из Российской Федерации, при этом указанные заявления могут быть отозваны во внесудебном порядке подавшими его законными представителями.</w:t>
      </w:r>
    </w:p>
    <w:p w:rsidR="004B49A5" w:rsidRDefault="004B49A5" w:rsidP="00FC339E">
      <w:pPr>
        <w:jc w:val="both"/>
      </w:pPr>
      <w:r>
        <w:t xml:space="preserve">            </w:t>
      </w:r>
      <w:r w:rsidR="00C141C7" w:rsidRPr="00FC339E">
        <w:t>Также Федеральным законом устанавливается возможность не указывать в нотариальном согласии законного представителя на выезд несовершеннолетнего гражданина Российской Федерации срок выезда и государство (государства), которое (</w:t>
      </w:r>
      <w:proofErr w:type="gramStart"/>
      <w:r w:rsidR="00C141C7" w:rsidRPr="00FC339E">
        <w:t xml:space="preserve">которые) </w:t>
      </w:r>
      <w:proofErr w:type="gramEnd"/>
      <w:r w:rsidR="00C141C7" w:rsidRPr="00FC339E">
        <w:t>он намерен посетить.</w:t>
      </w:r>
    </w:p>
    <w:p w:rsidR="00C141C7" w:rsidRPr="00FC339E" w:rsidRDefault="004B49A5" w:rsidP="00FC339E">
      <w:pPr>
        <w:jc w:val="both"/>
      </w:pPr>
      <w:r>
        <w:t xml:space="preserve">            </w:t>
      </w:r>
      <w:r w:rsidR="00C141C7" w:rsidRPr="00FC339E">
        <w:t>Дата вступления в силу - 12.07.2021</w:t>
      </w:r>
      <w:r>
        <w:t>.</w:t>
      </w:r>
    </w:p>
    <w:p w:rsidR="00426DD6" w:rsidRPr="00FC339E" w:rsidRDefault="00426DD6" w:rsidP="00822ACF">
      <w:pPr>
        <w:jc w:val="center"/>
      </w:pPr>
      <w:r w:rsidRPr="004B49A5">
        <w:rPr>
          <w:u w:val="single"/>
        </w:rPr>
        <w:t>Изменения в земельном праве</w:t>
      </w:r>
    </w:p>
    <w:p w:rsidR="00426DD6" w:rsidRPr="00FC339E" w:rsidRDefault="00426DD6" w:rsidP="00822ACF">
      <w:pPr>
        <w:ind w:firstLine="851"/>
        <w:jc w:val="both"/>
      </w:pPr>
      <w:r w:rsidRPr="00FC339E">
        <w:t xml:space="preserve">1. Издан Федеральный закон от 02.07.2021 </w:t>
      </w:r>
      <w:r w:rsidR="00822ACF">
        <w:t xml:space="preserve">№ </w:t>
      </w:r>
      <w:r w:rsidRPr="00FC339E">
        <w:t xml:space="preserve">299-ФЗ, которым внесены поправки в ряд </w:t>
      </w:r>
      <w:proofErr w:type="gramStart"/>
      <w:r w:rsidRPr="00FC339E">
        <w:t>законов по вопросам</w:t>
      </w:r>
      <w:proofErr w:type="gramEnd"/>
      <w:r w:rsidRPr="00FC339E">
        <w:t xml:space="preserve"> земель </w:t>
      </w:r>
      <w:proofErr w:type="spellStart"/>
      <w:r w:rsidRPr="00FC339E">
        <w:t>сельхозначения</w:t>
      </w:r>
      <w:proofErr w:type="spellEnd"/>
      <w:r w:rsidRPr="00FC339E">
        <w:t xml:space="preserve">. Изменения вступят в силу 1 марта 2022 года. </w:t>
      </w:r>
    </w:p>
    <w:p w:rsidR="00426DD6" w:rsidRPr="00FC339E" w:rsidRDefault="00426DD6" w:rsidP="00822ACF">
      <w:pPr>
        <w:ind w:firstLine="851"/>
        <w:jc w:val="both"/>
      </w:pPr>
      <w:r w:rsidRPr="00FC339E">
        <w:t xml:space="preserve">Поправки внесены в пункт 2 статьи 77 Земельного кодекса РФ. Установлено, что в составе земель </w:t>
      </w:r>
      <w:proofErr w:type="spellStart"/>
      <w:r w:rsidRPr="00FC339E">
        <w:t>сельхозназначения</w:t>
      </w:r>
      <w:proofErr w:type="spellEnd"/>
      <w:r w:rsidRPr="00FC339E">
        <w:t xml:space="preserve"> выделяются земли, занятые жилыми домами, строительство, реконструкция и эксплуатация которых допускаются на земельных участках, используемых крестьянскими (фермерскими) хозяйствами для осуществления своей деятельности. </w:t>
      </w:r>
    </w:p>
    <w:p w:rsidR="00822ACF" w:rsidRDefault="00822ACF" w:rsidP="00FC339E">
      <w:pPr>
        <w:jc w:val="both"/>
      </w:pPr>
      <w:r>
        <w:t xml:space="preserve">           </w:t>
      </w:r>
      <w:r w:rsidR="00426DD6" w:rsidRPr="00FC339E">
        <w:t>Также внесены изменения в положения Закона об обороте земель сельскохозяйственного назначения. Указано, что действие Закона не распространяется на земельные участки, на которых расположены объекты недвижимого имущества, за исключением жилых домов, строительство, реконструкция и эксплуатация которых допускаются на земельных участках, используемых крестьянскими (фермерскими) хозяйствами для осуществления своей деятельности.</w:t>
      </w:r>
    </w:p>
    <w:p w:rsidR="00426DD6" w:rsidRPr="00FC339E" w:rsidRDefault="00822ACF" w:rsidP="00A513D2">
      <w:pPr>
        <w:ind w:firstLine="851"/>
        <w:jc w:val="both"/>
      </w:pPr>
      <w:r>
        <w:lastRenderedPageBreak/>
        <w:t>Федеральный закон от 11.06.</w:t>
      </w:r>
      <w:r w:rsidR="00426DD6" w:rsidRPr="00FC339E">
        <w:t>2003</w:t>
      </w:r>
      <w:r>
        <w:t xml:space="preserve"> №</w:t>
      </w:r>
      <w:r w:rsidR="00426DD6" w:rsidRPr="00FC339E">
        <w:t xml:space="preserve"> 74-ФЗ </w:t>
      </w:r>
      <w:r>
        <w:t>«</w:t>
      </w:r>
      <w:r w:rsidR="00426DD6" w:rsidRPr="00FC339E">
        <w:t>О крес</w:t>
      </w:r>
      <w:r>
        <w:t xml:space="preserve">тьянском (фермерском) хозяйстве» </w:t>
      </w:r>
      <w:r w:rsidR="00426DD6" w:rsidRPr="00FC339E">
        <w:t xml:space="preserve">дополнен следующими положениями. </w:t>
      </w:r>
    </w:p>
    <w:p w:rsidR="00426DD6" w:rsidRPr="00FC339E" w:rsidRDefault="00A513D2" w:rsidP="00FC339E">
      <w:pPr>
        <w:jc w:val="both"/>
      </w:pPr>
      <w:r>
        <w:t xml:space="preserve">              </w:t>
      </w:r>
      <w:r w:rsidR="00426DD6" w:rsidRPr="00FC339E">
        <w:t xml:space="preserve">На земельном участке из состава земель сельскохозяйственного назначения, в том числе занятом сельскохозяйственными угодьями, используемом крестьянским (фермерским) хозяйством для осуществления своей деятельности, допускаются строительство, реконструкция и эксплуатация одного жилого дома с количеством этажей не более трех, общая площадь которого составляет не более 500 </w:t>
      </w:r>
      <w:proofErr w:type="spellStart"/>
      <w:r w:rsidR="00426DD6" w:rsidRPr="00FC339E">
        <w:t>кв</w:t>
      </w:r>
      <w:proofErr w:type="gramStart"/>
      <w:r w:rsidR="00426DD6" w:rsidRPr="00FC339E">
        <w:t>.м</w:t>
      </w:r>
      <w:proofErr w:type="spellEnd"/>
      <w:proofErr w:type="gramEnd"/>
      <w:r w:rsidR="00426DD6" w:rsidRPr="00FC339E">
        <w:t xml:space="preserve"> и площадь застройки под которым составляет не более 0,25% от площади земельного участка. Образование земельного участка из земельного участка, на котором расположен такой жилой дом, в случаях, если это приводит к уменьшению площади исходного участка, не допускается. </w:t>
      </w:r>
      <w:r>
        <w:t xml:space="preserve">     </w:t>
      </w:r>
      <w:r w:rsidR="00426DD6" w:rsidRPr="00FC339E">
        <w:t xml:space="preserve">Исключение - изъятие земельного участка для </w:t>
      </w:r>
      <w:proofErr w:type="spellStart"/>
      <w:r w:rsidR="00426DD6" w:rsidRPr="00FC339E">
        <w:t>госнужд</w:t>
      </w:r>
      <w:proofErr w:type="spellEnd"/>
      <w:r w:rsidR="00426DD6" w:rsidRPr="00FC339E">
        <w:t>.</w:t>
      </w:r>
    </w:p>
    <w:p w:rsidR="00426DD6" w:rsidRPr="00FC339E" w:rsidRDefault="00A513D2" w:rsidP="00FC339E">
      <w:pPr>
        <w:jc w:val="both"/>
      </w:pPr>
      <w:r>
        <w:t xml:space="preserve">            </w:t>
      </w:r>
      <w:r w:rsidR="00426DD6" w:rsidRPr="00FC339E">
        <w:t>Законами субъектов РФ могут быть определены муниципальные образования, на территориях которых не допускаются строительство, реконструкция и эксплуатация жилых домов на земельных участках из состава земель сельскохозяйственного назначения, используемых крестьянскими (фермерскими) хозяйствами для осуществления своей деятельности.</w:t>
      </w:r>
    </w:p>
    <w:p w:rsidR="00426DD6" w:rsidRPr="00FC339E" w:rsidRDefault="007B193E" w:rsidP="00FC339E">
      <w:pPr>
        <w:jc w:val="both"/>
      </w:pPr>
      <w:r>
        <w:t xml:space="preserve">             </w:t>
      </w:r>
      <w:r w:rsidR="00426DD6" w:rsidRPr="00FC339E">
        <w:t xml:space="preserve">Поправки связаны с тем, что действующее земельное законодательство содержало такое регулирование, которое не позволяло в большинстве случаев крестьянским (фермерским) хозяйствам иметь жилой дом и проживать в непосредственной близости с землями, используемыми в сельскохозяйственном производстве. </w:t>
      </w:r>
    </w:p>
    <w:p w:rsidR="00426DD6" w:rsidRPr="00FC339E" w:rsidRDefault="007B193E" w:rsidP="00FC339E">
      <w:pPr>
        <w:jc w:val="both"/>
      </w:pPr>
      <w:r>
        <w:t xml:space="preserve">           </w:t>
      </w:r>
      <w:r w:rsidR="00426DD6" w:rsidRPr="00FC339E">
        <w:t xml:space="preserve">2. Постановлением Правительства РФ от 30.06.2021 </w:t>
      </w:r>
      <w:r>
        <w:t>№</w:t>
      </w:r>
      <w:r w:rsidR="00426DD6" w:rsidRPr="00FC339E">
        <w:t xml:space="preserve"> 1081 в соответствии с пунктом 11 статьи 71 Земельного кодекса РФ утверждено новое Положение о федеральном государственном земельном контроле (надзоре). </w:t>
      </w:r>
    </w:p>
    <w:p w:rsidR="007B193E" w:rsidRDefault="007B193E" w:rsidP="007B193E">
      <w:pPr>
        <w:jc w:val="both"/>
      </w:pPr>
      <w:r>
        <w:t xml:space="preserve">           </w:t>
      </w:r>
      <w:r w:rsidR="00426DD6" w:rsidRPr="00FC339E">
        <w:t>Постановле</w:t>
      </w:r>
      <w:r>
        <w:t>ние Правительства РФ от 02.01</w:t>
      </w:r>
      <w:r w:rsidR="00426DD6" w:rsidRPr="00FC339E">
        <w:t xml:space="preserve"> 2015</w:t>
      </w:r>
      <w:r>
        <w:t xml:space="preserve"> №</w:t>
      </w:r>
      <w:r w:rsidR="00426DD6" w:rsidRPr="00FC339E">
        <w:t xml:space="preserve"> 1 </w:t>
      </w:r>
      <w:r>
        <w:t>«</w:t>
      </w:r>
      <w:r w:rsidR="00426DD6" w:rsidRPr="00FC339E">
        <w:t>Об утверждении Положения о го</w:t>
      </w:r>
      <w:r>
        <w:t>сударственном земельном надзоре»</w:t>
      </w:r>
      <w:r w:rsidR="00426DD6" w:rsidRPr="00FC339E">
        <w:t xml:space="preserve">  утратило силу. </w:t>
      </w:r>
    </w:p>
    <w:p w:rsidR="00AC01DC" w:rsidRDefault="007B193E" w:rsidP="007B193E">
      <w:pPr>
        <w:jc w:val="both"/>
        <w:rPr>
          <w:lang w:val="en-US"/>
        </w:rPr>
      </w:pPr>
      <w:r>
        <w:t xml:space="preserve">          </w:t>
      </w:r>
      <w:r w:rsidR="00426DD6" w:rsidRPr="00FC339E">
        <w:t>Новое Положение вступило в силу 1 июля 2021 года.</w:t>
      </w:r>
    </w:p>
    <w:p w:rsidR="00AC01DC" w:rsidRPr="00FA44FB" w:rsidRDefault="00AC01DC" w:rsidP="00BC10F9">
      <w:pPr>
        <w:jc w:val="center"/>
      </w:pPr>
      <w:r w:rsidRPr="00BC10F9">
        <w:rPr>
          <w:u w:val="single"/>
        </w:rPr>
        <w:t>Правительство утвердило постановление о начале использования трудовых книжек нового образца</w:t>
      </w:r>
    </w:p>
    <w:p w:rsidR="00AC01DC" w:rsidRPr="00FA44FB" w:rsidRDefault="00AC01DC" w:rsidP="00BC10F9">
      <w:pPr>
        <w:ind w:firstLine="851"/>
        <w:jc w:val="both"/>
      </w:pPr>
      <w:r w:rsidRPr="00FA44FB">
        <w:t xml:space="preserve">С 1 января 2023 года в России начнут использоваться трудовые книжки нового образца. Такое постановление подписал Председатель Правительства Михаил </w:t>
      </w:r>
      <w:proofErr w:type="spellStart"/>
      <w:r w:rsidRPr="00FA44FB">
        <w:t>Мишустин</w:t>
      </w:r>
      <w:proofErr w:type="spellEnd"/>
      <w:r w:rsidRPr="00FA44FB">
        <w:t>.</w:t>
      </w:r>
    </w:p>
    <w:p w:rsidR="00AC01DC" w:rsidRPr="00FA44FB" w:rsidRDefault="00BC10F9" w:rsidP="00AC01DC">
      <w:pPr>
        <w:jc w:val="both"/>
      </w:pPr>
      <w:r>
        <w:t xml:space="preserve">              </w:t>
      </w:r>
      <w:r w:rsidR="00AC01DC" w:rsidRPr="00FA44FB">
        <w:t xml:space="preserve">При этом работники смогут без ограничений пользоваться </w:t>
      </w:r>
      <w:proofErr w:type="gramStart"/>
      <w:r w:rsidR="00AC01DC" w:rsidRPr="00FA44FB">
        <w:t>прежними</w:t>
      </w:r>
      <w:proofErr w:type="gramEnd"/>
      <w:r w:rsidR="00AC01DC" w:rsidRPr="00FA44FB">
        <w:t xml:space="preserve"> трудовыми. То же касается бланков и вкладышей старого образца, которые хранятся у работодателей, - они также будут действительны.</w:t>
      </w:r>
    </w:p>
    <w:p w:rsidR="00AC01DC" w:rsidRPr="00FA44FB" w:rsidRDefault="00AC01DC" w:rsidP="00BC10F9">
      <w:pPr>
        <w:ind w:firstLine="851"/>
        <w:jc w:val="both"/>
      </w:pPr>
      <w:r w:rsidRPr="00FA44FB">
        <w:t>Ранее Минтруд скорректировал форму бланка трудовой книжки, а также обновил инструкции по её ведению и хранению. Из них, например, были исключены некоторые устаревшие положения, регламентирующие способы заполнения бланков и учёт книжек работодателем.</w:t>
      </w:r>
    </w:p>
    <w:p w:rsidR="00AC01DC" w:rsidRPr="00FA44FB" w:rsidRDefault="00AC01DC" w:rsidP="00773BBA">
      <w:pPr>
        <w:ind w:firstLine="851"/>
        <w:jc w:val="both"/>
      </w:pPr>
      <w:r w:rsidRPr="00FA44FB">
        <w:t>Определять порядок изготовления новых трудовых книжек будет Минфин. Он же займётся решением вопросов, связанных с обеспечением работодателей документами нового образца.</w:t>
      </w:r>
    </w:p>
    <w:p w:rsidR="00AC01DC" w:rsidRPr="00FA44FB" w:rsidRDefault="00AC01DC" w:rsidP="00D0529D">
      <w:pPr>
        <w:ind w:firstLine="851"/>
        <w:jc w:val="both"/>
      </w:pPr>
      <w:r w:rsidRPr="00FA44FB">
        <w:t xml:space="preserve">С прошлого года работникам предоставлено право </w:t>
      </w:r>
      <w:proofErr w:type="gramStart"/>
      <w:r w:rsidRPr="00FA44FB">
        <w:t>выбрать</w:t>
      </w:r>
      <w:proofErr w:type="gramEnd"/>
      <w:r w:rsidRPr="00FA44FB">
        <w:t xml:space="preserve"> между бумажной и электронной трудовыми книжками, а с 2021 года появилась возможность включать в электронный документ записи о местах работы за весь трудовой стаж. Те, кто принял решение перейти на новый формат, могут ознакомиться с электронной трудовой книжкой в личном кабинете на сайте Пенсионного фонда.  </w:t>
      </w:r>
    </w:p>
    <w:p w:rsidR="00D0529D" w:rsidRPr="00FA44FB" w:rsidRDefault="00FA44FB" w:rsidP="00D0529D">
      <w:pPr>
        <w:jc w:val="center"/>
      </w:pPr>
      <w:proofErr w:type="spellStart"/>
      <w:r w:rsidRPr="00D0529D">
        <w:rPr>
          <w:u w:val="single"/>
        </w:rPr>
        <w:t>Роспотребнадзор</w:t>
      </w:r>
      <w:proofErr w:type="spellEnd"/>
      <w:r w:rsidRPr="00D0529D">
        <w:rPr>
          <w:u w:val="single"/>
        </w:rPr>
        <w:t xml:space="preserve"> продлил срок сдачи ПЦР-теста после возвращения из-за границы</w:t>
      </w:r>
    </w:p>
    <w:p w:rsidR="00FA44FB" w:rsidRPr="00FA44FB" w:rsidRDefault="00FA44FB" w:rsidP="00D0529D">
      <w:pPr>
        <w:ind w:firstLine="851"/>
        <w:jc w:val="both"/>
      </w:pPr>
      <w:r w:rsidRPr="00FA44FB">
        <w:t xml:space="preserve">Постановлением Главного государственного врача Российской Федерации от 28.07.2021 </w:t>
      </w:r>
      <w:r w:rsidR="00D0529D">
        <w:t xml:space="preserve">№ </w:t>
      </w:r>
      <w:r w:rsidRPr="00FA44FB">
        <w:t xml:space="preserve">21 внесены изменения в постановление Главного государственного санитарного врача Российской Федерации от 18.03.2020 </w:t>
      </w:r>
      <w:r w:rsidR="00D0529D">
        <w:t>№</w:t>
      </w:r>
      <w:r w:rsidRPr="00FA44FB">
        <w:t xml:space="preserve"> 7 </w:t>
      </w:r>
      <w:r w:rsidR="00D0529D">
        <w:t>«</w:t>
      </w:r>
      <w:r w:rsidRPr="00FA44FB">
        <w:t>Об обеспечении режима изоляции в целях предотвращения распространения СО</w:t>
      </w:r>
      <w:r w:rsidRPr="00FA44FB">
        <w:rPr>
          <w:lang w:val="en-US"/>
        </w:rPr>
        <w:t>VID</w:t>
      </w:r>
      <w:r w:rsidR="00D0529D">
        <w:t>-2019»</w:t>
      </w:r>
      <w:r w:rsidRPr="00FA44FB">
        <w:t>.</w:t>
      </w:r>
    </w:p>
    <w:p w:rsidR="00FA44FB" w:rsidRPr="00FA44FB" w:rsidRDefault="00FA44FB" w:rsidP="00FA44FB">
      <w:pPr>
        <w:jc w:val="both"/>
      </w:pPr>
    </w:p>
    <w:p w:rsidR="00FA44FB" w:rsidRPr="00FA44FB" w:rsidRDefault="00FA44FB" w:rsidP="00FA44FB">
      <w:pPr>
        <w:jc w:val="both"/>
      </w:pPr>
    </w:p>
    <w:p w:rsidR="00FA44FB" w:rsidRPr="00FA44FB" w:rsidRDefault="00FA44FB" w:rsidP="00FA44FB">
      <w:pPr>
        <w:jc w:val="both"/>
      </w:pPr>
      <w:r w:rsidRPr="00FA44FB">
        <w:lastRenderedPageBreak/>
        <w:t xml:space="preserve">   </w:t>
      </w:r>
    </w:p>
    <w:p w:rsidR="00AC01DC" w:rsidRPr="00FA44FB" w:rsidRDefault="00FA44FB" w:rsidP="00BD0F0A">
      <w:pPr>
        <w:ind w:firstLine="851"/>
        <w:jc w:val="both"/>
      </w:pPr>
      <w:r w:rsidRPr="00FA44FB">
        <w:t xml:space="preserve">Установлено, что россияне, которые не поставили прививку и не болели </w:t>
      </w:r>
      <w:proofErr w:type="spellStart"/>
      <w:r w:rsidRPr="00FA44FB">
        <w:t>коронавирусом</w:t>
      </w:r>
      <w:proofErr w:type="spellEnd"/>
      <w:r w:rsidRPr="00FA44FB">
        <w:t>, могут сдать ПЦР-тест после возвращения из-за границы в течение четырех дней. Ранее на это давалось три дня. До получения результата ПЦР-теста, как и прежде, необходимо соблюдать самоизоляцию, отмечается в документе.</w:t>
      </w:r>
    </w:p>
    <w:p w:rsidR="00017015" w:rsidRPr="00FC339E" w:rsidRDefault="00017015" w:rsidP="000957F4">
      <w:pPr>
        <w:jc w:val="center"/>
      </w:pPr>
      <w:r w:rsidRPr="007B193E">
        <w:rPr>
          <w:u w:val="single"/>
        </w:rPr>
        <w:t>Утверждено новое Положение о проверках трудовой инспекции</w:t>
      </w:r>
    </w:p>
    <w:p w:rsidR="00017015" w:rsidRPr="00FC339E" w:rsidRDefault="00017015" w:rsidP="00FD6BD9">
      <w:pPr>
        <w:ind w:firstLine="851"/>
        <w:jc w:val="both"/>
      </w:pPr>
      <w:r w:rsidRPr="00FC339E">
        <w:t xml:space="preserve">Постановлением Правительства РФ от 21.07.2021 </w:t>
      </w:r>
      <w:r w:rsidR="00FD6BD9">
        <w:t>№</w:t>
      </w:r>
      <w:r w:rsidRPr="00FC339E">
        <w:t xml:space="preserve"> 1230 утверждено Положение о федеральном государственном контроле (надзоре) за соблюдением трудового законодательства и иных нормативных правовых актов, содержащих нормы трудового права (далее - Положение).</w:t>
      </w:r>
    </w:p>
    <w:p w:rsidR="00017015" w:rsidRPr="00FC339E" w:rsidRDefault="00FD6BD9" w:rsidP="00FC339E">
      <w:pPr>
        <w:jc w:val="both"/>
      </w:pPr>
      <w:r>
        <w:t xml:space="preserve">            </w:t>
      </w:r>
      <w:r w:rsidR="00017015" w:rsidRPr="00FC339E">
        <w:t xml:space="preserve">В соответствии с Положением: </w:t>
      </w:r>
    </w:p>
    <w:p w:rsidR="00017015" w:rsidRPr="00FC339E" w:rsidRDefault="00017015" w:rsidP="00FC339E">
      <w:pPr>
        <w:jc w:val="both"/>
      </w:pPr>
      <w:r w:rsidRPr="00FC339E">
        <w:t>- государственный контроль (надзор) осуществляется федеральной инспекцией труда, состоящей из Федеральной службы по труду и занятости (</w:t>
      </w:r>
      <w:proofErr w:type="spellStart"/>
      <w:r w:rsidRPr="00FC339E">
        <w:t>Роструда</w:t>
      </w:r>
      <w:proofErr w:type="spellEnd"/>
      <w:r w:rsidRPr="00FC339E">
        <w:t>) и ее территориальных органов;</w:t>
      </w:r>
    </w:p>
    <w:p w:rsidR="00017015" w:rsidRPr="00FC339E" w:rsidRDefault="00017015" w:rsidP="00FC339E">
      <w:pPr>
        <w:jc w:val="both"/>
      </w:pPr>
      <w:r w:rsidRPr="00FC339E">
        <w:t>- объекты контроля относятся к одной из следующих категорий риска причинения вреда (ущерба): высокий риск; значительный риск; средний риск; умеренный риск; низкий риск;</w:t>
      </w:r>
    </w:p>
    <w:p w:rsidR="00017015" w:rsidRPr="00FC339E" w:rsidRDefault="00017015" w:rsidP="00FC339E">
      <w:pPr>
        <w:jc w:val="both"/>
      </w:pPr>
      <w:r w:rsidRPr="00FC339E">
        <w:t>- предусмотрена периодичность проведения плановых контрольных (надзорных) мероприятий в зависимости от присвоенной категории риска.</w:t>
      </w:r>
    </w:p>
    <w:p w:rsidR="00017015" w:rsidRPr="00FC339E" w:rsidRDefault="00017015" w:rsidP="00FD6BD9">
      <w:pPr>
        <w:ind w:firstLine="851"/>
        <w:jc w:val="both"/>
      </w:pPr>
      <w:r w:rsidRPr="00FC339E">
        <w:t xml:space="preserve">Положением также </w:t>
      </w:r>
      <w:proofErr w:type="gramStart"/>
      <w:r w:rsidRPr="00FC339E">
        <w:t>определены</w:t>
      </w:r>
      <w:proofErr w:type="gramEnd"/>
      <w:r w:rsidRPr="00FC339E">
        <w:t>:</w:t>
      </w:r>
    </w:p>
    <w:p w:rsidR="00017015" w:rsidRPr="00FC339E" w:rsidRDefault="00017015" w:rsidP="00FC339E">
      <w:pPr>
        <w:jc w:val="both"/>
      </w:pPr>
      <w:r w:rsidRPr="00FC339E">
        <w:t>- виды профилактических мероприятий при осуществлении государственного контроля (надзора) (информирование, обобщение правоприменительной практики, объявление предостережения, консультирование, профилактический визит);</w:t>
      </w:r>
    </w:p>
    <w:p w:rsidR="00017015" w:rsidRPr="00FC339E" w:rsidRDefault="00017015" w:rsidP="00FC339E">
      <w:pPr>
        <w:jc w:val="both"/>
      </w:pPr>
      <w:r w:rsidRPr="00FC339E">
        <w:t xml:space="preserve">- виды контрольных (надзорных) мероприятий (документарные и выездные проверки, инспекционный визит, рейдовый осмотр). </w:t>
      </w:r>
    </w:p>
    <w:p w:rsidR="00017015" w:rsidRPr="00FC339E" w:rsidRDefault="00017015" w:rsidP="00FD6BD9">
      <w:pPr>
        <w:ind w:firstLine="851"/>
        <w:jc w:val="both"/>
      </w:pPr>
      <w:r w:rsidRPr="00FC339E">
        <w:t>Установлено, что выездная проверка осуществляется в пределах 10 рабочих дней.</w:t>
      </w:r>
    </w:p>
    <w:p w:rsidR="00017015" w:rsidRPr="00FC339E" w:rsidRDefault="00017015" w:rsidP="00FD6BD9">
      <w:pPr>
        <w:ind w:firstLine="851"/>
        <w:jc w:val="both"/>
      </w:pPr>
      <w:r w:rsidRPr="00FC339E">
        <w:t xml:space="preserve">Постановление Правительства РФ от 21.07.2021 </w:t>
      </w:r>
      <w:r w:rsidR="00FD6BD9">
        <w:t>№</w:t>
      </w:r>
      <w:r w:rsidRPr="00FC339E">
        <w:t xml:space="preserve"> 1230 </w:t>
      </w:r>
      <w:proofErr w:type="gramStart"/>
      <w:r w:rsidRPr="00FC339E">
        <w:t>вступило в силу 23.07.2021 и</w:t>
      </w:r>
      <w:proofErr w:type="gramEnd"/>
      <w:r w:rsidRPr="00FC339E">
        <w:t xml:space="preserve"> будет действовать до 01.06.2023.</w:t>
      </w:r>
    </w:p>
    <w:p w:rsidR="00412958" w:rsidRPr="00FC339E" w:rsidRDefault="00017015" w:rsidP="00FD6BD9">
      <w:pPr>
        <w:ind w:firstLine="851"/>
        <w:jc w:val="both"/>
      </w:pPr>
      <w:r w:rsidRPr="00FC339E">
        <w:t xml:space="preserve">Постановление Правительства РФ от 01.09.2012 </w:t>
      </w:r>
      <w:r w:rsidR="00FD6BD9">
        <w:t>№</w:t>
      </w:r>
      <w:r w:rsidRPr="00FC339E">
        <w:t xml:space="preserve"> 875, ранее утверждавшее аналогичное Положение, признано утратившим силу.</w:t>
      </w:r>
    </w:p>
    <w:p w:rsidR="00FD6BD9" w:rsidRDefault="00E76071" w:rsidP="00FD6BD9">
      <w:pPr>
        <w:jc w:val="center"/>
        <w:rPr>
          <w:u w:val="single"/>
        </w:rPr>
      </w:pPr>
      <w:r w:rsidRPr="00FD6BD9">
        <w:rPr>
          <w:u w:val="single"/>
        </w:rPr>
        <w:t>С 9 августа откроют воздушные границы еще с тремя странами</w:t>
      </w:r>
    </w:p>
    <w:p w:rsidR="00E76071" w:rsidRPr="00FC339E" w:rsidRDefault="00E76071" w:rsidP="00FD6BD9">
      <w:pPr>
        <w:ind w:firstLine="851"/>
        <w:jc w:val="both"/>
      </w:pPr>
      <w:r w:rsidRPr="00FC339E">
        <w:t>Правительство сообщило о возобновлении на взаимной основе регулярного авиасообщения со следующими государствами:</w:t>
      </w:r>
    </w:p>
    <w:p w:rsidR="00E76071" w:rsidRPr="00FC339E" w:rsidRDefault="00DC5FD0" w:rsidP="00FC339E">
      <w:pPr>
        <w:jc w:val="both"/>
      </w:pPr>
      <w:r>
        <w:t xml:space="preserve">             </w:t>
      </w:r>
      <w:r w:rsidR="00E76071" w:rsidRPr="00FC339E">
        <w:t>- Бахрейном по маршруту Москва - Манама (2 рейса в неделю);</w:t>
      </w:r>
    </w:p>
    <w:p w:rsidR="00E76071" w:rsidRPr="00FC339E" w:rsidRDefault="00E76071" w:rsidP="00DC5FD0">
      <w:pPr>
        <w:ind w:firstLine="851"/>
        <w:jc w:val="both"/>
      </w:pPr>
      <w:r w:rsidRPr="00FC339E">
        <w:t xml:space="preserve">- </w:t>
      </w:r>
      <w:proofErr w:type="spellStart"/>
      <w:r w:rsidRPr="00FC339E">
        <w:t>Доминиканой</w:t>
      </w:r>
      <w:proofErr w:type="spellEnd"/>
      <w:r w:rsidRPr="00FC339E">
        <w:t xml:space="preserve"> по маршрутам Москва - </w:t>
      </w:r>
      <w:proofErr w:type="spellStart"/>
      <w:r w:rsidRPr="00FC339E">
        <w:t>Пунта</w:t>
      </w:r>
      <w:proofErr w:type="spellEnd"/>
      <w:r w:rsidRPr="00FC339E">
        <w:t xml:space="preserve">-Кана, Москва - Ла-Романа, Москва </w:t>
      </w:r>
      <w:r w:rsidR="00DC5FD0">
        <w:t xml:space="preserve">      </w:t>
      </w:r>
      <w:r w:rsidR="00BD1AA7">
        <w:t xml:space="preserve">   </w:t>
      </w:r>
      <w:r w:rsidRPr="00FC339E">
        <w:t xml:space="preserve">- </w:t>
      </w:r>
      <w:proofErr w:type="gramStart"/>
      <w:r w:rsidRPr="00FC339E">
        <w:t>Пуэрто-Плата</w:t>
      </w:r>
      <w:proofErr w:type="gramEnd"/>
      <w:r w:rsidRPr="00FC339E">
        <w:t xml:space="preserve"> (общая частота 3 рейса в неделю);</w:t>
      </w:r>
    </w:p>
    <w:p w:rsidR="00E76071" w:rsidRPr="00FC339E" w:rsidRDefault="00E76071" w:rsidP="00DC5FD0">
      <w:pPr>
        <w:ind w:firstLine="851"/>
        <w:jc w:val="both"/>
      </w:pPr>
      <w:r w:rsidRPr="00FC339E">
        <w:t>- Молдавией по маршруту Москва - Кишинев (3 рейса в неделю).</w:t>
      </w:r>
    </w:p>
    <w:p w:rsidR="00E76071" w:rsidRPr="00FC339E" w:rsidRDefault="00E76071" w:rsidP="00BD1AA7">
      <w:pPr>
        <w:ind w:firstLine="851"/>
        <w:jc w:val="both"/>
      </w:pPr>
      <w:r w:rsidRPr="00FC339E">
        <w:t>Кроме того, увеличат количество регулярных рейсов с Сирией и Египтом.</w:t>
      </w:r>
    </w:p>
    <w:p w:rsidR="00E76071" w:rsidRPr="00FC339E" w:rsidRDefault="00E76071" w:rsidP="00BD1AA7">
      <w:pPr>
        <w:ind w:firstLine="851"/>
        <w:jc w:val="both"/>
      </w:pPr>
      <w:r w:rsidRPr="00FC339E">
        <w:t>Напомним, по прибытии из-за границы должны пройти исследование на COVID-19 все граждане РФ, за исключением тех, кто привился в течение последних 12 мес. или переболел менее полугода назад.</w:t>
      </w:r>
    </w:p>
    <w:p w:rsidR="00412958" w:rsidRPr="00FC339E" w:rsidRDefault="00BD1AA7" w:rsidP="00FC339E">
      <w:pPr>
        <w:jc w:val="both"/>
      </w:pPr>
      <w:r>
        <w:t xml:space="preserve">            </w:t>
      </w:r>
      <w:r w:rsidR="00E76071" w:rsidRPr="00FC339E">
        <w:t>Документ: Информация Правительства РФ от 23.07.2021</w:t>
      </w:r>
      <w:r>
        <w:t>.</w:t>
      </w:r>
    </w:p>
    <w:p w:rsidR="00F85951" w:rsidRPr="00BD1AA7" w:rsidRDefault="00F85951" w:rsidP="00BD1AA7">
      <w:pPr>
        <w:ind w:firstLine="851"/>
        <w:jc w:val="center"/>
        <w:rPr>
          <w:u w:val="single"/>
        </w:rPr>
      </w:pPr>
      <w:r w:rsidRPr="00BD1AA7">
        <w:rPr>
          <w:u w:val="single"/>
        </w:rPr>
        <w:t>Информация</w:t>
      </w:r>
      <w:r w:rsidR="00BD1AA7">
        <w:rPr>
          <w:u w:val="single"/>
        </w:rPr>
        <w:t xml:space="preserve"> </w:t>
      </w:r>
      <w:r w:rsidRPr="00BD1AA7">
        <w:rPr>
          <w:u w:val="single"/>
        </w:rPr>
        <w:t xml:space="preserve"> Ростуризма от 28.07.2021 </w:t>
      </w:r>
      <w:r w:rsidR="00BD1AA7">
        <w:rPr>
          <w:u w:val="single"/>
        </w:rPr>
        <w:t>«</w:t>
      </w:r>
      <w:r w:rsidRPr="00BD1AA7">
        <w:rPr>
          <w:u w:val="single"/>
        </w:rPr>
        <w:t>Ростуризм продлил текущее окно продаж турис</w:t>
      </w:r>
      <w:r w:rsidR="00BD1AA7">
        <w:rPr>
          <w:u w:val="single"/>
        </w:rPr>
        <w:t xml:space="preserve">тического </w:t>
      </w:r>
      <w:proofErr w:type="spellStart"/>
      <w:r w:rsidR="00BD1AA7">
        <w:rPr>
          <w:u w:val="single"/>
        </w:rPr>
        <w:t>кешбэка</w:t>
      </w:r>
      <w:proofErr w:type="spellEnd"/>
      <w:r w:rsidR="00BD1AA7">
        <w:rPr>
          <w:u w:val="single"/>
        </w:rPr>
        <w:t xml:space="preserve"> до 31 августа»</w:t>
      </w:r>
    </w:p>
    <w:p w:rsidR="00F85951" w:rsidRPr="00FC339E" w:rsidRDefault="00F85951" w:rsidP="00FC339E">
      <w:pPr>
        <w:ind w:firstLine="851"/>
        <w:jc w:val="both"/>
      </w:pPr>
      <w:r w:rsidRPr="00FC339E">
        <w:t xml:space="preserve">До 31 августа продлено окно продаж в рамках осеннего этапа программы туристического </w:t>
      </w:r>
      <w:proofErr w:type="spellStart"/>
      <w:r w:rsidRPr="00FC339E">
        <w:t>кешбэка</w:t>
      </w:r>
      <w:proofErr w:type="spellEnd"/>
      <w:r w:rsidR="00BD1AA7">
        <w:t>.</w:t>
      </w:r>
    </w:p>
    <w:p w:rsidR="00F85951" w:rsidRPr="00FC339E" w:rsidRDefault="00F85951" w:rsidP="00FC339E">
      <w:pPr>
        <w:ind w:firstLine="851"/>
        <w:jc w:val="both"/>
      </w:pPr>
      <w:r w:rsidRPr="00FC339E">
        <w:t>Условия остаются прежние: туристу на карту вернется 20 процентов стоимости тура или проживания, в максимуме - 20 тысяч рублей. Оплатить нужно картой МИР. С одной карты можно оплатить неограниченное количество туров. Поехать можно в любой регион с 1 октября и по 24 декабря. При этом в круиз можно будет отправиться с 1 сентября до окончания навигации. В программе участвуют поездки и проживание в гостинице от 2 ночей.</w:t>
      </w:r>
    </w:p>
    <w:p w:rsidR="00F85951" w:rsidRPr="00FC339E" w:rsidRDefault="00F85951" w:rsidP="00FC339E">
      <w:pPr>
        <w:ind w:firstLine="851"/>
        <w:jc w:val="both"/>
      </w:pPr>
      <w:r w:rsidRPr="00FC339E">
        <w:lastRenderedPageBreak/>
        <w:t xml:space="preserve">К программе подключено порядка 3 000 партнеров: отелей, туроператоров, круизов и </w:t>
      </w:r>
      <w:proofErr w:type="spellStart"/>
      <w:r w:rsidRPr="00FC339E">
        <w:t>агрегаторов</w:t>
      </w:r>
      <w:proofErr w:type="spellEnd"/>
      <w:r w:rsidRPr="00FC339E">
        <w:t xml:space="preserve">. Все доступные предложения и список партнеров опубликованы на сайте </w:t>
      </w:r>
      <w:proofErr w:type="spellStart"/>
      <w:r w:rsidRPr="00FC339E">
        <w:t>мирпутешествий</w:t>
      </w:r>
      <w:proofErr w:type="gramStart"/>
      <w:r w:rsidRPr="00FC339E">
        <w:t>.р</w:t>
      </w:r>
      <w:proofErr w:type="gramEnd"/>
      <w:r w:rsidRPr="00FC339E">
        <w:t>ф</w:t>
      </w:r>
      <w:proofErr w:type="spellEnd"/>
      <w:r w:rsidRPr="00FC339E">
        <w:t xml:space="preserve"> и постоянно пополняются в режиме реального времени.</w:t>
      </w:r>
    </w:p>
    <w:p w:rsidR="00A377C8" w:rsidRPr="00BD1AA7" w:rsidRDefault="00A377C8" w:rsidP="00BD1AA7">
      <w:pPr>
        <w:ind w:firstLine="851"/>
        <w:jc w:val="center"/>
        <w:rPr>
          <w:u w:val="single"/>
        </w:rPr>
      </w:pPr>
      <w:r w:rsidRPr="00BD1AA7">
        <w:rPr>
          <w:u w:val="single"/>
        </w:rPr>
        <w:t>Как нельзя исчислять срок исковой давности по требованию досрочно вернуть кредит, определил ВС РФ</w:t>
      </w:r>
    </w:p>
    <w:p w:rsidR="00A377C8" w:rsidRPr="00FC339E" w:rsidRDefault="00A377C8" w:rsidP="00FC339E">
      <w:pPr>
        <w:ind w:firstLine="851"/>
        <w:jc w:val="both"/>
      </w:pPr>
      <w:r w:rsidRPr="00FC339E">
        <w:t xml:space="preserve">Заемщик перестал вносить ежемесячные минимальные платежи по кредиту. </w:t>
      </w:r>
      <w:r w:rsidR="005E6A5B">
        <w:t xml:space="preserve">   </w:t>
      </w:r>
      <w:r w:rsidRPr="00FC339E">
        <w:t>Чтобы вернуть весь долг, банк получил судебный приказ. После его отмены банк подал иск о взыскании долга. Заемщик заявил о пропуске срока исковой давности.</w:t>
      </w:r>
    </w:p>
    <w:p w:rsidR="00A377C8" w:rsidRPr="00FC339E" w:rsidRDefault="00A377C8" w:rsidP="00FC339E">
      <w:pPr>
        <w:ind w:firstLine="851"/>
        <w:jc w:val="both"/>
      </w:pPr>
      <w:r w:rsidRPr="00FC339E">
        <w:t>Первая инстанция банку отказала. Когда он обратился за судебным приказом, то согласно правилу ГК РФ досрочно потребовал всю сумму кредита и тем самым изменил срок исполнения обязательства. Приказ отменили в декабре 2015 года, а банк подал иск в сентябре 2019 года, т.е. он пропустил срок исковой давности.</w:t>
      </w:r>
    </w:p>
    <w:p w:rsidR="00A377C8" w:rsidRPr="00FC339E" w:rsidRDefault="00A377C8" w:rsidP="00FC339E">
      <w:pPr>
        <w:ind w:firstLine="851"/>
        <w:jc w:val="both"/>
      </w:pPr>
      <w:r w:rsidRPr="00FC339E">
        <w:t>Апелляция посчитала иначе. По ее мнению, срок нужно исчислять отдельно по каждому ежемесячному платежу за 3 года до подачи иска. Поскольку этого не сделали, она направила дело на новое рассмотрение в первую инстанцию. Кассация поддержала такой подход. Затем первая инстанция иск удовлетворила.</w:t>
      </w:r>
    </w:p>
    <w:p w:rsidR="00A377C8" w:rsidRPr="00FC339E" w:rsidRDefault="00A377C8" w:rsidP="00FC339E">
      <w:pPr>
        <w:ind w:firstLine="851"/>
        <w:jc w:val="both"/>
      </w:pPr>
      <w:r w:rsidRPr="00FC339E">
        <w:t>ВС РФ отменил все судебные акты, начиная с определения апелляции. Банк действительно изменил срок возврата кредита, когда обратился за судебным приказом. В этой ситуации рассчитывать срок исковой давности по каждому платежу нельзя. Апелляции придется рассмотреть дело заново.</w:t>
      </w:r>
    </w:p>
    <w:p w:rsidR="00F85951" w:rsidRPr="00FC339E" w:rsidRDefault="00A377C8" w:rsidP="00FC339E">
      <w:pPr>
        <w:ind w:firstLine="851"/>
        <w:jc w:val="both"/>
      </w:pPr>
      <w:r w:rsidRPr="00FC339E">
        <w:t>Документ: О</w:t>
      </w:r>
      <w:r w:rsidR="005E6A5B">
        <w:t>пределение ВС РФ от 29.06.2021 №</w:t>
      </w:r>
      <w:r w:rsidRPr="00FC339E">
        <w:t xml:space="preserve"> 66-КГ21-8-К8</w:t>
      </w:r>
      <w:r w:rsidR="005E6A5B">
        <w:t>.</w:t>
      </w:r>
    </w:p>
    <w:p w:rsidR="00B26842" w:rsidRPr="005E6A5B" w:rsidRDefault="00B26842" w:rsidP="005E6A5B">
      <w:pPr>
        <w:ind w:firstLine="851"/>
        <w:jc w:val="center"/>
        <w:rPr>
          <w:u w:val="single"/>
        </w:rPr>
      </w:pPr>
      <w:r w:rsidRPr="005E6A5B">
        <w:rPr>
          <w:u w:val="single"/>
        </w:rPr>
        <w:t>ВС РФ: в контракте можно установить пени в большем разм</w:t>
      </w:r>
      <w:r w:rsidR="005E6A5B">
        <w:rPr>
          <w:u w:val="single"/>
        </w:rPr>
        <w:t>ере, чем предусмотрено Законом №</w:t>
      </w:r>
      <w:r w:rsidRPr="005E6A5B">
        <w:rPr>
          <w:u w:val="single"/>
        </w:rPr>
        <w:t xml:space="preserve"> 44-ФЗ</w:t>
      </w:r>
    </w:p>
    <w:p w:rsidR="008F343A" w:rsidRDefault="00B26842" w:rsidP="00FC339E">
      <w:pPr>
        <w:ind w:firstLine="851"/>
        <w:jc w:val="both"/>
      </w:pPr>
      <w:r w:rsidRPr="00FC339E">
        <w:t xml:space="preserve">Стороны заключили контракт. В нем предусмотрели пени в размере 1% от суммы контракта за каждый день просрочки исполнения обязательств поставщиком. </w:t>
      </w:r>
      <w:proofErr w:type="gramStart"/>
      <w:r w:rsidRPr="00FC339E">
        <w:t>Последний обратился в суд, чтобы признать такое условие ничтожным.</w:t>
      </w:r>
      <w:proofErr w:type="gramEnd"/>
      <w:r w:rsidRPr="00FC339E">
        <w:t xml:space="preserve"> Первая инстанция с ним согласилась: размер пеней в контра</w:t>
      </w:r>
      <w:r w:rsidR="008F343A">
        <w:t>кте выше их величины по Закону №</w:t>
      </w:r>
      <w:r w:rsidRPr="00FC339E">
        <w:t xml:space="preserve"> 44-ФЗ. За каждый день просрочки пени должны составлять 1/300 действующей на дату уплаты пеней ключевой ставки ЦБ РФ от не уплаченной в срок суммы.</w:t>
      </w:r>
    </w:p>
    <w:p w:rsidR="00B26842" w:rsidRPr="00FC339E" w:rsidRDefault="00B26842" w:rsidP="00FC339E">
      <w:pPr>
        <w:ind w:firstLine="851"/>
        <w:jc w:val="both"/>
      </w:pPr>
      <w:r w:rsidRPr="00FC339E">
        <w:t>Апелляция и кассация решили, что условие о размере пеней</w:t>
      </w:r>
      <w:r w:rsidR="00511681">
        <w:t xml:space="preserve"> большем, чем указано в Законе №</w:t>
      </w:r>
      <w:r w:rsidRPr="00FC339E">
        <w:t xml:space="preserve"> 44-ФЗ, не противоречит законодательству и не является основанием для признания спорного условия недействительным.</w:t>
      </w:r>
    </w:p>
    <w:p w:rsidR="00B26842" w:rsidRPr="00FC339E" w:rsidRDefault="00B26842" w:rsidP="00FC339E">
      <w:pPr>
        <w:ind w:firstLine="851"/>
        <w:jc w:val="both"/>
      </w:pPr>
      <w:r w:rsidRPr="00FC339E">
        <w:t>В обоснование своей позиции они ссылались среди прочего на обзор судебной практики, который утвержден до изменен</w:t>
      </w:r>
      <w:r w:rsidR="00511681">
        <w:t>ия редакции ч. 7 ст. 34 Закона №</w:t>
      </w:r>
      <w:r w:rsidRPr="00FC339E">
        <w:t xml:space="preserve"> 44-ФЗ: до 12 мая 2019 года норма устанавливала только нижний предел ответственности подрядчика в виде пеней.</w:t>
      </w:r>
    </w:p>
    <w:p w:rsidR="00B26842" w:rsidRPr="00FC339E" w:rsidRDefault="00B26842" w:rsidP="00FC339E">
      <w:pPr>
        <w:ind w:firstLine="851"/>
        <w:jc w:val="both"/>
      </w:pPr>
      <w:r w:rsidRPr="00FC339E">
        <w:t xml:space="preserve">В обзоре судебная коллегия ВС РФ со ссылкой на норму ГК РФ о возможности увеличения размера неустойки решила, что пени в контракте можно </w:t>
      </w:r>
      <w:r w:rsidR="00511681">
        <w:t>определить выше, чем по Закону №</w:t>
      </w:r>
      <w:r w:rsidRPr="00FC339E">
        <w:t xml:space="preserve"> 44-ФЗ. Поскольку эта норма ГК РФ до сих пор не менялась, выводы из обзора применимы и сейчас.</w:t>
      </w:r>
    </w:p>
    <w:p w:rsidR="00B26842" w:rsidRPr="00FC339E" w:rsidRDefault="00B26842" w:rsidP="00FC339E">
      <w:pPr>
        <w:ind w:firstLine="851"/>
        <w:jc w:val="both"/>
      </w:pPr>
      <w:r w:rsidRPr="00FC339E">
        <w:t>Кроме того, по законодательству о контрактной системе не запрещено устанавливать размер ответственности больше, чем предусмотрено. Однако его может снизить суд при наличии оснований по ГК РФ.</w:t>
      </w:r>
    </w:p>
    <w:p w:rsidR="00B26842" w:rsidRPr="00FC339E" w:rsidRDefault="00B26842" w:rsidP="00FC339E">
      <w:pPr>
        <w:ind w:firstLine="851"/>
        <w:jc w:val="both"/>
      </w:pPr>
      <w:r w:rsidRPr="00FC339E">
        <w:t>ВС РФ не стал пересматривать дело.</w:t>
      </w:r>
    </w:p>
    <w:p w:rsidR="00B26842" w:rsidRPr="00FC339E" w:rsidRDefault="00B26842" w:rsidP="00FC339E">
      <w:pPr>
        <w:ind w:firstLine="851"/>
        <w:jc w:val="both"/>
      </w:pPr>
      <w:r w:rsidRPr="00FC339E">
        <w:t>Отметим, в практике есть и противоположное мнение.</w:t>
      </w:r>
    </w:p>
    <w:p w:rsidR="005B4103" w:rsidRDefault="00B26842" w:rsidP="00BD0F0A">
      <w:pPr>
        <w:ind w:firstLine="851"/>
        <w:jc w:val="center"/>
      </w:pPr>
      <w:r w:rsidRPr="00FC339E">
        <w:t>Документ: О</w:t>
      </w:r>
      <w:r w:rsidR="00511681">
        <w:t>пределение ВС РФ от 13.07.2021 №</w:t>
      </w:r>
      <w:r w:rsidRPr="00FC339E">
        <w:t xml:space="preserve"> 308-ЭС21-10726</w:t>
      </w:r>
      <w:r w:rsidR="00511681">
        <w:t>.</w:t>
      </w:r>
    </w:p>
    <w:p w:rsidR="005B4103" w:rsidRPr="00BD0F0A" w:rsidRDefault="005B4103" w:rsidP="00BD0F0A">
      <w:pPr>
        <w:ind w:firstLine="851"/>
        <w:jc w:val="center"/>
        <w:rPr>
          <w:u w:val="single"/>
        </w:rPr>
      </w:pPr>
      <w:r w:rsidRPr="00BD0F0A">
        <w:rPr>
          <w:u w:val="single"/>
        </w:rPr>
        <w:t xml:space="preserve">Письмо </w:t>
      </w:r>
      <w:proofErr w:type="spellStart"/>
      <w:r w:rsidRPr="00BD0F0A">
        <w:rPr>
          <w:u w:val="single"/>
        </w:rPr>
        <w:t>Росреестра</w:t>
      </w:r>
      <w:proofErr w:type="spellEnd"/>
      <w:r w:rsidRPr="00BD0F0A">
        <w:rPr>
          <w:u w:val="single"/>
        </w:rPr>
        <w:t xml:space="preserve"> от 24.06.2021 </w:t>
      </w:r>
      <w:r w:rsidR="005B63E4">
        <w:rPr>
          <w:u w:val="single"/>
        </w:rPr>
        <w:t>№</w:t>
      </w:r>
      <w:r w:rsidRPr="00BD0F0A">
        <w:rPr>
          <w:u w:val="single"/>
        </w:rPr>
        <w:t xml:space="preserve"> 14-4759-ГЕ/21</w:t>
      </w:r>
    </w:p>
    <w:p w:rsidR="005B4103" w:rsidRDefault="005B4103" w:rsidP="005B4103">
      <w:pPr>
        <w:ind w:firstLine="851"/>
        <w:jc w:val="both"/>
      </w:pPr>
      <w:r>
        <w:t>Разъяснены особенности государственной регистрации права собственности наследника</w:t>
      </w:r>
      <w:r w:rsidR="005B63E4">
        <w:t>.</w:t>
      </w:r>
    </w:p>
    <w:p w:rsidR="005B4103" w:rsidRDefault="005B4103" w:rsidP="005B4103">
      <w:pPr>
        <w:ind w:firstLine="851"/>
        <w:jc w:val="both"/>
      </w:pPr>
      <w:r>
        <w:t>В Письме рассматриваются следующие случаи:</w:t>
      </w:r>
    </w:p>
    <w:p w:rsidR="005B4103" w:rsidRDefault="005B4103" w:rsidP="005B4103">
      <w:pPr>
        <w:ind w:firstLine="851"/>
        <w:jc w:val="both"/>
      </w:pPr>
    </w:p>
    <w:p w:rsidR="005B4103" w:rsidRDefault="005B4103" w:rsidP="005B4103">
      <w:pPr>
        <w:ind w:firstLine="851"/>
        <w:jc w:val="both"/>
      </w:pPr>
      <w:r>
        <w:lastRenderedPageBreak/>
        <w:t xml:space="preserve">если в ЕГРН зарегистрировано право собственности только пережившего супруга (наследника) при отсутствии у наследодателя иных (помимо пережившего супруга) наследников внесение новых записей в ЕГРН, осуществление </w:t>
      </w:r>
      <w:r w:rsidR="00A74342">
        <w:t>«перерегистрации»</w:t>
      </w:r>
      <w:r>
        <w:t xml:space="preserve"> права собственности супруга, запись о зарегистрированном праве собственности которого уже содержится в ЕГРН, на </w:t>
      </w:r>
      <w:proofErr w:type="gramStart"/>
      <w:r>
        <w:t>основании</w:t>
      </w:r>
      <w:proofErr w:type="gramEnd"/>
      <w:r>
        <w:t xml:space="preserve"> в том числе свидетельства о праве на наследство не требуется;</w:t>
      </w:r>
    </w:p>
    <w:p w:rsidR="005B4103" w:rsidRDefault="005B4103" w:rsidP="005B4103">
      <w:pPr>
        <w:ind w:firstLine="851"/>
        <w:jc w:val="both"/>
      </w:pPr>
      <w:proofErr w:type="gramStart"/>
      <w:r>
        <w:t xml:space="preserve">если у умершего супруга имеются и другие наследники, то у пережившего супруга (титульного собственника) помимо принадлежащей ему 1/2 доли в праве на это недвижимое имущество (как его супружеской доли имущества, нажитого в браке), </w:t>
      </w:r>
      <w:r w:rsidR="00A74342">
        <w:t>«</w:t>
      </w:r>
      <w:r>
        <w:t>остается</w:t>
      </w:r>
      <w:r w:rsidR="00A74342">
        <w:t>»</w:t>
      </w:r>
      <w:r>
        <w:t xml:space="preserve"> доля, перешедшая к нему по наследству (в этом случае потребуется внесение новой записи в ЕГРН - осуществление государственной регистрации права общей долевой собственности пережившего супруга на</w:t>
      </w:r>
      <w:proofErr w:type="gramEnd"/>
      <w:r>
        <w:t xml:space="preserve"> </w:t>
      </w:r>
      <w:proofErr w:type="gramStart"/>
      <w:r>
        <w:t>основании</w:t>
      </w:r>
      <w:proofErr w:type="gramEnd"/>
      <w:r>
        <w:t xml:space="preserve"> свидетельства о праве на наследство и документа, на основании которого ранее было зарегистрировано право собственности);</w:t>
      </w:r>
    </w:p>
    <w:p w:rsidR="00A74342" w:rsidRDefault="005B4103" w:rsidP="00A74342">
      <w:pPr>
        <w:ind w:firstLine="851"/>
        <w:jc w:val="both"/>
      </w:pPr>
      <w:r>
        <w:t>если в ЕГРН зарегистрировано право общей совместной собственности обоих супругов, ранее произведенная запись о государственной регистрации права общей совместной собственности должна быть погашена и внесена новая запись об осуществлении государственной регистрации права собственности (права общей долевой собственности, если имеются и иные наследники, принявшие наследство) пережившего супруга на основании свидетельства о праве на наследство и документа, на основании которого ранее было зарегистрировано право общей совместной собственности.</w:t>
      </w:r>
      <w:bookmarkStart w:id="0" w:name="_GoBack"/>
      <w:bookmarkEnd w:id="0"/>
    </w:p>
    <w:p w:rsidR="001028A6" w:rsidRPr="00FC339E" w:rsidRDefault="001028A6" w:rsidP="00511681">
      <w:pPr>
        <w:ind w:firstLine="851"/>
        <w:jc w:val="center"/>
      </w:pPr>
      <w:r w:rsidRPr="00511681">
        <w:rPr>
          <w:u w:val="single"/>
        </w:rPr>
        <w:t>Расходы семей на оплату услуг ЖКХ могут снизить</w:t>
      </w:r>
    </w:p>
    <w:p w:rsidR="001028A6" w:rsidRPr="00FC339E" w:rsidRDefault="001028A6" w:rsidP="00FC339E">
      <w:pPr>
        <w:ind w:firstLine="851"/>
        <w:jc w:val="both"/>
      </w:pPr>
      <w:r w:rsidRPr="00FC339E">
        <w:t xml:space="preserve">Законопроектом </w:t>
      </w:r>
      <w:r w:rsidR="00511681">
        <w:t>№</w:t>
      </w:r>
      <w:r w:rsidRPr="00FC339E">
        <w:t xml:space="preserve"> 1219897-7 предполагается установление федерального стандарта максимально допустимой доли собственных расходов граждан на оплату жилого помещения и коммунальных услуг в совокупном доходе семьи в размере 15 процентов.</w:t>
      </w:r>
    </w:p>
    <w:p w:rsidR="001028A6" w:rsidRPr="00FC339E" w:rsidRDefault="001028A6" w:rsidP="00FC339E">
      <w:pPr>
        <w:ind w:firstLine="851"/>
        <w:jc w:val="both"/>
      </w:pPr>
      <w:r w:rsidRPr="00FC339E">
        <w:t>Ожидается, что принятие законопроекта позволит устанавливать в субъектах РФ региональный стандарт максимально допустимой доли расходов на оплату жилищно-коммунальных услуг не выше 15 процентов, то есть поддержит малообеспеченных граждан в условиях пандемии, обеспечит адресность оказываемой гражданам социальной поддержки, снизит количество неплательщиков жилищно-коммунальных услуг.</w:t>
      </w:r>
    </w:p>
    <w:p w:rsidR="0010382E" w:rsidRPr="00FC339E" w:rsidRDefault="0010382E" w:rsidP="00FC339E">
      <w:pPr>
        <w:ind w:firstLine="851"/>
        <w:jc w:val="both"/>
      </w:pPr>
    </w:p>
    <w:p w:rsidR="00525DA4" w:rsidRPr="00FC339E" w:rsidRDefault="00525DA4" w:rsidP="00FC339E">
      <w:pPr>
        <w:ind w:firstLine="851"/>
        <w:jc w:val="both"/>
      </w:pPr>
    </w:p>
    <w:p w:rsidR="00F85951" w:rsidRPr="00FC339E" w:rsidRDefault="00F85951" w:rsidP="00FC339E">
      <w:pPr>
        <w:ind w:firstLine="851"/>
        <w:jc w:val="both"/>
      </w:pPr>
    </w:p>
    <w:p w:rsidR="00F85951" w:rsidRPr="00FC339E" w:rsidRDefault="00F85951" w:rsidP="00FC339E">
      <w:pPr>
        <w:ind w:firstLine="851"/>
        <w:jc w:val="both"/>
      </w:pPr>
    </w:p>
    <w:p w:rsidR="0094481D" w:rsidRPr="00FC339E" w:rsidRDefault="0094481D" w:rsidP="00FC339E">
      <w:pPr>
        <w:ind w:firstLine="851"/>
        <w:jc w:val="both"/>
      </w:pPr>
    </w:p>
    <w:p w:rsidR="00F85951" w:rsidRPr="00FC339E" w:rsidRDefault="00F85951" w:rsidP="00FC339E">
      <w:pPr>
        <w:ind w:firstLine="851"/>
        <w:jc w:val="both"/>
      </w:pPr>
    </w:p>
    <w:sectPr w:rsidR="00F85951" w:rsidRPr="00FC33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52B" w:rsidRDefault="00DC752B" w:rsidP="00051F00">
      <w:r>
        <w:separator/>
      </w:r>
    </w:p>
  </w:endnote>
  <w:endnote w:type="continuationSeparator" w:id="0">
    <w:p w:rsidR="00DC752B" w:rsidRDefault="00DC752B" w:rsidP="00051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F00" w:rsidRDefault="00051F00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4312277"/>
      <w:docPartObj>
        <w:docPartGallery w:val="Page Numbers (Bottom of Page)"/>
        <w:docPartUnique/>
      </w:docPartObj>
    </w:sdtPr>
    <w:sdtEndPr/>
    <w:sdtContent>
      <w:p w:rsidR="00051F00" w:rsidRDefault="00051F00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342">
          <w:rPr>
            <w:noProof/>
          </w:rPr>
          <w:t>5</w:t>
        </w:r>
        <w:r>
          <w:fldChar w:fldCharType="end"/>
        </w:r>
      </w:p>
    </w:sdtContent>
  </w:sdt>
  <w:p w:rsidR="00051F00" w:rsidRDefault="00051F00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F00" w:rsidRDefault="00051F00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52B" w:rsidRDefault="00DC752B" w:rsidP="00051F00">
      <w:r>
        <w:separator/>
      </w:r>
    </w:p>
  </w:footnote>
  <w:footnote w:type="continuationSeparator" w:id="0">
    <w:p w:rsidR="00DC752B" w:rsidRDefault="00DC752B" w:rsidP="00051F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F00" w:rsidRDefault="00051F00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F00" w:rsidRDefault="00051F00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1F00" w:rsidRDefault="00051F00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94"/>
    <w:rsid w:val="00017015"/>
    <w:rsid w:val="00051F00"/>
    <w:rsid w:val="00070A21"/>
    <w:rsid w:val="000957F4"/>
    <w:rsid w:val="001028A6"/>
    <w:rsid w:val="0010382E"/>
    <w:rsid w:val="00206CA6"/>
    <w:rsid w:val="003669F6"/>
    <w:rsid w:val="003B096E"/>
    <w:rsid w:val="00412958"/>
    <w:rsid w:val="00414F4F"/>
    <w:rsid w:val="00426DD6"/>
    <w:rsid w:val="00474C79"/>
    <w:rsid w:val="004B49A5"/>
    <w:rsid w:val="00511681"/>
    <w:rsid w:val="00525DA4"/>
    <w:rsid w:val="005B4103"/>
    <w:rsid w:val="005B4FFC"/>
    <w:rsid w:val="005B63E4"/>
    <w:rsid w:val="005E6A5B"/>
    <w:rsid w:val="006B0574"/>
    <w:rsid w:val="006D6A4F"/>
    <w:rsid w:val="00750505"/>
    <w:rsid w:val="00773BBA"/>
    <w:rsid w:val="007B193E"/>
    <w:rsid w:val="00822ACF"/>
    <w:rsid w:val="008F343A"/>
    <w:rsid w:val="0094481D"/>
    <w:rsid w:val="009D2A82"/>
    <w:rsid w:val="009E0A30"/>
    <w:rsid w:val="00A377C8"/>
    <w:rsid w:val="00A513D2"/>
    <w:rsid w:val="00A74342"/>
    <w:rsid w:val="00A91594"/>
    <w:rsid w:val="00AC01DC"/>
    <w:rsid w:val="00B26842"/>
    <w:rsid w:val="00BC10F9"/>
    <w:rsid w:val="00BC2488"/>
    <w:rsid w:val="00BD0F0A"/>
    <w:rsid w:val="00BD1AA7"/>
    <w:rsid w:val="00C012D1"/>
    <w:rsid w:val="00C141C7"/>
    <w:rsid w:val="00C37966"/>
    <w:rsid w:val="00CE452C"/>
    <w:rsid w:val="00D0529D"/>
    <w:rsid w:val="00DC5FD0"/>
    <w:rsid w:val="00DC752B"/>
    <w:rsid w:val="00E22BC5"/>
    <w:rsid w:val="00E76071"/>
    <w:rsid w:val="00F10AE5"/>
    <w:rsid w:val="00F85951"/>
    <w:rsid w:val="00F97F56"/>
    <w:rsid w:val="00FA44FB"/>
    <w:rsid w:val="00FB2114"/>
    <w:rsid w:val="00FC339E"/>
    <w:rsid w:val="00FD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5">
    <w:name w:val="header"/>
    <w:basedOn w:val="a"/>
    <w:link w:val="af6"/>
    <w:uiPriority w:val="99"/>
    <w:unhideWhenUsed/>
    <w:rsid w:val="00051F0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51F00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051F0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51F00"/>
    <w:rPr>
      <w:sz w:val="24"/>
      <w:szCs w:val="24"/>
    </w:rPr>
  </w:style>
  <w:style w:type="character" w:styleId="af9">
    <w:name w:val="Hyperlink"/>
    <w:basedOn w:val="a0"/>
    <w:uiPriority w:val="99"/>
    <w:unhideWhenUsed/>
    <w:rsid w:val="00FA44F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5">
    <w:name w:val="header"/>
    <w:basedOn w:val="a"/>
    <w:link w:val="af6"/>
    <w:uiPriority w:val="99"/>
    <w:unhideWhenUsed/>
    <w:rsid w:val="00051F00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51F00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051F00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51F00"/>
    <w:rPr>
      <w:sz w:val="24"/>
      <w:szCs w:val="24"/>
    </w:rPr>
  </w:style>
  <w:style w:type="character" w:styleId="af9">
    <w:name w:val="Hyperlink"/>
    <w:basedOn w:val="a0"/>
    <w:uiPriority w:val="99"/>
    <w:unhideWhenUsed/>
    <w:rsid w:val="00FA44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3A112-FB1B-4B62-AFD0-28AF71CAC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2329</Words>
  <Characters>13280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79</cp:revision>
  <dcterms:created xsi:type="dcterms:W3CDTF">2021-07-30T04:51:00Z</dcterms:created>
  <dcterms:modified xsi:type="dcterms:W3CDTF">2021-08-02T05:18:00Z</dcterms:modified>
</cp:coreProperties>
</file>