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B35F1C" w:rsidP="00B35F1C">
      <w:pPr>
        <w:jc w:val="center"/>
      </w:pPr>
      <w:r>
        <w:t>Обзор изменений законодательства</w:t>
      </w:r>
    </w:p>
    <w:p w:rsidR="009742CF" w:rsidRDefault="009742CF" w:rsidP="00B35F1C">
      <w:pPr>
        <w:jc w:val="center"/>
      </w:pPr>
    </w:p>
    <w:p w:rsidR="007409E2" w:rsidRPr="009F64D4" w:rsidRDefault="001358C3" w:rsidP="009F64D4">
      <w:pPr>
        <w:ind w:firstLine="851"/>
        <w:jc w:val="both"/>
        <w:rPr>
          <w:u w:val="single"/>
        </w:rPr>
      </w:pPr>
      <w:r w:rsidRPr="009F64D4">
        <w:rPr>
          <w:u w:val="single"/>
        </w:rPr>
        <w:t>Определены правила доступа органов прокуратуры к размещенной в ЕИС жилищного строительства информации, необходимой для осуществления прокурорского надзора</w:t>
      </w:r>
    </w:p>
    <w:p w:rsidR="007409E2" w:rsidRPr="009F64D4" w:rsidRDefault="001358C3" w:rsidP="00A32681">
      <w:pPr>
        <w:ind w:firstLine="851"/>
        <w:jc w:val="both"/>
      </w:pPr>
      <w:r w:rsidRPr="009F64D4">
        <w:t xml:space="preserve">Постановлением </w:t>
      </w:r>
      <w:r w:rsidR="002707C2" w:rsidRPr="009F64D4">
        <w:t>Правительства РФ от 17.07.2021 №</w:t>
      </w:r>
      <w:r w:rsidRPr="009F64D4">
        <w:t xml:space="preserve"> 1220 утверждены Правила доступа органов прокуратуры к размещенной в единой информационной системе жилищного строительства информации, необходимой им для осущ</w:t>
      </w:r>
      <w:r w:rsidR="007409E2" w:rsidRPr="009F64D4">
        <w:t xml:space="preserve">ествления прокурорского надзора. </w:t>
      </w:r>
      <w:r w:rsidRPr="009F64D4">
        <w:t>Согласно Правилам единый институт развития в жилищной сфере, являющийся оператором ЕИС жилищного строительства, должен предоставлять органам прокуратуры доступ к информации, необходимой для осуществления прокурорского надзора.</w:t>
      </w:r>
      <w:r w:rsidR="00E709D5">
        <w:t xml:space="preserve"> </w:t>
      </w:r>
      <w:bookmarkStart w:id="0" w:name="_GoBack"/>
      <w:bookmarkEnd w:id="0"/>
      <w:r w:rsidRPr="009F64D4">
        <w:t>Доступ органов прокуратуры:</w:t>
      </w:r>
    </w:p>
    <w:p w:rsidR="007409E2" w:rsidRPr="009F64D4" w:rsidRDefault="001358C3" w:rsidP="00A32681">
      <w:pPr>
        <w:ind w:firstLine="851"/>
        <w:jc w:val="both"/>
      </w:pPr>
      <w:r w:rsidRPr="009F64D4">
        <w:t>- к информации, размещенной в открытой части ЕИС, осуществляется органами прокуратуры самостоятельно с использованием сайта информационной системы;</w:t>
      </w:r>
    </w:p>
    <w:p w:rsidR="007409E2" w:rsidRPr="009F64D4" w:rsidRDefault="001358C3" w:rsidP="00A32681">
      <w:pPr>
        <w:ind w:firstLine="851"/>
        <w:jc w:val="both"/>
      </w:pPr>
      <w:r w:rsidRPr="009F64D4">
        <w:t>- к информации, размещенной в закрытой части ЕИС, - путем использования личного кабинета органа прокуратуры, ведение которого осуществляется оператором ЕИС.</w:t>
      </w:r>
    </w:p>
    <w:p w:rsidR="00B35F1C" w:rsidRPr="009F64D4" w:rsidRDefault="001358C3" w:rsidP="00A32681">
      <w:pPr>
        <w:ind w:firstLine="851"/>
        <w:jc w:val="both"/>
      </w:pPr>
      <w:r w:rsidRPr="009F64D4">
        <w:t>Дата вступления в силу - 28.07.2021</w:t>
      </w:r>
      <w:r w:rsidR="009742CF">
        <w:t>.</w:t>
      </w:r>
    </w:p>
    <w:p w:rsidR="00FB4414" w:rsidRPr="009F64D4" w:rsidRDefault="0042186C" w:rsidP="009F64D4">
      <w:pPr>
        <w:ind w:firstLine="851"/>
        <w:jc w:val="both"/>
        <w:rPr>
          <w:u w:val="single"/>
        </w:rPr>
      </w:pPr>
      <w:r w:rsidRPr="009F64D4">
        <w:rPr>
          <w:u w:val="single"/>
        </w:rPr>
        <w:t>Начат эксперимент по использованию усиленной электронной подписи при оказании услуг с использованием ФГИС ЕСИА</w:t>
      </w:r>
    </w:p>
    <w:p w:rsidR="00FB4414" w:rsidRPr="009F64D4" w:rsidRDefault="0042186C" w:rsidP="009F64D4">
      <w:pPr>
        <w:ind w:firstLine="851"/>
        <w:jc w:val="both"/>
      </w:pPr>
      <w:r w:rsidRPr="009F64D4">
        <w:t xml:space="preserve">Постановлением </w:t>
      </w:r>
      <w:r w:rsidR="00FB4414" w:rsidRPr="009F64D4">
        <w:t>Правительства РФ от 15.07.2021 №</w:t>
      </w:r>
      <w:r w:rsidRPr="009F64D4">
        <w:t xml:space="preserve"> 1207 установлено, что с 20 июля 2021 года начался новый эксперимент на Едином портале государственных услуг, касающийся использования новой, усиленной электронной подписи и новых возможностей заключения некоторых сделок. Установлено, что эксперимент проводится в 2 этапа:</w:t>
      </w:r>
    </w:p>
    <w:p w:rsidR="0042186C" w:rsidRPr="009F64D4" w:rsidRDefault="0042186C" w:rsidP="009F64D4">
      <w:pPr>
        <w:ind w:firstLine="851"/>
        <w:jc w:val="both"/>
      </w:pPr>
      <w:r w:rsidRPr="009F64D4">
        <w:t xml:space="preserve">первый этап - с 20 июля 2021 г. по 31 марта 2022 г.;  </w:t>
      </w:r>
    </w:p>
    <w:p w:rsidR="0042186C" w:rsidRPr="009F64D4" w:rsidRDefault="0042186C" w:rsidP="009F64D4">
      <w:pPr>
        <w:ind w:firstLine="851"/>
        <w:jc w:val="both"/>
      </w:pPr>
      <w:r w:rsidRPr="009F64D4">
        <w:t>второй этап - с 1 апреля 2022 г. по 31 июля 2022 г.</w:t>
      </w:r>
    </w:p>
    <w:p w:rsidR="00FB4414" w:rsidRPr="009F64D4" w:rsidRDefault="0042186C" w:rsidP="009F64D4">
      <w:pPr>
        <w:ind w:firstLine="851"/>
        <w:jc w:val="both"/>
      </w:pPr>
      <w:r w:rsidRPr="009F64D4">
        <w:t xml:space="preserve">Руководит проектом Министерство цифровой информации. Созданием единой цифровой базы, выдачей сертификатов усиленных подписей, ключей проверки и другими информационными действиями на платформе занимаются Ростелеком и </w:t>
      </w:r>
      <w:proofErr w:type="spellStart"/>
      <w:r w:rsidRPr="009F64D4">
        <w:t>ПАОБанк</w:t>
      </w:r>
      <w:proofErr w:type="spellEnd"/>
      <w:r w:rsidRPr="009F64D4">
        <w:t xml:space="preserve"> ВТБ.</w:t>
      </w:r>
    </w:p>
    <w:p w:rsidR="00FB4414" w:rsidRPr="009F64D4" w:rsidRDefault="0042186C" w:rsidP="009F64D4">
      <w:pPr>
        <w:ind w:firstLine="851"/>
        <w:jc w:val="both"/>
      </w:pPr>
      <w:r w:rsidRPr="009F64D4">
        <w:t xml:space="preserve">Помимо </w:t>
      </w:r>
      <w:proofErr w:type="gramStart"/>
      <w:r w:rsidRPr="009F64D4">
        <w:t>указанных</w:t>
      </w:r>
      <w:proofErr w:type="gramEnd"/>
      <w:r w:rsidRPr="009F64D4">
        <w:t>, также участниками эксперимента являются:</w:t>
      </w:r>
    </w:p>
    <w:p w:rsidR="00FB4414" w:rsidRPr="009F64D4" w:rsidRDefault="0042186C" w:rsidP="009F64D4">
      <w:pPr>
        <w:ind w:firstLine="851"/>
        <w:jc w:val="both"/>
      </w:pPr>
      <w:r w:rsidRPr="009F64D4">
        <w:t>- исполнительные органы государственной власти субъектов Российской Федерации;</w:t>
      </w:r>
    </w:p>
    <w:p w:rsidR="00FB4414" w:rsidRPr="009F64D4" w:rsidRDefault="0042186C" w:rsidP="009F64D4">
      <w:pPr>
        <w:ind w:firstLine="851"/>
        <w:jc w:val="both"/>
      </w:pPr>
      <w:r w:rsidRPr="009F64D4">
        <w:t>- государственные учреждения, иные юридические лица, индивидуальные предприниматели, участвующие в предоставлении услуг в рамках тестирования использования усиленной электронной подписи - на добровольной основе по согласованию с Министерством цифрового развития, связи и массовых коммуникаций Российской Федерации;</w:t>
      </w:r>
    </w:p>
    <w:p w:rsidR="00FB4414" w:rsidRPr="009F64D4" w:rsidRDefault="00FB4414" w:rsidP="009F64D4">
      <w:pPr>
        <w:ind w:firstLine="851"/>
        <w:jc w:val="both"/>
      </w:pPr>
      <w:proofErr w:type="gramStart"/>
      <w:r w:rsidRPr="009F64D4">
        <w:t>-</w:t>
      </w:r>
      <w:r w:rsidR="0042186C" w:rsidRPr="009F64D4">
        <w:t xml:space="preserve"> физические лица, участвующие в предоставлении им услуг в рамках тестирования использования усиленной электронной подписи - на добровольной основе и при наличии у физического лица ключа простой электронной подписи, выданного ему при личном приеме в соответствии с Правилами использования простой электронной подписи при оказании государственных и муниципальных услуг, утвержденными постановлением Правительства Российской </w:t>
      </w:r>
      <w:r w:rsidRPr="009F64D4">
        <w:t>Федерации от 25 января 2013 г. №</w:t>
      </w:r>
      <w:r w:rsidR="0042186C" w:rsidRPr="009F64D4">
        <w:t xml:space="preserve"> 33 </w:t>
      </w:r>
      <w:r w:rsidRPr="009F64D4">
        <w:t>«</w:t>
      </w:r>
      <w:r w:rsidR="0042186C" w:rsidRPr="009F64D4">
        <w:t>Об использовании простой</w:t>
      </w:r>
      <w:proofErr w:type="gramEnd"/>
      <w:r w:rsidR="0042186C" w:rsidRPr="009F64D4">
        <w:t xml:space="preserve"> электронной подписи при оказании госуда</w:t>
      </w:r>
      <w:r w:rsidRPr="009F64D4">
        <w:t>рственных и муниципальных услуг»</w:t>
      </w:r>
      <w:r w:rsidR="0042186C" w:rsidRPr="009F64D4">
        <w:t>;</w:t>
      </w:r>
    </w:p>
    <w:p w:rsidR="0042186C" w:rsidRPr="009F64D4" w:rsidRDefault="0042186C" w:rsidP="009F64D4">
      <w:pPr>
        <w:ind w:firstLine="851"/>
        <w:jc w:val="both"/>
      </w:pPr>
      <w:r w:rsidRPr="009F64D4">
        <w:t>- аккредитованный удостоверяющий центр, владеющий автоматизированной системой, - на добровольной основе.</w:t>
      </w:r>
    </w:p>
    <w:p w:rsidR="00DD140E" w:rsidRPr="009F64D4" w:rsidRDefault="0042186C" w:rsidP="009F64D4">
      <w:pPr>
        <w:ind w:firstLine="851"/>
        <w:jc w:val="both"/>
      </w:pPr>
      <w:r w:rsidRPr="009F64D4">
        <w:t>Дата вступления в силу - 16.07.2021</w:t>
      </w:r>
      <w:r w:rsidR="009742CF">
        <w:t>.</w:t>
      </w:r>
    </w:p>
    <w:p w:rsidR="00FB4414" w:rsidRPr="009F64D4" w:rsidRDefault="004F7A09" w:rsidP="009F64D4">
      <w:pPr>
        <w:ind w:firstLine="851"/>
        <w:jc w:val="both"/>
        <w:rPr>
          <w:u w:val="single"/>
        </w:rPr>
      </w:pPr>
      <w:r w:rsidRPr="009F64D4">
        <w:rPr>
          <w:u w:val="single"/>
        </w:rPr>
        <w:t xml:space="preserve">Утверждены </w:t>
      </w:r>
      <w:proofErr w:type="gramStart"/>
      <w:r w:rsidRPr="009F64D4">
        <w:rPr>
          <w:u w:val="single"/>
        </w:rPr>
        <w:t>правила</w:t>
      </w:r>
      <w:proofErr w:type="gramEnd"/>
      <w:r w:rsidRPr="009F64D4">
        <w:rPr>
          <w:u w:val="single"/>
        </w:rPr>
        <w:t xml:space="preserve"> и сроки рассмотрения обращений пользователей социальной сети об отмене мер по </w:t>
      </w:r>
      <w:r w:rsidR="00FB4414" w:rsidRPr="009F64D4">
        <w:rPr>
          <w:u w:val="single"/>
        </w:rPr>
        <w:t>ограничению доступа к информации</w:t>
      </w:r>
    </w:p>
    <w:p w:rsidR="00FB4414" w:rsidRPr="009F64D4" w:rsidRDefault="004F7A09" w:rsidP="009F64D4">
      <w:pPr>
        <w:ind w:firstLine="851"/>
        <w:jc w:val="both"/>
      </w:pPr>
      <w:r w:rsidRPr="009F64D4">
        <w:t xml:space="preserve">Постановлением Правительства РФ от 15.07.2021 </w:t>
      </w:r>
      <w:r w:rsidR="00FB4414" w:rsidRPr="009F64D4">
        <w:t>№</w:t>
      </w:r>
      <w:r w:rsidRPr="009F64D4">
        <w:t xml:space="preserve"> 1191 определен Порядок рассмотрения </w:t>
      </w:r>
      <w:proofErr w:type="spellStart"/>
      <w:r w:rsidRPr="009F64D4">
        <w:t>Роскомнадзором</w:t>
      </w:r>
      <w:proofErr w:type="spellEnd"/>
      <w:r w:rsidRPr="009F64D4">
        <w:t xml:space="preserve"> обращений пользователей социальной сети об отмене мер </w:t>
      </w:r>
      <w:r w:rsidRPr="009F64D4">
        <w:lastRenderedPageBreak/>
        <w:t>по ограничению доступа к информации, выявленной в процессе осуществления мониторинга социальной сети или по результатам рассмотрения обращения о распространяемой с нарушением закона информации, а также сроки рассмотрения обращения об отмене мер.</w:t>
      </w:r>
    </w:p>
    <w:p w:rsidR="00FB4414" w:rsidRPr="009F64D4" w:rsidRDefault="004F7A09" w:rsidP="009F64D4">
      <w:pPr>
        <w:ind w:firstLine="851"/>
        <w:jc w:val="both"/>
      </w:pPr>
      <w:r w:rsidRPr="009F64D4">
        <w:t xml:space="preserve">Установлено, что обращение об отмене мер подается в </w:t>
      </w:r>
      <w:proofErr w:type="spellStart"/>
      <w:r w:rsidRPr="009F64D4">
        <w:t>Роскомнадзор</w:t>
      </w:r>
      <w:proofErr w:type="spellEnd"/>
      <w:r w:rsidRPr="009F64D4">
        <w:t xml:space="preserve"> посредством заполнения электронной формы, размещенной на официальном сайте (</w:t>
      </w:r>
      <w:r w:rsidRPr="009F64D4">
        <w:rPr>
          <w:lang w:val="en-US"/>
        </w:rPr>
        <w:t>www</w:t>
      </w:r>
      <w:r w:rsidRPr="009F64D4">
        <w:t>.530-</w:t>
      </w:r>
      <w:proofErr w:type="spellStart"/>
      <w:r w:rsidRPr="009F64D4">
        <w:rPr>
          <w:lang w:val="en-US"/>
        </w:rPr>
        <w:t>fz</w:t>
      </w:r>
      <w:proofErr w:type="spellEnd"/>
      <w:r w:rsidRPr="009F64D4">
        <w:t>.</w:t>
      </w:r>
      <w:proofErr w:type="spellStart"/>
      <w:r w:rsidRPr="009F64D4">
        <w:rPr>
          <w:lang w:val="en-US"/>
        </w:rPr>
        <w:t>rkn</w:t>
      </w:r>
      <w:proofErr w:type="spellEnd"/>
      <w:r w:rsidRPr="009F64D4">
        <w:t>.</w:t>
      </w:r>
      <w:proofErr w:type="spellStart"/>
      <w:r w:rsidRPr="009F64D4">
        <w:rPr>
          <w:lang w:val="en-US"/>
        </w:rPr>
        <w:t>gov</w:t>
      </w:r>
      <w:proofErr w:type="spellEnd"/>
      <w:r w:rsidRPr="009F64D4">
        <w:t>.</w:t>
      </w:r>
      <w:proofErr w:type="spellStart"/>
      <w:r w:rsidRPr="009F64D4">
        <w:rPr>
          <w:lang w:val="en-US"/>
        </w:rPr>
        <w:t>ru</w:t>
      </w:r>
      <w:proofErr w:type="spellEnd"/>
      <w:r w:rsidRPr="009F64D4">
        <w:t xml:space="preserve">). В обращении указываются ФИО, адрес электронной почты, указатель страницы </w:t>
      </w:r>
      <w:proofErr w:type="spellStart"/>
      <w:r w:rsidRPr="009F64D4">
        <w:t>соцсети</w:t>
      </w:r>
      <w:proofErr w:type="spellEnd"/>
      <w:r w:rsidRPr="009F64D4">
        <w:t xml:space="preserve">, на которой размещена информация, доступ к которой ограничен владельцем </w:t>
      </w:r>
      <w:proofErr w:type="spellStart"/>
      <w:r w:rsidRPr="009F64D4">
        <w:t>соцсети</w:t>
      </w:r>
      <w:proofErr w:type="spellEnd"/>
      <w:r w:rsidRPr="009F64D4">
        <w:t xml:space="preserve">, а также информация (сведения), предусмотренная </w:t>
      </w:r>
      <w:r w:rsidR="00FB4414" w:rsidRPr="009F64D4">
        <w:t>(предусмотренные) п.5 ч.1 ст.10.</w:t>
      </w:r>
      <w:r w:rsidRPr="009F64D4">
        <w:t xml:space="preserve">6 Федерального закона </w:t>
      </w:r>
      <w:r w:rsidR="00FB4414" w:rsidRPr="009F64D4">
        <w:t>«</w:t>
      </w:r>
      <w:r w:rsidRPr="009F64D4">
        <w:t>Об информации, информационных те</w:t>
      </w:r>
      <w:r w:rsidR="00FB4414" w:rsidRPr="009F64D4">
        <w:t>хнологиях и о защите информации».</w:t>
      </w:r>
    </w:p>
    <w:p w:rsidR="00FB4414" w:rsidRPr="009F64D4" w:rsidRDefault="004F7A09" w:rsidP="009F64D4">
      <w:pPr>
        <w:ind w:firstLine="851"/>
        <w:jc w:val="both"/>
      </w:pPr>
      <w:proofErr w:type="spellStart"/>
      <w:r w:rsidRPr="009F64D4">
        <w:t>Роскомнадзор</w:t>
      </w:r>
      <w:proofErr w:type="spellEnd"/>
      <w:r w:rsidRPr="009F64D4">
        <w:t xml:space="preserve"> рассматривает обращение в срок, не превышающий 30 рабочих дней со дня получения, и принимает решение о вынесении требования об отмене мер по ограничению доступа к информации пользователя социальной сети либо об отсутствии оснований для отмены мер по ограничению доступа к информации пользователя социальной сети.</w:t>
      </w:r>
    </w:p>
    <w:p w:rsidR="00FB4414" w:rsidRPr="009F64D4" w:rsidRDefault="004F7A09" w:rsidP="009F64D4">
      <w:pPr>
        <w:ind w:firstLine="851"/>
        <w:jc w:val="both"/>
      </w:pPr>
      <w:r w:rsidRPr="009F64D4">
        <w:t xml:space="preserve">Кроме того, постановлением утверждены Правила вынесения требования владельцу социальной сети об отмене мер по ограничению доступа к информации пользователя. </w:t>
      </w:r>
    </w:p>
    <w:p w:rsidR="004F7A09" w:rsidRPr="009F64D4" w:rsidRDefault="004F7A09" w:rsidP="009F64D4">
      <w:pPr>
        <w:ind w:firstLine="851"/>
        <w:jc w:val="both"/>
      </w:pPr>
      <w:r w:rsidRPr="009F64D4">
        <w:t>Дата вступления в силу - 24.07.2021</w:t>
      </w:r>
      <w:r w:rsidR="00FB4414" w:rsidRPr="009F64D4">
        <w:t>.</w:t>
      </w:r>
    </w:p>
    <w:p w:rsidR="00306A24" w:rsidRPr="009F64D4" w:rsidRDefault="00F564F3" w:rsidP="009F64D4">
      <w:pPr>
        <w:ind w:firstLine="851"/>
        <w:jc w:val="both"/>
        <w:rPr>
          <w:u w:val="single"/>
        </w:rPr>
      </w:pPr>
      <w:r w:rsidRPr="009F64D4">
        <w:rPr>
          <w:u w:val="single"/>
        </w:rPr>
        <w:t xml:space="preserve">Правительство утвердило правила субсидирования </w:t>
      </w:r>
      <w:proofErr w:type="gramStart"/>
      <w:r w:rsidRPr="009F64D4">
        <w:rPr>
          <w:u w:val="single"/>
        </w:rPr>
        <w:t>семейных</w:t>
      </w:r>
      <w:proofErr w:type="gramEnd"/>
      <w:r w:rsidRPr="009F64D4">
        <w:rPr>
          <w:u w:val="single"/>
        </w:rPr>
        <w:t xml:space="preserve"> авиаперелетов по России</w:t>
      </w:r>
    </w:p>
    <w:p w:rsidR="00CC3EDE" w:rsidRPr="009F64D4" w:rsidRDefault="00F564F3" w:rsidP="009F64D4">
      <w:pPr>
        <w:ind w:firstLine="851"/>
        <w:jc w:val="both"/>
      </w:pPr>
      <w:r w:rsidRPr="009F64D4">
        <w:t xml:space="preserve">Семьи с детьми смогут приобрести авиабилеты по специальным сниженным тарифам. Правила субсидирования этой льготы утвердил Председатель Правительства Михаил </w:t>
      </w:r>
      <w:proofErr w:type="spellStart"/>
      <w:r w:rsidRPr="009F64D4">
        <w:t>Мишустин</w:t>
      </w:r>
      <w:proofErr w:type="spellEnd"/>
      <w:r w:rsidRPr="009F64D4">
        <w:t>.</w:t>
      </w:r>
      <w:r w:rsidR="00CC3EDE" w:rsidRPr="009F64D4">
        <w:t xml:space="preserve"> </w:t>
      </w:r>
      <w:r w:rsidRPr="009F64D4">
        <w:t xml:space="preserve">Субсидировать перелеты планируется по 46 маршрутам. В перечень </w:t>
      </w:r>
      <w:proofErr w:type="gramStart"/>
      <w:r w:rsidRPr="009F64D4">
        <w:t>попали</w:t>
      </w:r>
      <w:proofErr w:type="gramEnd"/>
      <w:r w:rsidRPr="009F64D4">
        <w:t xml:space="preserve"> в том числе города, популярные у туристов: Казань, Калининград, Нижний Новгород, Владивосток, Ярославль, Петрозаводск. Стоимость билета со скидкой будет варьироваться в диапазоне от 4,6 до 10,9 тысяч рублей в зависимости от направления.</w:t>
      </w:r>
    </w:p>
    <w:p w:rsidR="00CC3EDE" w:rsidRPr="009F64D4" w:rsidRDefault="00F564F3" w:rsidP="009F64D4">
      <w:pPr>
        <w:ind w:firstLine="851"/>
        <w:jc w:val="both"/>
      </w:pPr>
      <w:r w:rsidRPr="009F64D4">
        <w:t>Скидки будут доступны в рамках так называемой семейной поездки. Она предусматривает приобретение билетов с единым бронированием на ребенка и взрослого, который его сопровождает.</w:t>
      </w:r>
    </w:p>
    <w:p w:rsidR="00CC3EDE" w:rsidRPr="009F64D4" w:rsidRDefault="00F564F3" w:rsidP="009F64D4">
      <w:pPr>
        <w:ind w:firstLine="851"/>
        <w:jc w:val="both"/>
      </w:pPr>
      <w:r w:rsidRPr="009F64D4">
        <w:t xml:space="preserve">Ожидается, что льготными билетами за год смогут воспользоваться не менее 50 тысяч пассажиров. Всего на эту меру поддержки в 2021 году предусмотрено 1,35 </w:t>
      </w:r>
      <w:proofErr w:type="gramStart"/>
      <w:r w:rsidRPr="009F64D4">
        <w:t>млрд</w:t>
      </w:r>
      <w:proofErr w:type="gramEnd"/>
      <w:r w:rsidRPr="009F64D4">
        <w:t xml:space="preserve"> рублей.</w:t>
      </w:r>
    </w:p>
    <w:p w:rsidR="00CC3EDE" w:rsidRPr="009F64D4" w:rsidRDefault="00F564F3" w:rsidP="009F64D4">
      <w:pPr>
        <w:ind w:firstLine="851"/>
        <w:jc w:val="both"/>
      </w:pPr>
      <w:r w:rsidRPr="009F64D4">
        <w:t xml:space="preserve">Принятое решение Михаил </w:t>
      </w:r>
      <w:proofErr w:type="spellStart"/>
      <w:r w:rsidRPr="009F64D4">
        <w:t>Мишустин</w:t>
      </w:r>
      <w:proofErr w:type="spellEnd"/>
      <w:r w:rsidRPr="009F64D4">
        <w:t xml:space="preserve"> анонсировал в понедельник, 19 июля, на совещании с вице-премьерами. </w:t>
      </w:r>
      <w:proofErr w:type="gramStart"/>
      <w:r w:rsidRPr="009F64D4">
        <w:t>Субсидирование сделает семейные авиаперелеты доступнее, станет дополнительным стимулом для развития внутреннего туризма.</w:t>
      </w:r>
      <w:proofErr w:type="gramEnd"/>
    </w:p>
    <w:p w:rsidR="00DA1FB7" w:rsidRPr="009F64D4" w:rsidRDefault="00F564F3" w:rsidP="009F64D4">
      <w:pPr>
        <w:ind w:firstLine="851"/>
        <w:jc w:val="both"/>
      </w:pPr>
      <w:r w:rsidRPr="009F64D4">
        <w:t>Дата вступления в силу - 27.07.2021</w:t>
      </w:r>
      <w:r w:rsidR="00CC3EDE" w:rsidRPr="009F64D4">
        <w:t>.</w:t>
      </w:r>
    </w:p>
    <w:p w:rsidR="00880699" w:rsidRPr="009F64D4" w:rsidRDefault="00DA1FB7" w:rsidP="009F64D4">
      <w:pPr>
        <w:ind w:firstLine="851"/>
        <w:jc w:val="both"/>
        <w:rPr>
          <w:u w:val="single"/>
        </w:rPr>
      </w:pPr>
      <w:r w:rsidRPr="009F64D4">
        <w:rPr>
          <w:u w:val="single"/>
        </w:rPr>
        <w:t xml:space="preserve">Крупные банки впервые подключили карты </w:t>
      </w:r>
      <w:r w:rsidR="00880699" w:rsidRPr="009F64D4">
        <w:rPr>
          <w:u w:val="single"/>
        </w:rPr>
        <w:t>«</w:t>
      </w:r>
      <w:r w:rsidRPr="009F64D4">
        <w:rPr>
          <w:u w:val="single"/>
        </w:rPr>
        <w:t>Мир</w:t>
      </w:r>
      <w:r w:rsidR="00880699" w:rsidRPr="009F64D4">
        <w:rPr>
          <w:u w:val="single"/>
        </w:rPr>
        <w:t>»</w:t>
      </w:r>
      <w:r w:rsidRPr="009F64D4">
        <w:rPr>
          <w:u w:val="single"/>
        </w:rPr>
        <w:t xml:space="preserve"> к </w:t>
      </w:r>
      <w:proofErr w:type="spellStart"/>
      <w:r w:rsidRPr="009F64D4">
        <w:rPr>
          <w:u w:val="single"/>
        </w:rPr>
        <w:t>Apple</w:t>
      </w:r>
      <w:proofErr w:type="spellEnd"/>
      <w:r w:rsidRPr="009F64D4">
        <w:rPr>
          <w:u w:val="single"/>
        </w:rPr>
        <w:t xml:space="preserve"> </w:t>
      </w:r>
      <w:proofErr w:type="spellStart"/>
      <w:r w:rsidRPr="009F64D4">
        <w:rPr>
          <w:u w:val="single"/>
        </w:rPr>
        <w:t>Pay</w:t>
      </w:r>
      <w:proofErr w:type="spellEnd"/>
    </w:p>
    <w:p w:rsidR="00DA1FB7" w:rsidRPr="009F64D4" w:rsidRDefault="00DA1FB7" w:rsidP="009F64D4">
      <w:pPr>
        <w:ind w:firstLine="851"/>
        <w:jc w:val="both"/>
      </w:pPr>
      <w:r w:rsidRPr="009F64D4">
        <w:t xml:space="preserve">С 20 июля клиенты сразу нескольких крупных российских банков получили возможность подключить карты </w:t>
      </w:r>
      <w:r w:rsidR="00880699" w:rsidRPr="009F64D4">
        <w:t>«</w:t>
      </w:r>
      <w:r w:rsidRPr="009F64D4">
        <w:t>Мир</w:t>
      </w:r>
      <w:r w:rsidR="00880699" w:rsidRPr="009F64D4">
        <w:t>»</w:t>
      </w:r>
      <w:r w:rsidRPr="009F64D4">
        <w:t xml:space="preserve"> к сервису бесконтактной оплаты </w:t>
      </w:r>
      <w:proofErr w:type="spellStart"/>
      <w:r w:rsidRPr="009F64D4">
        <w:t>Apple</w:t>
      </w:r>
      <w:proofErr w:type="spellEnd"/>
      <w:r w:rsidRPr="009F64D4">
        <w:t xml:space="preserve"> </w:t>
      </w:r>
      <w:proofErr w:type="spellStart"/>
      <w:r w:rsidRPr="009F64D4">
        <w:t>Pay</w:t>
      </w:r>
      <w:proofErr w:type="spellEnd"/>
      <w:r w:rsidRPr="009F64D4">
        <w:t>, сообщает РБК.</w:t>
      </w:r>
    </w:p>
    <w:p w:rsidR="00880699" w:rsidRPr="009F64D4" w:rsidRDefault="00DA1FB7" w:rsidP="009F64D4">
      <w:pPr>
        <w:ind w:firstLine="851"/>
        <w:jc w:val="both"/>
      </w:pPr>
      <w:r w:rsidRPr="009F64D4">
        <w:t xml:space="preserve">Собеседники издания на финансовом рынке также сообщили, что </w:t>
      </w:r>
      <w:proofErr w:type="spellStart"/>
      <w:r w:rsidRPr="009F64D4">
        <w:t>Apple</w:t>
      </w:r>
      <w:proofErr w:type="spellEnd"/>
      <w:r w:rsidRPr="009F64D4">
        <w:t xml:space="preserve"> </w:t>
      </w:r>
      <w:proofErr w:type="spellStart"/>
      <w:r w:rsidRPr="009F64D4">
        <w:t>Pay</w:t>
      </w:r>
      <w:proofErr w:type="spellEnd"/>
      <w:r w:rsidRPr="009F64D4">
        <w:t xml:space="preserve"> станет доступен для владельцев карт </w:t>
      </w:r>
      <w:r w:rsidR="00880699" w:rsidRPr="009F64D4">
        <w:t>«</w:t>
      </w:r>
      <w:r w:rsidRPr="009F64D4">
        <w:t>Мир</w:t>
      </w:r>
      <w:r w:rsidR="00880699" w:rsidRPr="009F64D4">
        <w:t>»</w:t>
      </w:r>
      <w:r w:rsidRPr="009F64D4">
        <w:t xml:space="preserve"> от Сбербанка, ВТБ, Промсвязьбанка (ПСБ) и </w:t>
      </w:r>
      <w:proofErr w:type="spellStart"/>
      <w:r w:rsidRPr="009F64D4">
        <w:t>Россельхозбанка</w:t>
      </w:r>
      <w:proofErr w:type="spellEnd"/>
      <w:r w:rsidRPr="009F64D4">
        <w:t>.</w:t>
      </w:r>
    </w:p>
    <w:p w:rsidR="00880699" w:rsidRPr="009F64D4" w:rsidRDefault="00DA1FB7" w:rsidP="009F64D4">
      <w:pPr>
        <w:ind w:firstLine="851"/>
        <w:jc w:val="both"/>
      </w:pPr>
      <w:r w:rsidRPr="009F64D4">
        <w:t xml:space="preserve">Банк </w:t>
      </w:r>
      <w:r w:rsidR="00880699" w:rsidRPr="009F64D4">
        <w:t>«</w:t>
      </w:r>
      <w:r w:rsidRPr="009F64D4">
        <w:t>Открытие</w:t>
      </w:r>
      <w:r w:rsidR="00880699" w:rsidRPr="009F64D4">
        <w:t>»</w:t>
      </w:r>
      <w:r w:rsidRPr="009F64D4">
        <w:t xml:space="preserve"> находится на финальном этапе подключения карт </w:t>
      </w:r>
      <w:r w:rsidR="00880699" w:rsidRPr="009F64D4">
        <w:t>«</w:t>
      </w:r>
      <w:r w:rsidRPr="009F64D4">
        <w:t>Мир</w:t>
      </w:r>
      <w:r w:rsidR="00880699" w:rsidRPr="009F64D4">
        <w:t>»</w:t>
      </w:r>
      <w:r w:rsidRPr="009F64D4">
        <w:t xml:space="preserve"> к кошельку, Росбанк планирует подключиться одним из первых.</w:t>
      </w:r>
    </w:p>
    <w:p w:rsidR="00DA1FB7" w:rsidRPr="009F64D4" w:rsidRDefault="00DA1FB7" w:rsidP="009F64D4">
      <w:pPr>
        <w:ind w:firstLine="851"/>
        <w:jc w:val="both"/>
      </w:pPr>
      <w:r w:rsidRPr="009F64D4">
        <w:t xml:space="preserve">Кроме этого, подключить </w:t>
      </w:r>
      <w:r w:rsidR="00880699" w:rsidRPr="009F64D4">
        <w:t>«</w:t>
      </w:r>
      <w:proofErr w:type="spellStart"/>
      <w:r w:rsidR="00880699" w:rsidRPr="009F64D4">
        <w:t>яблочный</w:t>
      </w:r>
      <w:proofErr w:type="gramStart"/>
      <w:r w:rsidR="00880699" w:rsidRPr="009F64D4">
        <w:t>»</w:t>
      </w:r>
      <w:r w:rsidRPr="009F64D4">
        <w:t>с</w:t>
      </w:r>
      <w:proofErr w:type="gramEnd"/>
      <w:r w:rsidRPr="009F64D4">
        <w:t>ервис</w:t>
      </w:r>
      <w:proofErr w:type="spellEnd"/>
      <w:r w:rsidRPr="009F64D4">
        <w:t xml:space="preserve"> для карт </w:t>
      </w:r>
      <w:r w:rsidR="00880699" w:rsidRPr="009F64D4">
        <w:t>«</w:t>
      </w:r>
      <w:r w:rsidRPr="009F64D4">
        <w:t>Мир</w:t>
      </w:r>
      <w:r w:rsidR="00880699" w:rsidRPr="009F64D4">
        <w:t>»</w:t>
      </w:r>
      <w:r w:rsidRPr="009F64D4">
        <w:t xml:space="preserve"> к осени планирует МКБ, рассказали представители банка.</w:t>
      </w:r>
    </w:p>
    <w:p w:rsidR="00880699" w:rsidRPr="009F64D4" w:rsidRDefault="00DA1FB7" w:rsidP="009F64D4">
      <w:pPr>
        <w:ind w:firstLine="851"/>
        <w:jc w:val="both"/>
      </w:pPr>
      <w:r w:rsidRPr="009F64D4">
        <w:t xml:space="preserve">Новая опция не только откроет клиентам новый формат бесконтактной оплаты покупок, но и позволит им с легкостью отказаться от </w:t>
      </w:r>
      <w:r w:rsidR="00880699" w:rsidRPr="009F64D4">
        <w:t>«</w:t>
      </w:r>
      <w:r w:rsidRPr="009F64D4">
        <w:t>пластика</w:t>
      </w:r>
      <w:r w:rsidR="00880699" w:rsidRPr="009F64D4">
        <w:t>»</w:t>
      </w:r>
      <w:r w:rsidRPr="009F64D4">
        <w:t xml:space="preserve">, сообщили в ВТБ в ответ на запрос </w:t>
      </w:r>
      <w:r w:rsidR="00880699" w:rsidRPr="009F64D4">
        <w:t>«</w:t>
      </w:r>
      <w:r w:rsidRPr="009F64D4">
        <w:t>РГ</w:t>
      </w:r>
      <w:r w:rsidR="00880699" w:rsidRPr="009F64D4">
        <w:t>»</w:t>
      </w:r>
      <w:r w:rsidRPr="009F64D4">
        <w:t>.</w:t>
      </w:r>
    </w:p>
    <w:p w:rsidR="00880699" w:rsidRPr="009F64D4" w:rsidRDefault="00880699" w:rsidP="009F64D4">
      <w:pPr>
        <w:ind w:firstLine="851"/>
        <w:jc w:val="both"/>
      </w:pPr>
      <w:r w:rsidRPr="009F64D4">
        <w:lastRenderedPageBreak/>
        <w:t>«</w:t>
      </w:r>
      <w:r w:rsidR="00DA1FB7" w:rsidRPr="009F64D4">
        <w:t xml:space="preserve">Пользователям также будут доступны все преимущества оплаты </w:t>
      </w:r>
      <w:r w:rsidRPr="009F64D4">
        <w:t>«</w:t>
      </w:r>
      <w:r w:rsidR="00DA1FB7" w:rsidRPr="009F64D4">
        <w:t>Миром</w:t>
      </w:r>
      <w:r w:rsidRPr="009F64D4">
        <w:t>»</w:t>
      </w:r>
      <w:r w:rsidR="00DA1FB7" w:rsidRPr="009F64D4">
        <w:t xml:space="preserve"> - скидки при оплате проезда в метро, </w:t>
      </w:r>
      <w:proofErr w:type="spellStart"/>
      <w:r w:rsidR="00DA1FB7" w:rsidRPr="009F64D4">
        <w:t>кешбэк</w:t>
      </w:r>
      <w:proofErr w:type="spellEnd"/>
      <w:r w:rsidR="00DA1FB7" w:rsidRPr="009F64D4">
        <w:t xml:space="preserve"> за оплату покупок у партнеров платежной системы </w:t>
      </w:r>
      <w:r w:rsidRPr="009F64D4">
        <w:t>«</w:t>
      </w:r>
      <w:r w:rsidR="00DA1FB7" w:rsidRPr="009F64D4">
        <w:t>Мир</w:t>
      </w:r>
      <w:r w:rsidRPr="009F64D4">
        <w:t>»</w:t>
      </w:r>
      <w:r w:rsidR="00DA1FB7" w:rsidRPr="009F64D4">
        <w:t xml:space="preserve"> и другие акт</w:t>
      </w:r>
      <w:r w:rsidRPr="009F64D4">
        <w:t>уальные предложения»</w:t>
      </w:r>
      <w:r w:rsidR="00DA1FB7" w:rsidRPr="009F64D4">
        <w:t xml:space="preserve">, - отметил генеральный директор платежной системы </w:t>
      </w:r>
      <w:r w:rsidRPr="009F64D4">
        <w:t>«</w:t>
      </w:r>
      <w:r w:rsidR="00DA1FB7" w:rsidRPr="009F64D4">
        <w:t>Мир</w:t>
      </w:r>
      <w:r w:rsidRPr="009F64D4">
        <w:t>»</w:t>
      </w:r>
      <w:r w:rsidR="00DA1FB7" w:rsidRPr="009F64D4">
        <w:t xml:space="preserve"> Владимир Комлев.</w:t>
      </w:r>
    </w:p>
    <w:p w:rsidR="00DA1FB7" w:rsidRPr="009F64D4" w:rsidRDefault="00DA1FB7" w:rsidP="009F64D4">
      <w:pPr>
        <w:ind w:firstLine="851"/>
        <w:jc w:val="both"/>
      </w:pPr>
      <w:r w:rsidRPr="009F64D4">
        <w:t xml:space="preserve">До сих пор картами </w:t>
      </w:r>
      <w:r w:rsidR="00880699" w:rsidRPr="009F64D4">
        <w:t>«</w:t>
      </w:r>
      <w:r w:rsidRPr="009F64D4">
        <w:t>Мир</w:t>
      </w:r>
      <w:r w:rsidR="00880699" w:rsidRPr="009F64D4">
        <w:t>»</w:t>
      </w:r>
      <w:r w:rsidRPr="009F64D4">
        <w:t xml:space="preserve"> можно было расплачиваться только смартфонами на ОС </w:t>
      </w:r>
      <w:proofErr w:type="spellStart"/>
      <w:r w:rsidRPr="009F64D4">
        <w:t>Android</w:t>
      </w:r>
      <w:proofErr w:type="spellEnd"/>
      <w:r w:rsidRPr="009F64D4">
        <w:t xml:space="preserve">, используя </w:t>
      </w:r>
      <w:proofErr w:type="spellStart"/>
      <w:r w:rsidRPr="009F64D4">
        <w:t>Samsung</w:t>
      </w:r>
      <w:proofErr w:type="spellEnd"/>
      <w:r w:rsidRPr="009F64D4">
        <w:t xml:space="preserve"> </w:t>
      </w:r>
      <w:proofErr w:type="spellStart"/>
      <w:r w:rsidRPr="009F64D4">
        <w:t>Pay</w:t>
      </w:r>
      <w:proofErr w:type="spellEnd"/>
      <w:r w:rsidRPr="009F64D4">
        <w:t xml:space="preserve"> и </w:t>
      </w:r>
      <w:proofErr w:type="spellStart"/>
      <w:r w:rsidRPr="009F64D4">
        <w:t>Mir</w:t>
      </w:r>
      <w:proofErr w:type="spellEnd"/>
      <w:r w:rsidRPr="009F64D4">
        <w:t xml:space="preserve"> </w:t>
      </w:r>
      <w:proofErr w:type="spellStart"/>
      <w:r w:rsidRPr="009F64D4">
        <w:t>Pay</w:t>
      </w:r>
      <w:proofErr w:type="spellEnd"/>
      <w:r w:rsidRPr="009F64D4">
        <w:t>.</w:t>
      </w:r>
    </w:p>
    <w:p w:rsidR="001E1C28" w:rsidRPr="009F64D4" w:rsidRDefault="001E1C28" w:rsidP="009F64D4">
      <w:pPr>
        <w:ind w:firstLine="851"/>
        <w:jc w:val="both"/>
      </w:pPr>
      <w:r w:rsidRPr="009F64D4">
        <w:t xml:space="preserve">В ПФР напомнили, какие льготы имеют </w:t>
      </w:r>
      <w:proofErr w:type="spellStart"/>
      <w:r w:rsidRPr="009F64D4">
        <w:t>предпенсионеры</w:t>
      </w:r>
      <w:proofErr w:type="spellEnd"/>
      <w:r w:rsidR="00880699" w:rsidRPr="009F64D4">
        <w:t>.</w:t>
      </w:r>
    </w:p>
    <w:p w:rsidR="004244BD" w:rsidRPr="009F64D4" w:rsidRDefault="001E1C28" w:rsidP="009F64D4">
      <w:pPr>
        <w:ind w:firstLine="851"/>
        <w:jc w:val="both"/>
        <w:rPr>
          <w:u w:val="single"/>
        </w:rPr>
      </w:pPr>
      <w:r w:rsidRPr="009F64D4">
        <w:rPr>
          <w:u w:val="single"/>
        </w:rPr>
        <w:t xml:space="preserve">В связи с увеличением пенсионного возраста появилась новая категория граждан - лица </w:t>
      </w:r>
      <w:proofErr w:type="spellStart"/>
      <w:r w:rsidRPr="009F64D4">
        <w:rPr>
          <w:u w:val="single"/>
        </w:rPr>
        <w:t>предпенсионного</w:t>
      </w:r>
      <w:proofErr w:type="spellEnd"/>
      <w:r w:rsidRPr="009F64D4">
        <w:rPr>
          <w:u w:val="single"/>
        </w:rPr>
        <w:t xml:space="preserve"> возраста, для которых предусмотрены определенные льготы и гарантии.</w:t>
      </w:r>
    </w:p>
    <w:p w:rsidR="0061779B" w:rsidRPr="009F64D4" w:rsidRDefault="001E1C28" w:rsidP="009F64D4">
      <w:pPr>
        <w:ind w:firstLine="851"/>
        <w:jc w:val="both"/>
      </w:pPr>
      <w:r w:rsidRPr="009F64D4">
        <w:t xml:space="preserve">Так, они имеют право на налоговые льготы (освобождение от имущественного и земельного налогов). При этом важно помнить, что такое право </w:t>
      </w:r>
      <w:proofErr w:type="spellStart"/>
      <w:r w:rsidRPr="009F64D4">
        <w:t>предпенсионерам</w:t>
      </w:r>
      <w:proofErr w:type="spellEnd"/>
      <w:r w:rsidRPr="009F64D4">
        <w:t xml:space="preserve"> предоставляется по достижении "старого" пенсионного возраста: 55 лет для женщин и 60 лет для мужчин, если они не относятся к категории государственных служащих и не имеют права на досрочную пенсию.</w:t>
      </w:r>
    </w:p>
    <w:p w:rsidR="0061779B" w:rsidRPr="009F64D4" w:rsidRDefault="001E1C28" w:rsidP="009F64D4">
      <w:pPr>
        <w:ind w:firstLine="851"/>
        <w:jc w:val="both"/>
      </w:pPr>
      <w:r w:rsidRPr="009F64D4">
        <w:t xml:space="preserve">Люди </w:t>
      </w:r>
      <w:proofErr w:type="spellStart"/>
      <w:r w:rsidRPr="009F64D4">
        <w:t>предпенсионного</w:t>
      </w:r>
      <w:proofErr w:type="spellEnd"/>
      <w:r w:rsidRPr="009F64D4">
        <w:t xml:space="preserve"> возраста имеют право на прохождение диспансеризации в течение двух дней раз в год с сохранением заработной платы. Если они потеряли работу, то им предоставляется повышенный размер пособия по безработице и бесплатное профессиональное обучение. Право на указанные льготы наступает за пять лет до "нового" пенсионного возраста с учетом переходного периода. Так, в 2021 году такими льготами могут воспользоваться женщины, достигшие 53 лет, и мужчины, достигшие 58 лет.</w:t>
      </w:r>
    </w:p>
    <w:p w:rsidR="001671E6" w:rsidRPr="009F64D4" w:rsidRDefault="001E1C28" w:rsidP="009F64D4">
      <w:pPr>
        <w:ind w:firstLine="851"/>
        <w:jc w:val="both"/>
      </w:pPr>
      <w:r w:rsidRPr="009F64D4">
        <w:t xml:space="preserve">Доказывать свое право на льготы не нужно. Федеральные и региональные власти получают информацию о наступлении </w:t>
      </w:r>
      <w:proofErr w:type="spellStart"/>
      <w:r w:rsidRPr="009F64D4">
        <w:t>предпенсионного</w:t>
      </w:r>
      <w:proofErr w:type="spellEnd"/>
      <w:r w:rsidRPr="009F64D4">
        <w:t xml:space="preserve"> возраста через межведомственный обмен. Работодателям сведения предоставляются на основании заключенных соглашений.</w:t>
      </w:r>
    </w:p>
    <w:p w:rsidR="00E0798C" w:rsidRPr="009F64D4" w:rsidRDefault="00E0798C" w:rsidP="009F64D4">
      <w:pPr>
        <w:ind w:firstLine="851"/>
        <w:jc w:val="both"/>
        <w:rPr>
          <w:u w:val="single"/>
        </w:rPr>
      </w:pPr>
      <w:r w:rsidRPr="009F64D4">
        <w:rPr>
          <w:u w:val="single"/>
        </w:rPr>
        <w:t xml:space="preserve">Минтруд и </w:t>
      </w:r>
      <w:proofErr w:type="spellStart"/>
      <w:r w:rsidRPr="009F64D4">
        <w:rPr>
          <w:u w:val="single"/>
        </w:rPr>
        <w:t>Роспотребнадзор</w:t>
      </w:r>
      <w:proofErr w:type="spellEnd"/>
      <w:r w:rsidRPr="009F64D4">
        <w:rPr>
          <w:u w:val="single"/>
        </w:rPr>
        <w:t xml:space="preserve"> дали рекомендации по вакцинации работников от </w:t>
      </w:r>
      <w:r w:rsidRPr="009F64D4">
        <w:rPr>
          <w:u w:val="single"/>
          <w:lang w:val="en-US"/>
        </w:rPr>
        <w:t>COVID</w:t>
      </w:r>
      <w:r w:rsidRPr="009F64D4">
        <w:rPr>
          <w:u w:val="single"/>
        </w:rPr>
        <w:t>-19</w:t>
      </w:r>
    </w:p>
    <w:p w:rsidR="00E0798C" w:rsidRPr="009F64D4" w:rsidRDefault="00E0798C" w:rsidP="009F64D4">
      <w:pPr>
        <w:ind w:firstLine="851"/>
        <w:jc w:val="both"/>
      </w:pPr>
      <w:r w:rsidRPr="009F64D4">
        <w:t xml:space="preserve">Чиновники разъяснили, как следует организовывать иммунизацию персонала против </w:t>
      </w:r>
      <w:proofErr w:type="spellStart"/>
      <w:r w:rsidRPr="009F64D4">
        <w:t>коронавируса</w:t>
      </w:r>
      <w:proofErr w:type="spellEnd"/>
      <w:r w:rsidRPr="009F64D4">
        <w:t xml:space="preserve"> и учитывать процент </w:t>
      </w:r>
      <w:proofErr w:type="gramStart"/>
      <w:r w:rsidRPr="009F64D4">
        <w:t>вакцинированных</w:t>
      </w:r>
      <w:proofErr w:type="gramEnd"/>
      <w:r w:rsidRPr="009F64D4">
        <w:t>. О новых советах для работодателей расскажем в нашем обзоре.</w:t>
      </w:r>
    </w:p>
    <w:p w:rsidR="00E0798C" w:rsidRPr="009F64D4" w:rsidRDefault="00E0798C" w:rsidP="009F64D4">
      <w:pPr>
        <w:ind w:firstLine="851"/>
        <w:jc w:val="both"/>
      </w:pPr>
      <w:r w:rsidRPr="009F64D4">
        <w:t>Информирование персонала</w:t>
      </w:r>
    </w:p>
    <w:p w:rsidR="00E0798C" w:rsidRPr="009F64D4" w:rsidRDefault="00E0798C" w:rsidP="009F64D4">
      <w:pPr>
        <w:ind w:firstLine="851"/>
        <w:jc w:val="both"/>
      </w:pPr>
      <w:r w:rsidRPr="009F64D4">
        <w:t>Работодателям рекомендуют совместно с профсоюзами (при наличии) разъяснять вопросы о вакцинации в трудовых коллективах.</w:t>
      </w:r>
    </w:p>
    <w:p w:rsidR="00E0798C" w:rsidRPr="009F64D4" w:rsidRDefault="00E0798C" w:rsidP="009F64D4">
      <w:pPr>
        <w:ind w:firstLine="851"/>
        <w:jc w:val="both"/>
      </w:pPr>
      <w:r w:rsidRPr="009F64D4">
        <w:t xml:space="preserve">В частности, можно распространять среди сотрудников официальные данные о текущей </w:t>
      </w:r>
      <w:proofErr w:type="spellStart"/>
      <w:r w:rsidRPr="009F64D4">
        <w:t>эпидситуации</w:t>
      </w:r>
      <w:proofErr w:type="spellEnd"/>
      <w:r w:rsidRPr="009F64D4">
        <w:t xml:space="preserve"> в регионе и об эффективности иммунизации.</w:t>
      </w:r>
    </w:p>
    <w:p w:rsidR="00E0798C" w:rsidRPr="009F64D4" w:rsidRDefault="00E0798C" w:rsidP="009F64D4">
      <w:pPr>
        <w:ind w:firstLine="851"/>
        <w:jc w:val="both"/>
      </w:pPr>
      <w:r w:rsidRPr="009F64D4">
        <w:t xml:space="preserve">Работникам следует рассказать о российских препаратах против </w:t>
      </w:r>
      <w:r w:rsidRPr="009F64D4">
        <w:rPr>
          <w:lang w:val="en-US"/>
        </w:rPr>
        <w:t>COVID</w:t>
      </w:r>
      <w:r w:rsidRPr="009F64D4">
        <w:t>-19 и о пунктах вакцинации.</w:t>
      </w:r>
    </w:p>
    <w:p w:rsidR="00E0798C" w:rsidRPr="009F64D4" w:rsidRDefault="00E0798C" w:rsidP="009F64D4">
      <w:pPr>
        <w:ind w:firstLine="851"/>
        <w:jc w:val="both"/>
      </w:pPr>
      <w:r w:rsidRPr="009F64D4">
        <w:t>Для прохождения иммунизации можно предоставлять выходные.</w:t>
      </w:r>
    </w:p>
    <w:p w:rsidR="00E0798C" w:rsidRPr="009F64D4" w:rsidRDefault="00E0798C" w:rsidP="009F64D4">
      <w:pPr>
        <w:ind w:firstLine="851"/>
        <w:jc w:val="both"/>
      </w:pPr>
      <w:r w:rsidRPr="009F64D4">
        <w:t>Обеспечение уровня коллективного иммунитета</w:t>
      </w:r>
    </w:p>
    <w:p w:rsidR="00E0798C" w:rsidRPr="009F64D4" w:rsidRDefault="00E0798C" w:rsidP="009F64D4">
      <w:pPr>
        <w:ind w:firstLine="851"/>
        <w:jc w:val="both"/>
      </w:pPr>
      <w:r w:rsidRPr="009F64D4">
        <w:t xml:space="preserve">Для стабилизации </w:t>
      </w:r>
      <w:proofErr w:type="spellStart"/>
      <w:r w:rsidRPr="009F64D4">
        <w:t>эпидситуации</w:t>
      </w:r>
      <w:proofErr w:type="spellEnd"/>
      <w:r w:rsidRPr="009F64D4">
        <w:t xml:space="preserve"> нужно обеспечить достижение следующих показателей.</w:t>
      </w:r>
    </w:p>
    <w:p w:rsidR="00E0798C" w:rsidRPr="009F64D4" w:rsidRDefault="00E0798C" w:rsidP="009F64D4">
      <w:pPr>
        <w:ind w:firstLine="851"/>
        <w:jc w:val="both"/>
      </w:pPr>
      <w:proofErr w:type="gramStart"/>
      <w:r w:rsidRPr="009F64D4">
        <w:t>Устойчивы к новой инфекции должны</w:t>
      </w:r>
      <w:proofErr w:type="gramEnd"/>
      <w:r w:rsidRPr="009F64D4">
        <w:t xml:space="preserve"> быть не менее 80% от списочного состава персонала. К ним относятся переболевшие и вакцинированные не более 6 мес. назад сотрудники.</w:t>
      </w:r>
    </w:p>
    <w:p w:rsidR="00E0798C" w:rsidRPr="009F64D4" w:rsidRDefault="00E0798C" w:rsidP="009F64D4">
      <w:pPr>
        <w:ind w:firstLine="851"/>
        <w:jc w:val="both"/>
      </w:pPr>
      <w:r w:rsidRPr="009F64D4">
        <w:t xml:space="preserve">Оставшийся процент должны составлять те, у кого есть противопоказания к прививке, а также длительно отсутствующие работники (например, </w:t>
      </w:r>
      <w:proofErr w:type="spellStart"/>
      <w:r w:rsidRPr="009F64D4">
        <w:t>декретницы</w:t>
      </w:r>
      <w:proofErr w:type="spellEnd"/>
      <w:r w:rsidRPr="009F64D4">
        <w:t>).</w:t>
      </w:r>
    </w:p>
    <w:p w:rsidR="00E0798C" w:rsidRPr="009F64D4" w:rsidRDefault="00E0798C" w:rsidP="009F64D4">
      <w:pPr>
        <w:ind w:firstLine="851"/>
        <w:jc w:val="both"/>
      </w:pPr>
      <w:r w:rsidRPr="009F64D4">
        <w:t>Организация прохождения вакцинации</w:t>
      </w:r>
    </w:p>
    <w:p w:rsidR="00E0798C" w:rsidRPr="009F64D4" w:rsidRDefault="00E0798C" w:rsidP="009F64D4">
      <w:pPr>
        <w:ind w:firstLine="851"/>
        <w:jc w:val="both"/>
      </w:pPr>
      <w:r w:rsidRPr="009F64D4">
        <w:t>Если главный государственный санитарный врач субъекта обязал провести иммунизацию персонала, работодателю сначала нужно определить перечень подлежащих вакцинации сотрудников. Затем он должен издать приказ об организации проведения прививок.</w:t>
      </w:r>
    </w:p>
    <w:p w:rsidR="00E0798C" w:rsidRPr="009F64D4" w:rsidRDefault="00E0798C" w:rsidP="009F64D4">
      <w:pPr>
        <w:ind w:firstLine="851"/>
        <w:jc w:val="both"/>
      </w:pPr>
    </w:p>
    <w:p w:rsidR="00E0798C" w:rsidRPr="009F64D4" w:rsidRDefault="00E0798C" w:rsidP="009F64D4">
      <w:pPr>
        <w:ind w:firstLine="851"/>
        <w:jc w:val="both"/>
      </w:pPr>
      <w:r w:rsidRPr="009F64D4">
        <w:t>В нем следует указать, в том числе:</w:t>
      </w:r>
    </w:p>
    <w:p w:rsidR="00E0798C" w:rsidRPr="009F64D4" w:rsidRDefault="00E0798C" w:rsidP="009F64D4">
      <w:pPr>
        <w:ind w:firstLine="851"/>
        <w:jc w:val="both"/>
      </w:pPr>
      <w:r w:rsidRPr="009F64D4">
        <w:t>сведения о необходимости иммунизации;</w:t>
      </w:r>
    </w:p>
    <w:p w:rsidR="00E0798C" w:rsidRPr="009F64D4" w:rsidRDefault="00E0798C" w:rsidP="009F64D4">
      <w:pPr>
        <w:ind w:firstLine="851"/>
        <w:jc w:val="both"/>
      </w:pPr>
      <w:r w:rsidRPr="009F64D4">
        <w:t>сроки и порядок вакцинации;</w:t>
      </w:r>
    </w:p>
    <w:p w:rsidR="00E0798C" w:rsidRPr="009F64D4" w:rsidRDefault="00E0798C" w:rsidP="009F64D4">
      <w:pPr>
        <w:ind w:firstLine="851"/>
        <w:jc w:val="both"/>
      </w:pPr>
      <w:proofErr w:type="gramStart"/>
      <w:r w:rsidRPr="009F64D4">
        <w:t>информацию об ответственном за организацию прохождения вакцинации и сбор сведений о ее проведении.</w:t>
      </w:r>
      <w:proofErr w:type="gramEnd"/>
    </w:p>
    <w:p w:rsidR="00E0798C" w:rsidRPr="009F64D4" w:rsidRDefault="00E0798C" w:rsidP="009F64D4">
      <w:pPr>
        <w:ind w:firstLine="851"/>
        <w:jc w:val="both"/>
      </w:pPr>
      <w:r w:rsidRPr="009F64D4">
        <w:t>Также в приказе необходимо зафиксировать, что в случае отказа от прививки сотрудника могут отстранить от работы.</w:t>
      </w:r>
    </w:p>
    <w:p w:rsidR="00E0798C" w:rsidRPr="009F64D4" w:rsidRDefault="00E0798C" w:rsidP="009F64D4">
      <w:pPr>
        <w:ind w:firstLine="851"/>
        <w:jc w:val="both"/>
      </w:pPr>
      <w:r w:rsidRPr="009F64D4">
        <w:t>С этим документом нужно ознакомлять персонал под подпись.</w:t>
      </w:r>
    </w:p>
    <w:p w:rsidR="00E0798C" w:rsidRPr="009F64D4" w:rsidRDefault="00E0798C" w:rsidP="009F64D4">
      <w:pPr>
        <w:ind w:firstLine="851"/>
        <w:jc w:val="both"/>
      </w:pPr>
      <w:r w:rsidRPr="009F64D4">
        <w:t>Отстранение от работы</w:t>
      </w:r>
    </w:p>
    <w:p w:rsidR="00E0798C" w:rsidRPr="009F64D4" w:rsidRDefault="00E0798C" w:rsidP="009F64D4">
      <w:pPr>
        <w:ind w:firstLine="851"/>
        <w:jc w:val="both"/>
      </w:pPr>
      <w:r w:rsidRPr="009F64D4">
        <w:t xml:space="preserve">Вакцинация становится обязательной для тех, кто указан в постановлении главного государственного санитарного врача региона. Сотрудника нельзя допускать к работе при отказе от прививки без уважительных причин. Приказ об отстранении нужно издать, если он не представил в срок сертификат о вакцинации или </w:t>
      </w:r>
      <w:proofErr w:type="spellStart"/>
      <w:proofErr w:type="gramStart"/>
      <w:r w:rsidRPr="009F64D4">
        <w:t>медзаключение</w:t>
      </w:r>
      <w:proofErr w:type="spellEnd"/>
      <w:proofErr w:type="gramEnd"/>
      <w:r w:rsidRPr="009F64D4">
        <w:t xml:space="preserve"> о противопоказаниях. Сохранять зарплату на это время не требуется.</w:t>
      </w:r>
    </w:p>
    <w:p w:rsidR="00E0798C" w:rsidRPr="009F64D4" w:rsidRDefault="00E0798C" w:rsidP="009F64D4">
      <w:pPr>
        <w:ind w:firstLine="851"/>
        <w:jc w:val="both"/>
      </w:pPr>
      <w:r w:rsidRPr="009F64D4">
        <w:t xml:space="preserve">Работодатель может предложить </w:t>
      </w:r>
      <w:proofErr w:type="spellStart"/>
      <w:r w:rsidRPr="009F64D4">
        <w:t>непривитому</w:t>
      </w:r>
      <w:proofErr w:type="spellEnd"/>
      <w:r w:rsidRPr="009F64D4">
        <w:t xml:space="preserve"> сотруднику перейти на </w:t>
      </w:r>
      <w:proofErr w:type="spellStart"/>
      <w:r w:rsidRPr="009F64D4">
        <w:t>удаленку</w:t>
      </w:r>
      <w:proofErr w:type="spellEnd"/>
      <w:r w:rsidRPr="009F64D4">
        <w:t>. Однако</w:t>
      </w:r>
      <w:proofErr w:type="gramStart"/>
      <w:r w:rsidRPr="009F64D4">
        <w:t>,</w:t>
      </w:r>
      <w:proofErr w:type="gramEnd"/>
      <w:r w:rsidRPr="009F64D4">
        <w:t xml:space="preserve"> этим правом советуют воспользоваться в отношении лиц с противопоказаниями к вакцинации.</w:t>
      </w:r>
    </w:p>
    <w:p w:rsidR="00E0798C" w:rsidRPr="009F64D4" w:rsidRDefault="00E0798C" w:rsidP="009F64D4">
      <w:pPr>
        <w:ind w:firstLine="851"/>
        <w:jc w:val="both"/>
      </w:pPr>
      <w:r w:rsidRPr="009F64D4">
        <w:t xml:space="preserve">Отметим, ранее </w:t>
      </w:r>
      <w:proofErr w:type="spellStart"/>
      <w:r w:rsidRPr="009F64D4">
        <w:t>Роструд</w:t>
      </w:r>
      <w:proofErr w:type="spellEnd"/>
      <w:r w:rsidRPr="009F64D4">
        <w:t xml:space="preserve"> разъяснил, что отстранять от работы нужно и </w:t>
      </w:r>
      <w:proofErr w:type="spellStart"/>
      <w:r w:rsidRPr="009F64D4">
        <w:t>непривитых</w:t>
      </w:r>
      <w:proofErr w:type="spellEnd"/>
      <w:r w:rsidRPr="009F64D4">
        <w:t xml:space="preserve"> </w:t>
      </w:r>
      <w:proofErr w:type="spellStart"/>
      <w:r w:rsidRPr="009F64D4">
        <w:t>удаленщиков</w:t>
      </w:r>
      <w:proofErr w:type="spellEnd"/>
      <w:r w:rsidRPr="009F64D4">
        <w:t>.</w:t>
      </w:r>
    </w:p>
    <w:p w:rsidR="00E0798C" w:rsidRPr="009F64D4" w:rsidRDefault="00E0798C" w:rsidP="009F64D4">
      <w:pPr>
        <w:ind w:firstLine="851"/>
        <w:jc w:val="both"/>
      </w:pPr>
      <w:r w:rsidRPr="009F64D4">
        <w:t>Документ:</w:t>
      </w:r>
      <w:r w:rsidR="009742CF">
        <w:t xml:space="preserve"> </w:t>
      </w:r>
      <w:r w:rsidRPr="009F64D4">
        <w:t>Разъяснения по организации вакцинации в организованных рабочих коллективах (трудовых коллективах) и порядку учета процента вакцинированных</w:t>
      </w:r>
      <w:r w:rsidR="009742CF">
        <w:t>.</w:t>
      </w:r>
    </w:p>
    <w:p w:rsidR="00E0798C" w:rsidRPr="009F64D4" w:rsidRDefault="00E0798C" w:rsidP="009F64D4">
      <w:pPr>
        <w:ind w:firstLine="851"/>
        <w:jc w:val="both"/>
      </w:pPr>
    </w:p>
    <w:p w:rsidR="00E0798C" w:rsidRPr="009F64D4" w:rsidRDefault="00E0798C" w:rsidP="009F64D4">
      <w:pPr>
        <w:ind w:firstLine="851"/>
        <w:jc w:val="both"/>
      </w:pPr>
    </w:p>
    <w:p w:rsidR="00E0798C" w:rsidRPr="009F64D4" w:rsidRDefault="00E0798C" w:rsidP="009F64D4">
      <w:pPr>
        <w:ind w:firstLine="851"/>
        <w:jc w:val="both"/>
      </w:pPr>
    </w:p>
    <w:p w:rsidR="00E0798C" w:rsidRPr="009F64D4" w:rsidRDefault="00E0798C" w:rsidP="009F64D4">
      <w:pPr>
        <w:ind w:firstLine="851"/>
        <w:jc w:val="both"/>
      </w:pPr>
    </w:p>
    <w:p w:rsidR="00E0798C" w:rsidRPr="009742CF" w:rsidRDefault="00E0798C" w:rsidP="009F64D4">
      <w:pPr>
        <w:ind w:firstLine="851"/>
        <w:jc w:val="both"/>
      </w:pPr>
    </w:p>
    <w:sectPr w:rsidR="00E0798C" w:rsidRPr="00974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CDB" w:rsidRDefault="00755CDB" w:rsidP="00951E02">
      <w:r>
        <w:separator/>
      </w:r>
    </w:p>
  </w:endnote>
  <w:endnote w:type="continuationSeparator" w:id="0">
    <w:p w:rsidR="00755CDB" w:rsidRDefault="00755CDB" w:rsidP="00951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02" w:rsidRDefault="00951E02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5196356"/>
      <w:docPartObj>
        <w:docPartGallery w:val="Page Numbers (Bottom of Page)"/>
        <w:docPartUnique/>
      </w:docPartObj>
    </w:sdtPr>
    <w:sdtEndPr/>
    <w:sdtContent>
      <w:p w:rsidR="00951E02" w:rsidRDefault="00951E02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9D5">
          <w:rPr>
            <w:noProof/>
          </w:rPr>
          <w:t>1</w:t>
        </w:r>
        <w:r>
          <w:fldChar w:fldCharType="end"/>
        </w:r>
      </w:p>
    </w:sdtContent>
  </w:sdt>
  <w:p w:rsidR="00951E02" w:rsidRDefault="00951E02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02" w:rsidRDefault="00951E0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CDB" w:rsidRDefault="00755CDB" w:rsidP="00951E02">
      <w:r>
        <w:separator/>
      </w:r>
    </w:p>
  </w:footnote>
  <w:footnote w:type="continuationSeparator" w:id="0">
    <w:p w:rsidR="00755CDB" w:rsidRDefault="00755CDB" w:rsidP="00951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02" w:rsidRDefault="00951E02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02" w:rsidRDefault="00951E02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E02" w:rsidRDefault="00951E02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1E6"/>
    <w:rsid w:val="001358C3"/>
    <w:rsid w:val="001671E6"/>
    <w:rsid w:val="001E1C28"/>
    <w:rsid w:val="001F62E9"/>
    <w:rsid w:val="00206CA6"/>
    <w:rsid w:val="002707C2"/>
    <w:rsid w:val="00306A24"/>
    <w:rsid w:val="0042186C"/>
    <w:rsid w:val="004244BD"/>
    <w:rsid w:val="004F7A09"/>
    <w:rsid w:val="005A51E6"/>
    <w:rsid w:val="0061779B"/>
    <w:rsid w:val="006B0574"/>
    <w:rsid w:val="007409E2"/>
    <w:rsid w:val="00750505"/>
    <w:rsid w:val="00755CDB"/>
    <w:rsid w:val="007C2F8C"/>
    <w:rsid w:val="00880699"/>
    <w:rsid w:val="00951E02"/>
    <w:rsid w:val="009742CF"/>
    <w:rsid w:val="0099540F"/>
    <w:rsid w:val="009F64D4"/>
    <w:rsid w:val="00A32681"/>
    <w:rsid w:val="00A454C5"/>
    <w:rsid w:val="00A46DF1"/>
    <w:rsid w:val="00B35F1C"/>
    <w:rsid w:val="00CC3EDE"/>
    <w:rsid w:val="00DA1FB7"/>
    <w:rsid w:val="00DD140E"/>
    <w:rsid w:val="00E0798C"/>
    <w:rsid w:val="00E709D5"/>
    <w:rsid w:val="00E76F19"/>
    <w:rsid w:val="00F564F3"/>
    <w:rsid w:val="00F91858"/>
    <w:rsid w:val="00F97F56"/>
    <w:rsid w:val="00FB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951E0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951E02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951E0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951E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951E0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951E02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951E0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951E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1604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Малькова Людмила Васильевна</cp:lastModifiedBy>
  <cp:revision>48</cp:revision>
  <dcterms:created xsi:type="dcterms:W3CDTF">2021-07-22T05:55:00Z</dcterms:created>
  <dcterms:modified xsi:type="dcterms:W3CDTF">2021-07-26T04:00:00Z</dcterms:modified>
</cp:coreProperties>
</file>