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906" w:rsidRDefault="00DD2F8F" w:rsidP="006C5DCB">
      <w:pPr>
        <w:jc w:val="center"/>
      </w:pPr>
      <w:r>
        <w:t>Обзор изменений законодательства</w:t>
      </w:r>
    </w:p>
    <w:p w:rsidR="00D424AD" w:rsidRPr="00D424AD" w:rsidRDefault="00766460" w:rsidP="00D424AD">
      <w:pPr>
        <w:pStyle w:val="aa"/>
        <w:ind w:firstLine="851"/>
        <w:jc w:val="center"/>
        <w:rPr>
          <w:u w:val="single"/>
        </w:rPr>
      </w:pPr>
      <w:r w:rsidRPr="00D424AD">
        <w:rPr>
          <w:u w:val="single"/>
        </w:rPr>
        <w:t xml:space="preserve">Постановление </w:t>
      </w:r>
      <w:r w:rsidR="00D424AD" w:rsidRPr="00D424AD">
        <w:rPr>
          <w:u w:val="single"/>
        </w:rPr>
        <w:t>Правительства РФ от 02.03.2021 №</w:t>
      </w:r>
      <w:r w:rsidRPr="00D424AD">
        <w:rPr>
          <w:u w:val="single"/>
        </w:rPr>
        <w:t xml:space="preserve"> 300 </w:t>
      </w:r>
      <w:r w:rsidR="00D424AD" w:rsidRPr="00D424AD">
        <w:rPr>
          <w:u w:val="single"/>
        </w:rPr>
        <w:t>«</w:t>
      </w:r>
      <w:r w:rsidRPr="00D424AD">
        <w:rPr>
          <w:u w:val="single"/>
        </w:rPr>
        <w:t>О признании утратившими силу некоторых актов Правительства Российской Федерации и рекомендации работодателям по переводу работников в возрасте 65 лет и старше на д</w:t>
      </w:r>
      <w:r w:rsidR="00D424AD" w:rsidRPr="00D424AD">
        <w:rPr>
          <w:u w:val="single"/>
        </w:rPr>
        <w:t>истанционную (удаленную) работу»</w:t>
      </w:r>
    </w:p>
    <w:p w:rsidR="00766460" w:rsidRDefault="00766460" w:rsidP="00D424AD">
      <w:pPr>
        <w:pStyle w:val="aa"/>
        <w:ind w:firstLine="851"/>
        <w:jc w:val="both"/>
      </w:pPr>
      <w:r>
        <w:t>С 1 апреля 2021 г. утратят силу Временные правила оформления листков нетрудоспособности, назначения и выплаты пособий по временной нетрудоспособности в случае карантина застрахованным лицам в возрасте 65 лет и старше</w:t>
      </w:r>
      <w:r w:rsidR="00161D29">
        <w:t>.</w:t>
      </w:r>
    </w:p>
    <w:p w:rsidR="00766460" w:rsidRDefault="00766460" w:rsidP="00D424AD">
      <w:pPr>
        <w:pStyle w:val="aa"/>
        <w:ind w:firstLine="851"/>
        <w:jc w:val="both"/>
      </w:pPr>
      <w:r>
        <w:t xml:space="preserve">Работодателям рекомендовано, исходя из складывающейся обстановки, связанной с распространением новой </w:t>
      </w:r>
      <w:proofErr w:type="spellStart"/>
      <w:r>
        <w:t>коронавирусной</w:t>
      </w:r>
      <w:proofErr w:type="spellEnd"/>
      <w:r>
        <w:t xml:space="preserve"> инфекции, в целях обеспечения санитарно-эпидемиологического благополучия населения и принятия мер по реализации прав граждан на охрану здоровья, осуществлять в приоритетном порядке перевод работников в возрасте 65 лет и старше на дистанционную (удаленную) работу в соответствии с трудовым законодательством РФ.</w:t>
      </w:r>
    </w:p>
    <w:p w:rsidR="00677774" w:rsidRPr="006C5DCB" w:rsidRDefault="00677774" w:rsidP="00336B17">
      <w:pPr>
        <w:pStyle w:val="aa"/>
        <w:ind w:firstLine="851"/>
        <w:jc w:val="center"/>
      </w:pPr>
      <w:r w:rsidRPr="00336B17">
        <w:rPr>
          <w:u w:val="single"/>
        </w:rPr>
        <w:t>Постановление Конститу</w:t>
      </w:r>
      <w:r w:rsidR="00336B17">
        <w:rPr>
          <w:u w:val="single"/>
        </w:rPr>
        <w:t>ционного Суда РФ от 02.03.2021 №</w:t>
      </w:r>
      <w:r w:rsidRPr="00336B17">
        <w:rPr>
          <w:u w:val="single"/>
        </w:rPr>
        <w:t xml:space="preserve"> 4-П </w:t>
      </w:r>
      <w:r w:rsidR="00336B17">
        <w:rPr>
          <w:u w:val="single"/>
        </w:rPr>
        <w:t>«</w:t>
      </w:r>
      <w:r w:rsidRPr="00336B17">
        <w:rPr>
          <w:u w:val="single"/>
        </w:rPr>
        <w:t xml:space="preserve">По делу о проверке конституционности пункта 1 статьи 52 Семейного кодекса Российской Федерации, пункта 1 части первой статьи 134 и абзаца второго статьи 220 Гражданского процессуального кодекса Российской Федерации в связи с </w:t>
      </w:r>
      <w:r w:rsidR="00336B17">
        <w:rPr>
          <w:u w:val="single"/>
        </w:rPr>
        <w:t>жалобой гражданки О.С. Шишкиной»</w:t>
      </w:r>
    </w:p>
    <w:p w:rsidR="00677774" w:rsidRPr="006C5DCB" w:rsidRDefault="00677774" w:rsidP="006C5DCB">
      <w:pPr>
        <w:pStyle w:val="aa"/>
        <w:ind w:firstLine="851"/>
        <w:jc w:val="both"/>
      </w:pPr>
      <w:r w:rsidRPr="006C5DCB">
        <w:t>Суды не вправе отказывать наследникам лица, записанного в качестве отца ребенка с нарушениями требований закона, в принятии искового заявления об аннулировании такой записи</w:t>
      </w:r>
    </w:p>
    <w:p w:rsidR="00677774" w:rsidRPr="006C5DCB" w:rsidRDefault="00677774" w:rsidP="006C5DCB">
      <w:pPr>
        <w:pStyle w:val="aa"/>
        <w:ind w:firstLine="851"/>
        <w:jc w:val="both"/>
      </w:pPr>
      <w:proofErr w:type="gramStart"/>
      <w:r w:rsidRPr="006C5DCB">
        <w:t>Конституционный Суд РФ признал пункт 1 статьи 52 Семейного кодекса РФ, пункт 1 части первой статьи 134 и абзац второй статьи 220 ГПК РФ в их взаимосвязи не соответствующими Конституции РФ в той мере, в какой эти законоположения по смыслу, придаваемому им судебным толкованием, служат основанием для отказа наследникам лица, записанного в качестве отца ребенка в книгу записей рождений с</w:t>
      </w:r>
      <w:proofErr w:type="gramEnd"/>
      <w:r w:rsidRPr="006C5DCB">
        <w:t xml:space="preserve"> нарушениями требований закона (в отсутствие его волеизъявления, на основании подложных документов и т.п.), в принятии искового заявления об аннулировании такой записи, а если производство по делу возбуждено - для прекращения производства по делу без его рассмотрения по существу.</w:t>
      </w:r>
    </w:p>
    <w:p w:rsidR="00677774" w:rsidRPr="006C5DCB" w:rsidRDefault="00677774" w:rsidP="006C5DCB">
      <w:pPr>
        <w:pStyle w:val="aa"/>
        <w:ind w:firstLine="851"/>
        <w:jc w:val="both"/>
      </w:pPr>
      <w:proofErr w:type="gramStart"/>
      <w:r w:rsidRPr="006C5DCB">
        <w:t>Конституционный Суд РФ, в частности, отметил, что анализ практики применения пункта 1 статьи 52 Семейного кодекса РФ свидетельствует о том, что установленный в данной норме перечень лиц, имеющих право подать исковое заявление об оспаривании записи об отце ребенка в книге записей рождений, является не просто исчерпывающим, но и не подлежащим расширительному толкованию.</w:t>
      </w:r>
      <w:proofErr w:type="gramEnd"/>
      <w:r w:rsidRPr="006C5DCB">
        <w:t xml:space="preserve"> </w:t>
      </w:r>
      <w:proofErr w:type="gramStart"/>
      <w:r w:rsidRPr="006C5DCB">
        <w:t>При этом суды считают его подлежащим применению без учета обстоятельств конкретного дела, в частности, когда установлен факт несоблюдения требований пункта 2 статьи 51 данного Кодекса о подаче совместного заявления для внесения в книгу записей рождений записи об отце ребенка (в частности, наличие поддельного заявления об установлении отцовства в отношении наследодателя, при жизни не знавшего о нарушении его прав и законных</w:t>
      </w:r>
      <w:proofErr w:type="gramEnd"/>
      <w:r w:rsidRPr="006C5DCB">
        <w:t xml:space="preserve"> интересов). Подобный подход необоснованно расширяет круг жизненных ситуаций, попадающих в сферу действия ограничений по кругу лиц, содержащихся в оспариваемой норме Семейного кодекса РФ.</w:t>
      </w:r>
    </w:p>
    <w:p w:rsidR="00677774" w:rsidRPr="006C5DCB" w:rsidRDefault="00677774" w:rsidP="006C5DCB">
      <w:pPr>
        <w:pStyle w:val="aa"/>
        <w:ind w:firstLine="851"/>
        <w:jc w:val="both"/>
      </w:pPr>
      <w:proofErr w:type="gramStart"/>
      <w:r w:rsidRPr="006C5DCB">
        <w:t>Федеральному законодателю надлежит внести необходимые изменения в правовое регулирование оспаривания записи об отце в книге записей рождений, конкретизировав его в части определения круга лиц, наделенных правом требовать аннулирования записи о родителях в книге записей рождений для случаев несоблюдения требований пункта 2 статьи 51 Семейного кодекса РФ (о подаче совместного заявления для внесения в книгу записей рождений записи об отце ребенка</w:t>
      </w:r>
      <w:proofErr w:type="gramEnd"/>
      <w:r w:rsidRPr="006C5DCB">
        <w:t>), и включения в него наследников.</w:t>
      </w:r>
    </w:p>
    <w:p w:rsidR="00677774" w:rsidRPr="006C5DCB" w:rsidRDefault="00677774" w:rsidP="006C5DCB">
      <w:pPr>
        <w:pStyle w:val="aa"/>
        <w:ind w:firstLine="851"/>
        <w:jc w:val="both"/>
      </w:pPr>
      <w:proofErr w:type="gramStart"/>
      <w:r w:rsidRPr="006C5DCB">
        <w:lastRenderedPageBreak/>
        <w:t>Впредь до внесения в действующее правовое регулирование надлежащих изменений, вытекающих из настоящего Постановления, суды общей юрисдикции не вправе отказывать наследникам лица, записанного в качестве отца ребенка в книгу записей рождений с нарушениями требований закона, в принятии искового заявления об аннулировании такой записи, а если производство по делу возбуждено - прекращать производство по делу без его рассмотрения по существу.</w:t>
      </w:r>
      <w:proofErr w:type="gramEnd"/>
    </w:p>
    <w:p w:rsidR="00393A82" w:rsidRPr="006C5DCB" w:rsidRDefault="00393A82" w:rsidP="00611813">
      <w:pPr>
        <w:pStyle w:val="aa"/>
        <w:ind w:firstLine="851"/>
        <w:jc w:val="center"/>
      </w:pPr>
      <w:r w:rsidRPr="00336B17">
        <w:rPr>
          <w:u w:val="single"/>
        </w:rPr>
        <w:t>Заключение Комиссии Совета с</w:t>
      </w:r>
      <w:r w:rsidR="00E778C8">
        <w:rPr>
          <w:u w:val="single"/>
        </w:rPr>
        <w:t>удей РФ по этике от 24.02.2021 №</w:t>
      </w:r>
      <w:r w:rsidRPr="00336B17">
        <w:rPr>
          <w:u w:val="single"/>
        </w:rPr>
        <w:t xml:space="preserve"> 4-КЭ </w:t>
      </w:r>
      <w:r w:rsidR="00E778C8">
        <w:rPr>
          <w:u w:val="single"/>
        </w:rPr>
        <w:t>«</w:t>
      </w:r>
      <w:r w:rsidRPr="00336B17">
        <w:rPr>
          <w:u w:val="single"/>
        </w:rPr>
        <w:t>О праве пребывающего в отставке судьи замещать по контракту должности муниципальной службы - должность руководителя администрации района в составе муниципального образования и должность главы муниципального образования; о возможности представлять администрацию в отношениях с другими л</w:t>
      </w:r>
      <w:r w:rsidR="00E778C8">
        <w:rPr>
          <w:u w:val="single"/>
        </w:rPr>
        <w:t>ицами, органами и организациями»</w:t>
      </w:r>
    </w:p>
    <w:p w:rsidR="00393A82" w:rsidRPr="006C5DCB" w:rsidRDefault="00393A82" w:rsidP="006C5DCB">
      <w:pPr>
        <w:pStyle w:val="aa"/>
        <w:ind w:firstLine="851"/>
        <w:jc w:val="both"/>
      </w:pPr>
      <w:r w:rsidRPr="006C5DCB">
        <w:t>При замещении должностей главы администрации муниципального округа, руководителя администрации района муниципального образования, от пребывающего в отставке судьи потребуется непрерывное соотнесение своих действий с соответствующими требованиями судейской этики</w:t>
      </w:r>
      <w:r w:rsidR="00766460">
        <w:t>.</w:t>
      </w:r>
    </w:p>
    <w:p w:rsidR="00393A82" w:rsidRPr="006C5DCB" w:rsidRDefault="00393A82" w:rsidP="006C5DCB">
      <w:pPr>
        <w:pStyle w:val="aa"/>
        <w:ind w:firstLine="851"/>
        <w:jc w:val="both"/>
      </w:pPr>
      <w:proofErr w:type="gramStart"/>
      <w:r w:rsidRPr="006C5DCB">
        <w:t>При замещении судьей, пребывающим в отставке, должностей, указанных в подпункте 1 пункта 3 статьи 3 Закона о статусе судей, а также при осуществлении иной деятельности, разрешенной в силу абзаца первого пункта 4 той же статьи, судья, пребывающий в отставке, не должен выполнять функции представителя органа, учреждения или организации, в которых он замещает ту или иную должность, на основании доверенности.</w:t>
      </w:r>
      <w:proofErr w:type="gramEnd"/>
    </w:p>
    <w:p w:rsidR="00393A82" w:rsidRPr="006C5DCB" w:rsidRDefault="00393A82" w:rsidP="006C5DCB">
      <w:pPr>
        <w:pStyle w:val="aa"/>
        <w:ind w:firstLine="851"/>
        <w:jc w:val="both"/>
      </w:pPr>
      <w:r w:rsidRPr="006C5DCB">
        <w:t>Законное представительство применительно к юридическим лицам имеет место в тех случаях, когда полномочия лица представлять юридическое лицо без доверенности основано на законе либо положениях учредительных документов юридического лица; полномочия законных представителей подтверждаются представленными суду документами, удостоверяющими их статус и полномочия, а не доверенностью.</w:t>
      </w:r>
    </w:p>
    <w:p w:rsidR="00393A82" w:rsidRPr="006C5DCB" w:rsidRDefault="00393A82" w:rsidP="006C5DCB">
      <w:pPr>
        <w:pStyle w:val="aa"/>
        <w:ind w:firstLine="851"/>
        <w:jc w:val="both"/>
      </w:pPr>
      <w:r w:rsidRPr="006C5DCB">
        <w:t>В любом случае с судьи не снимается личная ответственность за выбор той или иной модели своего поведения.</w:t>
      </w:r>
    </w:p>
    <w:p w:rsidR="00611813" w:rsidRDefault="00393A82" w:rsidP="006C5DCB">
      <w:pPr>
        <w:pStyle w:val="aa"/>
        <w:ind w:firstLine="851"/>
        <w:jc w:val="both"/>
      </w:pPr>
      <w:r w:rsidRPr="006C5DCB">
        <w:t xml:space="preserve">Рассматривая возможность замещения той или иной должности, выполнения работы, разрешаемой </w:t>
      </w:r>
      <w:proofErr w:type="gramStart"/>
      <w:r w:rsidRPr="006C5DCB">
        <w:t>законодательством</w:t>
      </w:r>
      <w:proofErr w:type="gramEnd"/>
      <w:r w:rsidRPr="006C5DCB">
        <w:t xml:space="preserve"> о статусе судей пребывающему в отставке судье, судья должен учитывать все особенности служебных (трудовых) функций, составляющих содержание контракта (трудового договора), и самостоятельно соотносить свои действия с требованиями федерального законодательства о статусе судей и Кодекса судейской этики.</w:t>
      </w:r>
    </w:p>
    <w:p w:rsidR="00B45E5B" w:rsidRPr="00611813" w:rsidRDefault="00611813" w:rsidP="00611813">
      <w:pPr>
        <w:pStyle w:val="aa"/>
        <w:ind w:firstLine="851"/>
        <w:jc w:val="center"/>
        <w:rPr>
          <w:u w:val="single"/>
        </w:rPr>
      </w:pPr>
      <w:r>
        <w:rPr>
          <w:u w:val="single"/>
        </w:rPr>
        <w:t>«</w:t>
      </w:r>
      <w:r w:rsidR="00B45E5B" w:rsidRPr="00611813">
        <w:rPr>
          <w:u w:val="single"/>
        </w:rPr>
        <w:t xml:space="preserve">Михаил </w:t>
      </w:r>
      <w:proofErr w:type="spellStart"/>
      <w:r w:rsidR="00B45E5B" w:rsidRPr="00611813">
        <w:rPr>
          <w:u w:val="single"/>
        </w:rPr>
        <w:t>Мишустин</w:t>
      </w:r>
      <w:proofErr w:type="spellEnd"/>
      <w:r w:rsidR="00B45E5B" w:rsidRPr="00611813">
        <w:rPr>
          <w:u w:val="single"/>
        </w:rPr>
        <w:t xml:space="preserve"> утвердил новую прогр</w:t>
      </w:r>
      <w:r>
        <w:rPr>
          <w:u w:val="single"/>
        </w:rPr>
        <w:t>амму поддержки предпринимателей»</w:t>
      </w:r>
      <w:r w:rsidR="00B45E5B" w:rsidRPr="00611813">
        <w:rPr>
          <w:u w:val="single"/>
        </w:rPr>
        <w:t xml:space="preserve"> (информация с официального сайта Правительства РФ от 01.03.2021)</w:t>
      </w:r>
    </w:p>
    <w:p w:rsidR="00B45E5B" w:rsidRPr="006C5DCB" w:rsidRDefault="00B45E5B" w:rsidP="006C5DCB">
      <w:pPr>
        <w:pStyle w:val="aa"/>
        <w:ind w:firstLine="851"/>
        <w:jc w:val="both"/>
      </w:pPr>
      <w:r w:rsidRPr="006C5DCB">
        <w:t>Утверждена новая программа поддержки предпринимателей - ФОТ 3.0</w:t>
      </w:r>
    </w:p>
    <w:p w:rsidR="00B45E5B" w:rsidRPr="006C5DCB" w:rsidRDefault="00B45E5B" w:rsidP="006C5DCB">
      <w:pPr>
        <w:pStyle w:val="aa"/>
        <w:ind w:firstLine="851"/>
        <w:jc w:val="both"/>
      </w:pPr>
      <w:r w:rsidRPr="006C5DCB">
        <w:t xml:space="preserve">В новом формате ставка кредита составит 3%. В течение первого полугодия заемщик не будет выплачивать основной долг и проценты по кредиту. Во втором полугодии это можно будет делать равными долями ежемесячно. Принять участие в новой программе смогут как небольшие, так и крупные компании из наименее восстановившихся отраслей. В их числе - гостиничный и ресторанный бизнес, сфера культуры, туризма, спорта и развлечений. Размер кредита будет зависеть от количества сотрудников, занятых в организации. Максимальная сумма - 500 </w:t>
      </w:r>
      <w:proofErr w:type="gramStart"/>
      <w:r w:rsidRPr="006C5DCB">
        <w:t>млн</w:t>
      </w:r>
      <w:proofErr w:type="gramEnd"/>
      <w:r w:rsidRPr="006C5DCB">
        <w:t xml:space="preserve"> рублей. Главное условие: заемщик должен сохранить не менее 90% рабочих мест в период действия кредитного договора.</w:t>
      </w:r>
    </w:p>
    <w:p w:rsidR="00B45E5B" w:rsidRPr="006C5DCB" w:rsidRDefault="00B45E5B" w:rsidP="006C5DCB">
      <w:pPr>
        <w:pStyle w:val="aa"/>
        <w:ind w:firstLine="851"/>
        <w:jc w:val="both"/>
      </w:pPr>
      <w:r w:rsidRPr="006C5DCB">
        <w:t xml:space="preserve">Кредит можно будет оформить с 9 марта по 1 июля 2021 года на срок до 12 месяцев. Поручителем выступит государство в лице </w:t>
      </w:r>
      <w:r w:rsidR="00611813">
        <w:t>«ВЭБ</w:t>
      </w:r>
      <w:proofErr w:type="gramStart"/>
      <w:r w:rsidR="00611813">
        <w:t>.Р</w:t>
      </w:r>
      <w:proofErr w:type="gramEnd"/>
      <w:r w:rsidR="00611813">
        <w:t>Ф»</w:t>
      </w:r>
      <w:r w:rsidRPr="006C5DCB">
        <w:t>.</w:t>
      </w:r>
    </w:p>
    <w:p w:rsidR="00820473" w:rsidRDefault="00B45E5B" w:rsidP="006C5DCB">
      <w:pPr>
        <w:pStyle w:val="aa"/>
        <w:ind w:firstLine="851"/>
        <w:jc w:val="both"/>
      </w:pPr>
      <w:r w:rsidRPr="006C5DCB">
        <w:t>Деньги, выделенные Правительством РФ, пойдут на возмещение банкам разницы между льготной процентной ставкой и рыночной, а также на погашение задолженности заемщиков за первое полугодие.</w:t>
      </w:r>
    </w:p>
    <w:p w:rsidR="003F0837" w:rsidRPr="006C5DCB" w:rsidRDefault="003F0837" w:rsidP="00820473">
      <w:pPr>
        <w:pStyle w:val="aa"/>
        <w:ind w:firstLine="851"/>
        <w:jc w:val="center"/>
      </w:pPr>
      <w:r w:rsidRPr="00820473">
        <w:rPr>
          <w:u w:val="single"/>
        </w:rPr>
        <w:lastRenderedPageBreak/>
        <w:t xml:space="preserve">Информация </w:t>
      </w:r>
      <w:proofErr w:type="spellStart"/>
      <w:r w:rsidRPr="00820473">
        <w:rPr>
          <w:u w:val="single"/>
        </w:rPr>
        <w:t>Роспотребнадзора</w:t>
      </w:r>
      <w:proofErr w:type="spellEnd"/>
      <w:r w:rsidRPr="00820473">
        <w:rPr>
          <w:u w:val="single"/>
        </w:rPr>
        <w:t xml:space="preserve"> от 05.03.2021 </w:t>
      </w:r>
      <w:r w:rsidR="00820473">
        <w:rPr>
          <w:u w:val="single"/>
        </w:rPr>
        <w:t>«</w:t>
      </w:r>
      <w:r w:rsidRPr="00820473">
        <w:rPr>
          <w:u w:val="single"/>
        </w:rPr>
        <w:t>О разрешении на применение вакцины "</w:t>
      </w:r>
      <w:proofErr w:type="spellStart"/>
      <w:r w:rsidRPr="00820473">
        <w:rPr>
          <w:u w:val="single"/>
        </w:rPr>
        <w:t>ЭпиВакКорона</w:t>
      </w:r>
      <w:proofErr w:type="spellEnd"/>
      <w:r w:rsidRPr="00820473">
        <w:rPr>
          <w:u w:val="single"/>
        </w:rPr>
        <w:t xml:space="preserve">" ГНЦ </w:t>
      </w:r>
      <w:r w:rsidR="00820473">
        <w:rPr>
          <w:u w:val="single"/>
        </w:rPr>
        <w:t>ВБ Вектор для лиц старше 60 лет»</w:t>
      </w:r>
    </w:p>
    <w:p w:rsidR="003F0837" w:rsidRPr="006C5DCB" w:rsidRDefault="003F0837" w:rsidP="006C5DCB">
      <w:pPr>
        <w:pStyle w:val="aa"/>
        <w:ind w:firstLine="851"/>
        <w:jc w:val="both"/>
      </w:pPr>
      <w:r w:rsidRPr="006C5DCB">
        <w:t xml:space="preserve">Вакцина </w:t>
      </w:r>
      <w:r w:rsidR="00820473">
        <w:t>«</w:t>
      </w:r>
      <w:proofErr w:type="spellStart"/>
      <w:r w:rsidRPr="006C5DCB">
        <w:t>ЭпиВакКорона</w:t>
      </w:r>
      <w:proofErr w:type="spellEnd"/>
      <w:r w:rsidR="00820473">
        <w:t>»</w:t>
      </w:r>
      <w:r w:rsidRPr="006C5DCB">
        <w:t xml:space="preserve"> получила разрешение на применение среди лиц старше 60 лет</w:t>
      </w:r>
      <w:r w:rsidR="00820473">
        <w:t>.</w:t>
      </w:r>
    </w:p>
    <w:p w:rsidR="003F0837" w:rsidRPr="006C5DCB" w:rsidRDefault="003F0837" w:rsidP="006C5DCB">
      <w:pPr>
        <w:pStyle w:val="aa"/>
        <w:ind w:firstLine="851"/>
        <w:jc w:val="both"/>
      </w:pPr>
      <w:r w:rsidRPr="006C5DCB">
        <w:t xml:space="preserve">На основании результатов проведенных экспертиз Минздравом России принято решение о внесении изменений в регистрационное досье вакцины на основе пептидных антигенов </w:t>
      </w:r>
      <w:r w:rsidR="00820473">
        <w:t>«</w:t>
      </w:r>
      <w:proofErr w:type="spellStart"/>
      <w:r w:rsidRPr="006C5DCB">
        <w:t>ЭпиВакКорона</w:t>
      </w:r>
      <w:proofErr w:type="spellEnd"/>
      <w:r w:rsidR="00820473">
        <w:t>»</w:t>
      </w:r>
      <w:r w:rsidRPr="006C5DCB">
        <w:t xml:space="preserve">. В новой редакции инструкции по медицинскому применению лекарственного препарата отмечено, что он показан для профилактики новой </w:t>
      </w:r>
      <w:proofErr w:type="spellStart"/>
      <w:r w:rsidRPr="006C5DCB">
        <w:t>коронавирусной</w:t>
      </w:r>
      <w:proofErr w:type="spellEnd"/>
      <w:r w:rsidRPr="006C5DCB">
        <w:t xml:space="preserve"> инфекции (COVID-19) у взрослых старше 18 лет (в старой редакции - у взрослых 18 - 60 лет).</w:t>
      </w:r>
    </w:p>
    <w:p w:rsidR="000F4B22" w:rsidRPr="006C5DCB" w:rsidRDefault="000F4B22" w:rsidP="00265CF7">
      <w:pPr>
        <w:pStyle w:val="aa"/>
        <w:ind w:firstLine="851"/>
        <w:jc w:val="center"/>
      </w:pPr>
      <w:r w:rsidRPr="00820473">
        <w:rPr>
          <w:u w:val="single"/>
        </w:rPr>
        <w:t xml:space="preserve">Информация ФНС России </w:t>
      </w:r>
      <w:r w:rsidR="00265CF7">
        <w:rPr>
          <w:u w:val="single"/>
        </w:rPr>
        <w:t>«</w:t>
      </w:r>
      <w:r w:rsidRPr="00820473">
        <w:rPr>
          <w:u w:val="single"/>
        </w:rPr>
        <w:t xml:space="preserve">Налоговая политика и практика: об основных изменениях по налогу </w:t>
      </w:r>
      <w:r w:rsidR="00265CF7">
        <w:rPr>
          <w:u w:val="single"/>
        </w:rPr>
        <w:t>на имущество физлиц с 2021 года»</w:t>
      </w:r>
    </w:p>
    <w:p w:rsidR="000F4B22" w:rsidRPr="006C5DCB" w:rsidRDefault="000F4B22" w:rsidP="006C5DCB">
      <w:pPr>
        <w:pStyle w:val="aa"/>
        <w:ind w:firstLine="851"/>
        <w:jc w:val="both"/>
      </w:pPr>
      <w:r w:rsidRPr="006C5DCB">
        <w:t>Налог на имущество физлиц с 2021: что нового?</w:t>
      </w:r>
    </w:p>
    <w:p w:rsidR="000F4B22" w:rsidRPr="006C5DCB" w:rsidRDefault="000F4B22" w:rsidP="006C5DCB">
      <w:pPr>
        <w:pStyle w:val="aa"/>
        <w:ind w:firstLine="851"/>
        <w:jc w:val="both"/>
      </w:pPr>
      <w:r w:rsidRPr="006C5DCB">
        <w:t>Итак, сообщается, что:</w:t>
      </w:r>
    </w:p>
    <w:p w:rsidR="000F4B22" w:rsidRPr="006C5DCB" w:rsidRDefault="000F4B22" w:rsidP="006C5DCB">
      <w:pPr>
        <w:pStyle w:val="aa"/>
        <w:ind w:firstLine="851"/>
        <w:jc w:val="both"/>
      </w:pPr>
      <w:r w:rsidRPr="006C5DCB">
        <w:t>с этого года во всех регионах России налог на имущество физлиц исчисляется с кадастровой стоимости (завершился переход от применения инвентаризационной стоимости к кадастровой стоимости объектов в качестве налоговой базы по налогу на имущество);</w:t>
      </w:r>
    </w:p>
    <w:p w:rsidR="000F4B22" w:rsidRPr="006C5DCB" w:rsidRDefault="000F4B22" w:rsidP="006C5DCB">
      <w:pPr>
        <w:pStyle w:val="aa"/>
        <w:ind w:firstLine="851"/>
        <w:jc w:val="both"/>
      </w:pPr>
      <w:r w:rsidRPr="006C5DCB">
        <w:t xml:space="preserve">установлен понижающий коэффициент, применяемый при расчете налога начиная с 2020 года. Так, для объекта, образованного начиная с четвертого года применения в регионе кадастровой стоимости, сумма налога подлежит уплате с учетом коэффициента 0,6 применительно к первому налоговому периоду. Правило не применяется при исчислении налога для объектов, включенных в перечень, определяемый в соответствии с п. 7 ст. 378.2 НК РФ, а также предусмотренных </w:t>
      </w:r>
      <w:proofErr w:type="spellStart"/>
      <w:r w:rsidRPr="006C5DCB">
        <w:t>абз</w:t>
      </w:r>
      <w:proofErr w:type="spellEnd"/>
      <w:r w:rsidRPr="006C5DCB">
        <w:t xml:space="preserve">. 2 п. 10 ст. 378.2 НК РФ (исключение - гаражи и </w:t>
      </w:r>
      <w:proofErr w:type="spellStart"/>
      <w:r w:rsidRPr="006C5DCB">
        <w:t>машино</w:t>
      </w:r>
      <w:proofErr w:type="spellEnd"/>
      <w:r w:rsidRPr="006C5DCB">
        <w:t>-места, расположенные в таких объектах налогообложения);</w:t>
      </w:r>
    </w:p>
    <w:p w:rsidR="000F4B22" w:rsidRPr="006C5DCB" w:rsidRDefault="000F4B22" w:rsidP="006C5DCB">
      <w:pPr>
        <w:pStyle w:val="aa"/>
        <w:ind w:firstLine="851"/>
        <w:jc w:val="both"/>
      </w:pPr>
      <w:r w:rsidRPr="006C5DCB">
        <w:t>при наличии льготы по налогу пересчет сумм осуществляется с налогового периода, в котором возникло право на нее (ранее перерасчет суммы налога производился максимум за три налоговых периода);</w:t>
      </w:r>
    </w:p>
    <w:p w:rsidR="006A36C4" w:rsidRDefault="000F4B22" w:rsidP="006C5DCB">
      <w:pPr>
        <w:pStyle w:val="aa"/>
        <w:ind w:firstLine="851"/>
        <w:jc w:val="both"/>
      </w:pPr>
      <w:r w:rsidRPr="006C5DCB">
        <w:t>установлена процедура рассмотрения заявления о гибели или уничтожении объекта налогообложения, по результатам которой налогоплательщику направляется уведомление о прекращении исчисления налога.</w:t>
      </w:r>
    </w:p>
    <w:p w:rsidR="00265CF7" w:rsidRPr="006C5DCB" w:rsidRDefault="00F20CB8" w:rsidP="00265CF7">
      <w:pPr>
        <w:pStyle w:val="aa"/>
        <w:ind w:firstLine="851"/>
        <w:jc w:val="center"/>
      </w:pPr>
      <w:r w:rsidRPr="00265CF7">
        <w:rPr>
          <w:u w:val="single"/>
        </w:rPr>
        <w:t>Продление выплат на детей до 3 лет возвращается к привычному порядку с 1 марта</w:t>
      </w:r>
    </w:p>
    <w:p w:rsidR="00F20CB8" w:rsidRPr="006C5DCB" w:rsidRDefault="00F20CB8" w:rsidP="006C5DCB">
      <w:pPr>
        <w:pStyle w:val="aa"/>
        <w:ind w:firstLine="851"/>
        <w:jc w:val="both"/>
      </w:pPr>
      <w:r w:rsidRPr="006C5DCB">
        <w:t xml:space="preserve">Правила предоставления и условия выплат на детей до 3 лет не меняются. Прекращает действие порядок продления, принятый на время пандемии.  До 1 марта продление выплат осуществлялось без заявления со стороны семьи. Этот </w:t>
      </w:r>
      <w:proofErr w:type="spellStart"/>
      <w:r w:rsidRPr="006C5DCB">
        <w:t>беззаявительный</w:t>
      </w:r>
      <w:proofErr w:type="spellEnd"/>
      <w:r w:rsidRPr="006C5DCB">
        <w:t xml:space="preserve"> порядок продления прекращает действовать с 1 марта текущего года. Отметим, что назначение пособий на детей до 3 </w:t>
      </w:r>
      <w:proofErr w:type="gramStart"/>
      <w:r w:rsidRPr="006C5DCB">
        <w:t>лет</w:t>
      </w:r>
      <w:proofErr w:type="gramEnd"/>
      <w:r w:rsidRPr="006C5DCB">
        <w:t xml:space="preserve"> как во время пандемии, так и до нее осуществлялось по заявлению семьи.</w:t>
      </w:r>
      <w:r w:rsidR="00773378" w:rsidRPr="006C5DCB">
        <w:t xml:space="preserve"> </w:t>
      </w:r>
    </w:p>
    <w:p w:rsidR="00F20CB8" w:rsidRPr="006C5DCB" w:rsidRDefault="00F20CB8" w:rsidP="006C5DCB">
      <w:pPr>
        <w:pStyle w:val="aa"/>
        <w:ind w:firstLine="851"/>
        <w:jc w:val="both"/>
      </w:pPr>
      <w:r w:rsidRPr="006C5DCB">
        <w:t>Как и прежде, до начала пандемии, после 1 марта для продления выплаты гражданам необходимо обратиться с пакетом документов в орган социальной защиты или многофункциональный центр предоставления государственных и муниципальных услуг (МФЦ).</w:t>
      </w:r>
    </w:p>
    <w:p w:rsidR="00F20CB8" w:rsidRPr="006C5DCB" w:rsidRDefault="00F20CB8" w:rsidP="006C5DCB">
      <w:pPr>
        <w:pStyle w:val="aa"/>
        <w:ind w:firstLine="851"/>
        <w:jc w:val="both"/>
      </w:pPr>
      <w:r w:rsidRPr="006C5DCB">
        <w:t>Новое назначение и продление срока выплаты будут производиться с момента обращения в уполномоченные органы.</w:t>
      </w:r>
    </w:p>
    <w:p w:rsidR="00F20CB8" w:rsidRPr="006C5DCB" w:rsidRDefault="00F20CB8" w:rsidP="006C5DCB">
      <w:pPr>
        <w:pStyle w:val="aa"/>
        <w:ind w:firstLine="851"/>
        <w:jc w:val="both"/>
      </w:pPr>
      <w:r w:rsidRPr="006C5DCB">
        <w:t>Напомним, выплаты в размере прожиточного минимума на ребенка предоставляются семьям со среднедушевым доходом ниже 2 прожиточных минимумов на человека из средств федерального бюджета на первого ребенка, из средств материнского капитала - на второго ребенка. В 78 регионах действуют выплаты на третьего и/или последующих детей.</w:t>
      </w:r>
    </w:p>
    <w:p w:rsidR="00F20CB8" w:rsidRPr="006C5DCB" w:rsidRDefault="00F20CB8" w:rsidP="006C5DCB">
      <w:pPr>
        <w:pStyle w:val="aa"/>
        <w:ind w:firstLine="851"/>
        <w:jc w:val="both"/>
      </w:pPr>
    </w:p>
    <w:p w:rsidR="00F20CB8" w:rsidRPr="006C5DCB" w:rsidRDefault="00F20CB8" w:rsidP="006C5DCB">
      <w:pPr>
        <w:pStyle w:val="aa"/>
        <w:ind w:firstLine="851"/>
        <w:jc w:val="both"/>
      </w:pPr>
      <w:r w:rsidRPr="006C5DCB">
        <w:lastRenderedPageBreak/>
        <w:t xml:space="preserve">Подавать заявление на продление выплат необходимо по достижении ребенком возраста одного года или двух лет. Данная мера социальной поддержки реализуется в рамках </w:t>
      </w:r>
      <w:proofErr w:type="spellStart"/>
      <w:r w:rsidRPr="006C5DCB">
        <w:t>федпроекта</w:t>
      </w:r>
      <w:proofErr w:type="spellEnd"/>
      <w:r w:rsidRPr="006C5DCB">
        <w:t xml:space="preserve"> </w:t>
      </w:r>
      <w:r w:rsidR="00773378">
        <w:t>«</w:t>
      </w:r>
      <w:r w:rsidRPr="006C5DCB">
        <w:t>Финансовая под</w:t>
      </w:r>
      <w:r w:rsidR="00773378">
        <w:t>держка семей при рождении детей»</w:t>
      </w:r>
      <w:r w:rsidRPr="006C5DCB">
        <w:t xml:space="preserve"> национального проекта </w:t>
      </w:r>
      <w:r w:rsidR="005B7F16">
        <w:t>«</w:t>
      </w:r>
      <w:r w:rsidRPr="006C5DCB">
        <w:t>Демография</w:t>
      </w:r>
      <w:r w:rsidR="005B7F16">
        <w:t>»</w:t>
      </w:r>
      <w:r w:rsidRPr="006C5DCB">
        <w:t>.</w:t>
      </w:r>
    </w:p>
    <w:p w:rsidR="00F20CB8" w:rsidRPr="006C5DCB" w:rsidRDefault="00F20CB8" w:rsidP="006C5DCB">
      <w:pPr>
        <w:pStyle w:val="aa"/>
        <w:ind w:firstLine="851"/>
        <w:jc w:val="both"/>
      </w:pPr>
      <w:proofErr w:type="spellStart"/>
      <w:r w:rsidRPr="006C5DCB">
        <w:t>Источник:https</w:t>
      </w:r>
      <w:proofErr w:type="spellEnd"/>
      <w:r w:rsidRPr="006C5DCB">
        <w:t>://mintrud.gov.ru/</w:t>
      </w:r>
      <w:r w:rsidR="0083122B">
        <w:t>.</w:t>
      </w:r>
    </w:p>
    <w:p w:rsidR="00F20CB8" w:rsidRPr="006C5DCB" w:rsidRDefault="00F20CB8" w:rsidP="006C5DCB">
      <w:pPr>
        <w:pStyle w:val="aa"/>
        <w:ind w:firstLine="851"/>
        <w:jc w:val="both"/>
      </w:pPr>
      <w:r w:rsidRPr="006C5DCB">
        <w:t>Дата вступления в силу - 01.03.2021</w:t>
      </w:r>
      <w:r w:rsidR="0083122B">
        <w:t>.</w:t>
      </w:r>
    </w:p>
    <w:p w:rsidR="00D025D0" w:rsidRPr="0083122B" w:rsidRDefault="00D025D0" w:rsidP="0083122B">
      <w:pPr>
        <w:pStyle w:val="aa"/>
        <w:ind w:firstLine="851"/>
        <w:jc w:val="center"/>
        <w:rPr>
          <w:u w:val="single"/>
        </w:rPr>
      </w:pPr>
      <w:r w:rsidRPr="0083122B">
        <w:rPr>
          <w:u w:val="single"/>
        </w:rPr>
        <w:t>Правительство упростило порядок оформления выплат по уходу за инвалидами и престарелыми гражданами</w:t>
      </w:r>
    </w:p>
    <w:p w:rsidR="00D025D0" w:rsidRPr="006C5DCB" w:rsidRDefault="00D025D0" w:rsidP="00021A21">
      <w:pPr>
        <w:pStyle w:val="aa"/>
        <w:ind w:firstLine="709"/>
        <w:jc w:val="both"/>
      </w:pPr>
      <w:r w:rsidRPr="006C5DCB">
        <w:t xml:space="preserve">Гражданам, которые ухаживают за инвалидами и пожилыми людьми, станет проще оформить компенсационные выплаты. Постановление об этом подписал Председатель Правительства Михаил </w:t>
      </w:r>
      <w:proofErr w:type="spellStart"/>
      <w:r w:rsidRPr="006C5DCB">
        <w:t>Мишустин</w:t>
      </w:r>
      <w:proofErr w:type="spellEnd"/>
      <w:r w:rsidRPr="006C5DCB">
        <w:t>.</w:t>
      </w:r>
    </w:p>
    <w:p w:rsidR="00D025D0" w:rsidRPr="006C5DCB" w:rsidRDefault="00D025D0" w:rsidP="006C5DCB">
      <w:pPr>
        <w:pStyle w:val="aa"/>
        <w:ind w:firstLine="851"/>
        <w:jc w:val="both"/>
      </w:pPr>
      <w:r w:rsidRPr="006C5DCB">
        <w:t>Теперь при обращении за такими выплатами людям больше не придётся подтверждать, что они не работают и при этом не получают пособие по безработице или пенсию. Также им больше не нужно собирать справки о смене места жительства подопечного. Все эти сведения территориальные органы Пенсионного фонда будут получать с помощью федеральных информационных систем.</w:t>
      </w:r>
    </w:p>
    <w:p w:rsidR="00D025D0" w:rsidRPr="006C5DCB" w:rsidRDefault="00D025D0" w:rsidP="006C5DCB">
      <w:pPr>
        <w:pStyle w:val="aa"/>
        <w:ind w:firstLine="851"/>
        <w:jc w:val="both"/>
      </w:pPr>
      <w:proofErr w:type="gramStart"/>
      <w:r w:rsidRPr="006C5DCB">
        <w:t>Ежемесячные компенсационные выплаты полагаются неработающим гражданам, которые ухаживают за инвалидами I группы, а также за престарелыми людьми, которым требуется постоянная помощь или которым исполнилось 80 лет.</w:t>
      </w:r>
      <w:proofErr w:type="gramEnd"/>
      <w:r w:rsidRPr="006C5DCB">
        <w:t xml:space="preserve"> Выплаты могут получать как члены семьи, так и приглашённые помощники. При этом период ухода учитывается в страховом стаже и влияет на размер страховой пенсии.</w:t>
      </w:r>
    </w:p>
    <w:p w:rsidR="00464276" w:rsidRPr="006C5DCB" w:rsidRDefault="00D025D0" w:rsidP="006C5DCB">
      <w:pPr>
        <w:pStyle w:val="aa"/>
        <w:ind w:firstLine="851"/>
        <w:jc w:val="both"/>
      </w:pPr>
      <w:r w:rsidRPr="006C5DCB">
        <w:t>Дата вступления в силу - 10.03.2021</w:t>
      </w:r>
      <w:r w:rsidR="00021A21">
        <w:t>.</w:t>
      </w:r>
    </w:p>
    <w:p w:rsidR="00F26B30" w:rsidRPr="00021A21" w:rsidRDefault="00F26B30" w:rsidP="00021A21">
      <w:pPr>
        <w:pStyle w:val="aa"/>
        <w:ind w:firstLine="851"/>
        <w:jc w:val="center"/>
        <w:rPr>
          <w:u w:val="single"/>
        </w:rPr>
      </w:pPr>
      <w:proofErr w:type="gramStart"/>
      <w:r w:rsidRPr="00021A21">
        <w:rPr>
          <w:u w:val="single"/>
        </w:rPr>
        <w:t xml:space="preserve">Михаил </w:t>
      </w:r>
      <w:proofErr w:type="spellStart"/>
      <w:r w:rsidRPr="00021A21">
        <w:rPr>
          <w:u w:val="single"/>
        </w:rPr>
        <w:t>Мишустин</w:t>
      </w:r>
      <w:proofErr w:type="spellEnd"/>
      <w:r w:rsidRPr="00021A21">
        <w:rPr>
          <w:u w:val="single"/>
        </w:rPr>
        <w:t xml:space="preserve"> расширил перечень </w:t>
      </w:r>
      <w:proofErr w:type="spellStart"/>
      <w:r w:rsidRPr="00021A21">
        <w:rPr>
          <w:u w:val="single"/>
        </w:rPr>
        <w:t>госуслуг</w:t>
      </w:r>
      <w:proofErr w:type="spellEnd"/>
      <w:r w:rsidRPr="00021A21">
        <w:rPr>
          <w:u w:val="single"/>
        </w:rPr>
        <w:t>, которые можно получить без привязки к прописке</w:t>
      </w:r>
      <w:proofErr w:type="gramEnd"/>
    </w:p>
    <w:p w:rsidR="00F26B30" w:rsidRPr="006C5DCB" w:rsidRDefault="00F26B30" w:rsidP="006C5DCB">
      <w:pPr>
        <w:pStyle w:val="aa"/>
        <w:ind w:firstLine="851"/>
        <w:jc w:val="both"/>
      </w:pPr>
      <w:proofErr w:type="gramStart"/>
      <w:r w:rsidRPr="006C5DCB">
        <w:t xml:space="preserve">Перечень </w:t>
      </w:r>
      <w:proofErr w:type="spellStart"/>
      <w:r w:rsidRPr="006C5DCB">
        <w:t>госуслуг</w:t>
      </w:r>
      <w:proofErr w:type="spellEnd"/>
      <w:r w:rsidRPr="006C5DCB">
        <w:t>, оказываемых по экстерриториальному принципу, расширен ещё на шесть позиций.</w:t>
      </w:r>
      <w:proofErr w:type="gramEnd"/>
    </w:p>
    <w:p w:rsidR="00F26B30" w:rsidRPr="006C5DCB" w:rsidRDefault="00F26B30" w:rsidP="006C5DCB">
      <w:pPr>
        <w:pStyle w:val="aa"/>
        <w:ind w:firstLine="851"/>
        <w:jc w:val="both"/>
      </w:pPr>
      <w:r w:rsidRPr="006C5DCB">
        <w:t>Принцип экстерриториальности означает, что за услугой можно обратиться в любой МФЦ или в ближайшее подразделение профильного госоргана, при этом неважно, где человек зарегистрирован или проживает. Аналогичная возможность (получение услуг по месту нахождения) есть и у юридических лиц.</w:t>
      </w:r>
    </w:p>
    <w:p w:rsidR="00F26B30" w:rsidRPr="006C5DCB" w:rsidRDefault="00F26B30" w:rsidP="006C5DCB">
      <w:pPr>
        <w:pStyle w:val="aa"/>
        <w:ind w:firstLine="851"/>
        <w:jc w:val="both"/>
      </w:pPr>
      <w:r w:rsidRPr="006C5DCB">
        <w:t>Благодаря новому распоряжению граждане независимо от того, где прописаны, смогут обращаться за справками об инвалидности и выписками из государственной информационной системы социального обеспечения (ЕГИССО). Также у них теперь будет возможность обратиться в Пенсионный фонд для корректировки сведений на лицевом счёте и подать заявление на парковку в специальных местах для водителей-инвалидов.</w:t>
      </w:r>
    </w:p>
    <w:p w:rsidR="00F26B30" w:rsidRPr="006C5DCB" w:rsidRDefault="00F26B30" w:rsidP="006C5DCB">
      <w:pPr>
        <w:pStyle w:val="aa"/>
        <w:ind w:firstLine="851"/>
        <w:jc w:val="both"/>
      </w:pPr>
      <w:r w:rsidRPr="006C5DCB">
        <w:t xml:space="preserve">Юридические лица могут запрашивать у территориальных управлений </w:t>
      </w:r>
      <w:proofErr w:type="spellStart"/>
      <w:r w:rsidRPr="006C5DCB">
        <w:t>Ростехнадзора</w:t>
      </w:r>
      <w:proofErr w:type="spellEnd"/>
      <w:r w:rsidRPr="006C5DCB">
        <w:t xml:space="preserve"> аттестацию по вопросам промышленной безопасности, а также обращаться в подразделения </w:t>
      </w:r>
      <w:proofErr w:type="spellStart"/>
      <w:r w:rsidRPr="006C5DCB">
        <w:t>Ространснадзора</w:t>
      </w:r>
      <w:proofErr w:type="spellEnd"/>
      <w:r w:rsidRPr="006C5DCB">
        <w:t xml:space="preserve"> за разрешениями на международную перевозку опасных грузов.</w:t>
      </w:r>
    </w:p>
    <w:p w:rsidR="00F26B30" w:rsidRPr="006C5DCB" w:rsidRDefault="00F26B30" w:rsidP="006C5DCB">
      <w:pPr>
        <w:pStyle w:val="aa"/>
        <w:ind w:firstLine="851"/>
        <w:jc w:val="both"/>
      </w:pPr>
      <w:r w:rsidRPr="006C5DCB">
        <w:t>С учётом подписанного распоряжения число услуг, предоставляемых в России по экстерритор</w:t>
      </w:r>
      <w:r w:rsidR="00EA4B7E">
        <w:t>иальному принципу, достигнет 80</w:t>
      </w:r>
    </w:p>
    <w:p w:rsidR="00F26B30" w:rsidRPr="006C5DCB" w:rsidRDefault="00F26B30" w:rsidP="006C5DCB">
      <w:pPr>
        <w:pStyle w:val="aa"/>
        <w:ind w:firstLine="851"/>
        <w:jc w:val="both"/>
      </w:pPr>
      <w:r w:rsidRPr="006C5DCB">
        <w:t xml:space="preserve">Расширение перечня сделает взаимодействие граждан с органами власти ещё более комфортным, позволит сэкономить время при получении </w:t>
      </w:r>
      <w:proofErr w:type="spellStart"/>
      <w:r w:rsidRPr="006C5DCB">
        <w:t>госуслуг</w:t>
      </w:r>
      <w:proofErr w:type="spellEnd"/>
      <w:r w:rsidRPr="006C5DCB">
        <w:t xml:space="preserve"> и снизит издержки бизнеса.</w:t>
      </w:r>
    </w:p>
    <w:p w:rsidR="00886B2E" w:rsidRDefault="00F26B30" w:rsidP="00886B2E">
      <w:pPr>
        <w:pStyle w:val="aa"/>
        <w:ind w:firstLine="851"/>
        <w:jc w:val="both"/>
        <w:rPr>
          <w:u w:val="single"/>
        </w:rPr>
      </w:pPr>
      <w:proofErr w:type="spellStart"/>
      <w:r w:rsidRPr="006C5DCB">
        <w:t>Источник:</w:t>
      </w:r>
      <w:hyperlink r:id="rId7" w:history="1">
        <w:r w:rsidR="006859C7" w:rsidRPr="006C5DCB">
          <w:rPr>
            <w:rStyle w:val="af5"/>
          </w:rPr>
          <w:t>http</w:t>
        </w:r>
        <w:proofErr w:type="spellEnd"/>
        <w:r w:rsidR="006859C7" w:rsidRPr="006C5DCB">
          <w:rPr>
            <w:rStyle w:val="af5"/>
          </w:rPr>
          <w:t>://government.ru/</w:t>
        </w:r>
      </w:hyperlink>
    </w:p>
    <w:p w:rsidR="00353959" w:rsidRPr="006C5DCB" w:rsidRDefault="00E5103C" w:rsidP="00353959">
      <w:pPr>
        <w:pStyle w:val="aa"/>
        <w:ind w:firstLine="851"/>
        <w:jc w:val="center"/>
      </w:pPr>
      <w:r w:rsidRPr="00353959">
        <w:rPr>
          <w:u w:val="single"/>
        </w:rPr>
        <w:t xml:space="preserve">Правительство упростило банкам доступ к программе </w:t>
      </w:r>
      <w:r w:rsidR="00353959">
        <w:rPr>
          <w:u w:val="single"/>
        </w:rPr>
        <w:t>«</w:t>
      </w:r>
      <w:r w:rsidRPr="00353959">
        <w:rPr>
          <w:u w:val="single"/>
        </w:rPr>
        <w:t>Семейная ипотека</w:t>
      </w:r>
      <w:r w:rsidR="00353959">
        <w:rPr>
          <w:u w:val="single"/>
        </w:rPr>
        <w:t>»</w:t>
      </w:r>
    </w:p>
    <w:p w:rsidR="00A70BB8" w:rsidRPr="006C5DCB" w:rsidRDefault="00E5103C" w:rsidP="006C5DCB">
      <w:pPr>
        <w:pStyle w:val="aa"/>
        <w:ind w:firstLine="851"/>
        <w:jc w:val="both"/>
      </w:pPr>
      <w:r w:rsidRPr="006C5DCB">
        <w:t xml:space="preserve">Ещё больше российских банков смогут выдавать льготные кредиты гражданам, которые собираются приобрести жильё с помощью программы </w:t>
      </w:r>
      <w:r w:rsidR="00353959">
        <w:t>«</w:t>
      </w:r>
      <w:r w:rsidRPr="006C5DCB">
        <w:t>Семейная ипотека</w:t>
      </w:r>
      <w:r w:rsidR="00353959">
        <w:t>»</w:t>
      </w:r>
      <w:r w:rsidRPr="006C5DCB">
        <w:t xml:space="preserve">. Постановление об этом подписал Председатель Правительства Михаил </w:t>
      </w:r>
      <w:proofErr w:type="spellStart"/>
      <w:r w:rsidRPr="006C5DCB">
        <w:t>Мишустин</w:t>
      </w:r>
      <w:proofErr w:type="spellEnd"/>
      <w:r w:rsidRPr="006C5DCB">
        <w:t>.</w:t>
      </w:r>
    </w:p>
    <w:p w:rsidR="00E5103C" w:rsidRPr="006C5DCB" w:rsidRDefault="00E5103C" w:rsidP="006C5DCB">
      <w:pPr>
        <w:pStyle w:val="aa"/>
        <w:ind w:firstLine="851"/>
        <w:jc w:val="both"/>
      </w:pPr>
      <w:r w:rsidRPr="006C5DCB">
        <w:t xml:space="preserve">Ранее участниками программы могли стать только кредитные организации, которые успели подать заявки до распределения бюджетных средств, выделенных на </w:t>
      </w:r>
      <w:r w:rsidRPr="006C5DCB">
        <w:lastRenderedPageBreak/>
        <w:t>реализацию программы. Перераспределение финансирования также проходило внутри круга первоначальных участников.</w:t>
      </w:r>
    </w:p>
    <w:p w:rsidR="00E5103C" w:rsidRPr="006C5DCB" w:rsidRDefault="00E5103C" w:rsidP="006C5DCB">
      <w:pPr>
        <w:pStyle w:val="aa"/>
        <w:ind w:firstLine="851"/>
        <w:jc w:val="both"/>
      </w:pPr>
      <w:r w:rsidRPr="006C5DCB">
        <w:t xml:space="preserve">Постановление, которое подписал Михаил </w:t>
      </w:r>
      <w:proofErr w:type="spellStart"/>
      <w:r w:rsidRPr="006C5DCB">
        <w:t>Мишустин</w:t>
      </w:r>
      <w:proofErr w:type="spellEnd"/>
      <w:r w:rsidRPr="006C5DCB">
        <w:t xml:space="preserve">, это ограничение отменяет. Теперь при перераспределении бюджета заявки на участие в программе смогут подавать новые кредиторы. Кроме того, функции оператора программы переданы от Минфина акционерному обществу </w:t>
      </w:r>
      <w:r w:rsidR="008A3095">
        <w:t>«</w:t>
      </w:r>
      <w:r w:rsidRPr="006C5DCB">
        <w:t>ДОМ</w:t>
      </w:r>
      <w:proofErr w:type="gramStart"/>
      <w:r w:rsidRPr="006C5DCB">
        <w:t>.Р</w:t>
      </w:r>
      <w:proofErr w:type="gramEnd"/>
      <w:r w:rsidRPr="006C5DCB">
        <w:t>Ф</w:t>
      </w:r>
      <w:r w:rsidR="008A3095">
        <w:t>»</w:t>
      </w:r>
      <w:r w:rsidRPr="006C5DCB">
        <w:t xml:space="preserve"> как единому институту развития в жилищной сфере. На его официальном сайте будет публиковаться информация о предстоящем перераспределении сре</w:t>
      </w:r>
      <w:proofErr w:type="gramStart"/>
      <w:r w:rsidRPr="006C5DCB">
        <w:t>дств в р</w:t>
      </w:r>
      <w:proofErr w:type="gramEnd"/>
      <w:r w:rsidRPr="006C5DCB">
        <w:t>амках программы и о начале приёма заявок от новых банков.</w:t>
      </w:r>
    </w:p>
    <w:p w:rsidR="00E5103C" w:rsidRPr="006C5DCB" w:rsidRDefault="008A3095" w:rsidP="006C5DCB">
      <w:pPr>
        <w:pStyle w:val="aa"/>
        <w:ind w:firstLine="851"/>
        <w:jc w:val="both"/>
      </w:pPr>
      <w:r>
        <w:t>«</w:t>
      </w:r>
      <w:r w:rsidR="00E5103C" w:rsidRPr="006C5DCB">
        <w:t>Семейная ипотека</w:t>
      </w:r>
      <w:r>
        <w:t>»</w:t>
      </w:r>
      <w:r w:rsidR="00E5103C" w:rsidRPr="006C5DCB">
        <w:t xml:space="preserve"> появилась в 2018 году. Программу запустили по поручению Президента Владимира Путина. По условиям программы заёмщикам гарантируется ставка по кредиту на покупку дома или квартиры не более 6%.</w:t>
      </w:r>
    </w:p>
    <w:p w:rsidR="00E5103C" w:rsidRPr="006C5DCB" w:rsidRDefault="00E5103C" w:rsidP="006C5DCB">
      <w:pPr>
        <w:pStyle w:val="aa"/>
        <w:ind w:firstLine="851"/>
        <w:jc w:val="both"/>
      </w:pPr>
      <w:r w:rsidRPr="006C5DCB">
        <w:t>Получить льготную ипотеку могут семьи, в которых с 1 января 2018 года родился второй или последующий ребёнок. Кредиты по программе также доступны семьям с одним ребёнком, если у него есть инвалидность.</w:t>
      </w:r>
    </w:p>
    <w:p w:rsidR="00E5103C" w:rsidRPr="006C5DCB" w:rsidRDefault="00E5103C" w:rsidP="006C5DCB">
      <w:pPr>
        <w:pStyle w:val="aa"/>
        <w:ind w:firstLine="851"/>
        <w:jc w:val="both"/>
      </w:pPr>
      <w:r w:rsidRPr="006C5DCB">
        <w:t xml:space="preserve">Первоначальный взнос составляет от 15% стоимости жилья. Максимальная сумма кредита зависит от региона. Так, для Москвы, Санкт-Петербурга, Московской и Ленинградской областей она составляет 12 </w:t>
      </w:r>
      <w:proofErr w:type="gramStart"/>
      <w:r w:rsidRPr="006C5DCB">
        <w:t>млн</w:t>
      </w:r>
      <w:proofErr w:type="gramEnd"/>
      <w:r w:rsidRPr="006C5DCB">
        <w:t xml:space="preserve"> рублей, для других территорий - 6 млн рублей. Разницу между льготной и рыночной ипотечной ставкой банкам возмещает государство.</w:t>
      </w:r>
    </w:p>
    <w:p w:rsidR="00E5103C" w:rsidRPr="006C5DCB" w:rsidRDefault="00E5103C" w:rsidP="006C5DCB">
      <w:pPr>
        <w:pStyle w:val="aa"/>
        <w:ind w:firstLine="851"/>
        <w:jc w:val="both"/>
      </w:pPr>
      <w:proofErr w:type="spellStart"/>
      <w:r w:rsidRPr="006C5DCB">
        <w:t>Источник:http</w:t>
      </w:r>
      <w:proofErr w:type="spellEnd"/>
      <w:r w:rsidRPr="006C5DCB">
        <w:t>://government.ru/</w:t>
      </w:r>
      <w:r w:rsidR="008A3095">
        <w:t>.</w:t>
      </w:r>
    </w:p>
    <w:p w:rsidR="001D5A7D" w:rsidRPr="006C5DCB" w:rsidRDefault="00E5103C" w:rsidP="006C5DCB">
      <w:pPr>
        <w:pStyle w:val="aa"/>
        <w:ind w:firstLine="851"/>
        <w:jc w:val="both"/>
      </w:pPr>
      <w:r w:rsidRPr="006C5DCB">
        <w:t>Дата вступления в силу - 01.03.2021</w:t>
      </w:r>
      <w:r w:rsidR="008A3095">
        <w:t>.</w:t>
      </w:r>
    </w:p>
    <w:p w:rsidR="0047472B" w:rsidRPr="008A3095" w:rsidRDefault="0047472B" w:rsidP="008A3095">
      <w:pPr>
        <w:pStyle w:val="aa"/>
        <w:ind w:firstLine="851"/>
        <w:jc w:val="center"/>
        <w:rPr>
          <w:u w:val="single"/>
        </w:rPr>
      </w:pPr>
      <w:r w:rsidRPr="008A3095">
        <w:rPr>
          <w:u w:val="single"/>
        </w:rPr>
        <w:t xml:space="preserve">Верховный Суд РФ дополнил разъяснения по применению законодательства в период эпидемии </w:t>
      </w:r>
      <w:proofErr w:type="spellStart"/>
      <w:r w:rsidRPr="008A3095">
        <w:rPr>
          <w:u w:val="single"/>
        </w:rPr>
        <w:t>коронавирусной</w:t>
      </w:r>
      <w:proofErr w:type="spellEnd"/>
      <w:r w:rsidRPr="008A3095">
        <w:rPr>
          <w:u w:val="single"/>
        </w:rPr>
        <w:t xml:space="preserve"> инфекции (COVID-19)</w:t>
      </w:r>
    </w:p>
    <w:p w:rsidR="0047472B" w:rsidRPr="006C5DCB" w:rsidRDefault="0047472B" w:rsidP="006C5DCB">
      <w:pPr>
        <w:pStyle w:val="aa"/>
        <w:ind w:firstLine="851"/>
        <w:jc w:val="both"/>
      </w:pPr>
      <w:r w:rsidRPr="006C5DCB">
        <w:t>Верховный</w:t>
      </w:r>
      <w:r w:rsidR="008A3095">
        <w:t xml:space="preserve"> Суд РФ в Обзоре от 17.02.2021 №</w:t>
      </w:r>
      <w:r w:rsidRPr="006C5DCB">
        <w:t xml:space="preserve"> 3 дал дополнительные разъяснения о применении законодательства в период угрозы распространения на территории России новой </w:t>
      </w:r>
      <w:proofErr w:type="spellStart"/>
      <w:r w:rsidRPr="006C5DCB">
        <w:t>коронавирусной</w:t>
      </w:r>
      <w:proofErr w:type="spellEnd"/>
      <w:r w:rsidRPr="006C5DCB">
        <w:t xml:space="preserve"> инфекции (COVID-19). В частности, Судом разъяснено следующее.    </w:t>
      </w:r>
    </w:p>
    <w:p w:rsidR="0047472B" w:rsidRPr="008A3095" w:rsidRDefault="00886B2E" w:rsidP="00886B2E">
      <w:pPr>
        <w:pStyle w:val="aa"/>
        <w:jc w:val="both"/>
        <w:rPr>
          <w:u w:val="single"/>
        </w:rPr>
      </w:pPr>
      <w:r>
        <w:t xml:space="preserve">              </w:t>
      </w:r>
      <w:bookmarkStart w:id="0" w:name="_GoBack"/>
      <w:bookmarkEnd w:id="0"/>
      <w:r w:rsidR="0047472B" w:rsidRPr="008A3095">
        <w:rPr>
          <w:u w:val="single"/>
        </w:rPr>
        <w:t>Общие вопросы</w:t>
      </w:r>
    </w:p>
    <w:p w:rsidR="0047472B" w:rsidRPr="006C5DCB" w:rsidRDefault="0047472B" w:rsidP="006C5DCB">
      <w:pPr>
        <w:pStyle w:val="aa"/>
        <w:ind w:firstLine="851"/>
        <w:jc w:val="both"/>
      </w:pPr>
      <w:proofErr w:type="gramStart"/>
      <w:r w:rsidRPr="006C5DCB">
        <w:t>В случае необходимости суд вправе приостановить производство по делу на основании части 4 статьи 1, абзаца второго статьи 216 ГПК РФ, части 5 статьи 3, пункта 4 статьи 144 АПК РФ, части 4 статьи 2, пункта 3 части 1 статьи 191 КАС РФ, если лица, участвующие в деле, лишены возможности присутствовать в судебном заседании в связи с принимаемыми ограничительными мерами</w:t>
      </w:r>
      <w:proofErr w:type="gramEnd"/>
      <w:r w:rsidRPr="006C5DCB">
        <w:t xml:space="preserve"> по противодействию распространению новой </w:t>
      </w:r>
      <w:proofErr w:type="spellStart"/>
      <w:r w:rsidRPr="006C5DCB">
        <w:t>коронавирусной</w:t>
      </w:r>
      <w:proofErr w:type="spellEnd"/>
      <w:r w:rsidRPr="006C5DCB">
        <w:t xml:space="preserve"> инфекции.</w:t>
      </w:r>
    </w:p>
    <w:p w:rsidR="0047472B" w:rsidRPr="006C5DCB" w:rsidRDefault="0047472B" w:rsidP="006C5DCB">
      <w:pPr>
        <w:pStyle w:val="aa"/>
        <w:ind w:firstLine="851"/>
        <w:jc w:val="both"/>
      </w:pPr>
      <w:r w:rsidRPr="006C5DCB">
        <w:t>При этом суд не вправе приостановить производство по делу, если свидетель, специалист или эксперт в силу принятых ограничений лишены возможности присутствовать в судебном заседании. В указанных случаях суд с учетом конкретных обстоятельств дела вправе отложить судебное разбирательство, разбирательство дела на основании части 1 статьи 169 ГПК РФ, части 5 статьи 158 АПК РФ, части 2 статьи 152 КАС РФ.</w:t>
      </w:r>
    </w:p>
    <w:p w:rsidR="0047472B" w:rsidRPr="00E10517" w:rsidRDefault="0047472B" w:rsidP="006C5DCB">
      <w:pPr>
        <w:pStyle w:val="aa"/>
        <w:ind w:firstLine="851"/>
        <w:jc w:val="both"/>
        <w:rPr>
          <w:u w:val="single"/>
        </w:rPr>
      </w:pPr>
      <w:r w:rsidRPr="00E10517">
        <w:rPr>
          <w:u w:val="single"/>
        </w:rPr>
        <w:t>Дополнительные гарантии медицинским и иным работникам медицинских организаций</w:t>
      </w:r>
    </w:p>
    <w:p w:rsidR="0047472B" w:rsidRPr="006C5DCB" w:rsidRDefault="0047472B" w:rsidP="006C5DCB">
      <w:pPr>
        <w:pStyle w:val="aa"/>
        <w:ind w:firstLine="851"/>
        <w:jc w:val="both"/>
      </w:pPr>
      <w:proofErr w:type="gramStart"/>
      <w:r w:rsidRPr="006C5DCB">
        <w:t xml:space="preserve">Право на получение специальной социальной выплаты, помимо медицинских и иных работников медицинских и иных организаций, оказывающих медицинскую помощь (участвующих в оказании медицинской помощи, обеспечивающих оказание медицинской помощи) по диагностике и лечению новой </w:t>
      </w:r>
      <w:proofErr w:type="spellStart"/>
      <w:r w:rsidRPr="006C5DCB">
        <w:t>коронавирусной</w:t>
      </w:r>
      <w:proofErr w:type="spellEnd"/>
      <w:r w:rsidRPr="006C5DCB">
        <w:t xml:space="preserve"> инфекции (COVID-19), имеют медицинские работники, которые непосредственно оказанием медицинской помощи больным новой </w:t>
      </w:r>
      <w:proofErr w:type="spellStart"/>
      <w:r w:rsidRPr="006C5DCB">
        <w:t>коронавирусной</w:t>
      </w:r>
      <w:proofErr w:type="spellEnd"/>
      <w:r w:rsidRPr="006C5DCB">
        <w:t xml:space="preserve"> инфекцией (COVID-19) не занимаются, но при выполнении должностных обязанностей контактируют с пациентами с установленным</w:t>
      </w:r>
      <w:proofErr w:type="gramEnd"/>
      <w:r w:rsidRPr="006C5DCB">
        <w:t xml:space="preserve"> диагнозом новой </w:t>
      </w:r>
      <w:proofErr w:type="spellStart"/>
      <w:r w:rsidRPr="006C5DCB">
        <w:t>коронавирусной</w:t>
      </w:r>
      <w:proofErr w:type="spellEnd"/>
      <w:r w:rsidRPr="006C5DCB">
        <w:t xml:space="preserve"> инфекции (COVID-19).</w:t>
      </w:r>
    </w:p>
    <w:p w:rsidR="0047472B" w:rsidRPr="006C5DCB" w:rsidRDefault="0047472B" w:rsidP="006C5DCB">
      <w:pPr>
        <w:pStyle w:val="aa"/>
        <w:ind w:firstLine="851"/>
        <w:jc w:val="both"/>
      </w:pPr>
      <w:r w:rsidRPr="00E10517">
        <w:rPr>
          <w:u w:val="single"/>
        </w:rPr>
        <w:t xml:space="preserve">Вопросы применения гражданского законодательства   </w:t>
      </w:r>
    </w:p>
    <w:p w:rsidR="0047472B" w:rsidRPr="006C5DCB" w:rsidRDefault="0047472B" w:rsidP="006C5DCB">
      <w:pPr>
        <w:pStyle w:val="aa"/>
        <w:ind w:firstLine="851"/>
        <w:jc w:val="both"/>
      </w:pPr>
      <w:proofErr w:type="gramStart"/>
      <w:r w:rsidRPr="006C5DCB">
        <w:lastRenderedPageBreak/>
        <w:t>Право на отсрочку уплаты арендной платы на осно</w:t>
      </w:r>
      <w:r w:rsidR="00177524">
        <w:t>вании части 1 статьи 19 Закона №</w:t>
      </w:r>
      <w:r w:rsidRPr="006C5DCB">
        <w:t xml:space="preserve"> 98-ФЗ и на условиях, указанных в пункте 3 Требований, имеют также организации и индивидуальные предприниматели, являющиеся субарендаторами недвижимого имущества, за исключением жилых помещений, по договорам, заключенным до принятия органом государственной власти соответствующего субъекта Российской Федерации решения о введении режима повышенной готовности или чрезвычайной ситуации на территории субъекта</w:t>
      </w:r>
      <w:proofErr w:type="gramEnd"/>
      <w:r w:rsidRPr="006C5DCB">
        <w:t xml:space="preserve"> Российской Федерации, которые осуществляют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Pr="006C5DCB">
        <w:t>коронавирусной</w:t>
      </w:r>
      <w:proofErr w:type="spellEnd"/>
      <w:r w:rsidRPr="006C5DCB">
        <w:t xml:space="preserve"> инфекции.</w:t>
      </w:r>
    </w:p>
    <w:p w:rsidR="0047472B" w:rsidRPr="006C5DCB" w:rsidRDefault="0047472B" w:rsidP="006C5DCB">
      <w:pPr>
        <w:pStyle w:val="aa"/>
        <w:ind w:firstLine="851"/>
        <w:jc w:val="both"/>
      </w:pPr>
      <w:proofErr w:type="gramStart"/>
      <w:r w:rsidRPr="006C5DCB">
        <w:t>Заключение арендатором и арендодателем соглашения об уменьшении размера арендной платы или изменение договора аренды на основании решения суда не лишают арендатора права на предоставление ему отсрочки в соответств</w:t>
      </w:r>
      <w:r w:rsidR="00C05F82">
        <w:t>ии с частью 1 статьи 19 Закона №</w:t>
      </w:r>
      <w:r w:rsidRPr="006C5DCB">
        <w:t xml:space="preserve"> 98-ФЗ, в том числе за периоды, предшествовавшие заключению соглашения о снижении арендной платы или вступления в силу соответствующего решения суда.</w:t>
      </w:r>
      <w:proofErr w:type="gramEnd"/>
    </w:p>
    <w:p w:rsidR="0047472B" w:rsidRPr="006C5DCB" w:rsidRDefault="00C05F82" w:rsidP="006C5DCB">
      <w:pPr>
        <w:pStyle w:val="aa"/>
        <w:ind w:firstLine="851"/>
        <w:jc w:val="both"/>
      </w:pPr>
      <w:r>
        <w:t>Установленный постановлением №</w:t>
      </w:r>
      <w:r w:rsidR="0047472B" w:rsidRPr="006C5DCB">
        <w:t xml:space="preserve"> 424 мораторий на начисление неустоек распространяется и на собственников и пользователей нежилых помещений в многоквартирном доме.    </w:t>
      </w:r>
    </w:p>
    <w:p w:rsidR="0047472B" w:rsidRPr="006C5DCB" w:rsidRDefault="00C05F82" w:rsidP="00C05F82">
      <w:pPr>
        <w:pStyle w:val="aa"/>
        <w:jc w:val="both"/>
      </w:pPr>
      <w:r>
        <w:t xml:space="preserve">              </w:t>
      </w:r>
      <w:r w:rsidR="0047472B" w:rsidRPr="00C05F82">
        <w:rPr>
          <w:u w:val="single"/>
        </w:rPr>
        <w:t>Вопросы применения законодательства о налогах и сборах</w:t>
      </w:r>
      <w:r w:rsidR="0047472B" w:rsidRPr="006C5DCB">
        <w:t xml:space="preserve">    </w:t>
      </w:r>
    </w:p>
    <w:p w:rsidR="00C05F82" w:rsidRDefault="00C05F82" w:rsidP="00C05F82">
      <w:pPr>
        <w:pStyle w:val="aa"/>
        <w:jc w:val="both"/>
      </w:pPr>
      <w:r>
        <w:t xml:space="preserve">              </w:t>
      </w:r>
      <w:proofErr w:type="gramStart"/>
      <w:r w:rsidR="0047472B" w:rsidRPr="006C5DCB">
        <w:t xml:space="preserve">Если нормативным правовым актом субъекта РФ или муниципального образования не принято решение о продлении срока уплаты налога и (или) авансового платежа для налогоплательщиков - физических лиц, распространение новой </w:t>
      </w:r>
      <w:proofErr w:type="spellStart"/>
      <w:r w:rsidR="0047472B" w:rsidRPr="006C5DCB">
        <w:t>коронавирусной</w:t>
      </w:r>
      <w:proofErr w:type="spellEnd"/>
      <w:r w:rsidR="0047472B" w:rsidRPr="006C5DCB">
        <w:t xml:space="preserve"> инфекции само по себе не является основанием для переноса срока исполнения обязанности по уплате обязательных платежей и освобождения от уплаты пени за соответствующий период просрочки.</w:t>
      </w:r>
      <w:proofErr w:type="gramEnd"/>
    </w:p>
    <w:p w:rsidR="0047472B" w:rsidRPr="006C5DCB" w:rsidRDefault="00C05F82" w:rsidP="00C05F82">
      <w:pPr>
        <w:pStyle w:val="aa"/>
        <w:jc w:val="both"/>
      </w:pPr>
      <w:r>
        <w:t xml:space="preserve">              </w:t>
      </w:r>
      <w:proofErr w:type="gramStart"/>
      <w:r>
        <w:t>Уста</w:t>
      </w:r>
      <w:r w:rsidR="0047472B" w:rsidRPr="006C5DCB">
        <w:t xml:space="preserve">новленный законодательством о налогах и сборах обязательный досудебный (административный) порядок урегулирования споров в отношении требований об оспаривании отказа налоговых органов в предоставлении субсидии, а также бездействия налоговых органов в отношении заявлений о предоставлении субсидии субъектам малого и среднего предпринимательства,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sidR="0047472B" w:rsidRPr="006C5DCB">
        <w:t>коронавирусной</w:t>
      </w:r>
      <w:proofErr w:type="spellEnd"/>
      <w:r w:rsidR="0047472B" w:rsidRPr="006C5DCB">
        <w:t xml:space="preserve"> инфекции, не</w:t>
      </w:r>
      <w:proofErr w:type="gramEnd"/>
      <w:r w:rsidR="0047472B" w:rsidRPr="006C5DCB">
        <w:t xml:space="preserve"> применяется.</w:t>
      </w:r>
    </w:p>
    <w:p w:rsidR="0047472B" w:rsidRPr="00C05F82" w:rsidRDefault="0047472B" w:rsidP="006C5DCB">
      <w:pPr>
        <w:pStyle w:val="aa"/>
        <w:ind w:firstLine="851"/>
        <w:jc w:val="both"/>
        <w:rPr>
          <w:u w:val="single"/>
        </w:rPr>
      </w:pPr>
      <w:r w:rsidRPr="00C05F82">
        <w:rPr>
          <w:u w:val="single"/>
        </w:rPr>
        <w:t xml:space="preserve">Вопросы применения уголовного и уголовно-процессуального законодательства        </w:t>
      </w:r>
    </w:p>
    <w:p w:rsidR="0047472B" w:rsidRPr="006C5DCB" w:rsidRDefault="00652885" w:rsidP="00652885">
      <w:pPr>
        <w:pStyle w:val="aa"/>
        <w:jc w:val="both"/>
      </w:pPr>
      <w:r>
        <w:t xml:space="preserve">              </w:t>
      </w:r>
      <w:proofErr w:type="gramStart"/>
      <w:r w:rsidR="0047472B" w:rsidRPr="006C5DCB">
        <w:t>Если гражданин, инфицированный COVID-19 или контактировавший с таким лицом и обязанный в силу вынесенного в отношении его постановления, предписания соблюдать санитарно-эпидемиологические правила, в том числе определенные ограничения, умышленно их не выполняет (зная о своем заболевании или контакте с заболевшим, нарушает режим изоляции, посещает общественные места, пользуется общественным транспортом и т.п.), то в случае наступления общественно опасных последствий, указанных в</w:t>
      </w:r>
      <w:proofErr w:type="gramEnd"/>
      <w:r w:rsidR="0047472B" w:rsidRPr="006C5DCB">
        <w:t xml:space="preserve"> диспозиции частей 1-3 статьи 236 УК РФ, состоящих в причинной связи с допущенными им нарушениями санитарно-эпидемиологических правил, он несет уголовную ответственность по соответствующей части статьи 236 УК РФ, а при создании вследствие таких нарушений реальной угрозы наступления последствий в виде массового заболевания людей - по части 1 этой статьи.</w:t>
      </w:r>
    </w:p>
    <w:p w:rsidR="0047472B" w:rsidRPr="006C5DCB" w:rsidRDefault="0047472B" w:rsidP="006C5DCB">
      <w:pPr>
        <w:pStyle w:val="aa"/>
        <w:ind w:firstLine="851"/>
        <w:jc w:val="both"/>
      </w:pPr>
      <w:proofErr w:type="gramStart"/>
      <w:r w:rsidRPr="006C5DCB">
        <w:t xml:space="preserve">Остаются актуальными разъяснения, изложенные в ответе на вопрос 16 Обзора по отдельным вопросам судебной практики, связанным с применением законодательства и мер по противодействию распространению на территории Российской Федерации новой </w:t>
      </w:r>
      <w:proofErr w:type="spellStart"/>
      <w:r w:rsidRPr="006C5DCB">
        <w:t>коро</w:t>
      </w:r>
      <w:r w:rsidR="00652885">
        <w:t>навирусной</w:t>
      </w:r>
      <w:proofErr w:type="spellEnd"/>
      <w:r w:rsidR="00652885">
        <w:t xml:space="preserve"> инфекции (COVID-19) №</w:t>
      </w:r>
      <w:r w:rsidRPr="006C5DCB">
        <w:t xml:space="preserve"> 2, утвержденного Президиумом Верховного Суда РФ 30 апреля 2020 г., о праве суда по каждому уголовному делу или материалу, требующему безотлагательного рассмотрения, принять решение о проведении всего судебного</w:t>
      </w:r>
      <w:proofErr w:type="gramEnd"/>
      <w:r w:rsidRPr="006C5DCB">
        <w:t xml:space="preserve"> разбирательства с использованием систем видеоконференц-связи.        </w:t>
      </w:r>
    </w:p>
    <w:p w:rsidR="0047472B" w:rsidRPr="006C5DCB" w:rsidRDefault="00652885" w:rsidP="00652885">
      <w:pPr>
        <w:pStyle w:val="aa"/>
        <w:jc w:val="both"/>
      </w:pPr>
      <w:r>
        <w:t xml:space="preserve">               </w:t>
      </w:r>
      <w:proofErr w:type="gramStart"/>
      <w:r w:rsidR="0047472B" w:rsidRPr="006C5DCB">
        <w:t xml:space="preserve">Если суд в период действия введенного в субъекте РФ режима повышенной готовности признал ходатайство органа предварительного расследования об избрании </w:t>
      </w:r>
      <w:r w:rsidR="0047472B" w:rsidRPr="006C5DCB">
        <w:lastRenderedPageBreak/>
        <w:t>меры пресечения в виде заключения под стражу требующим безотлагательного рассмотрения, то такое ходатайство может быть рассмотрено судом с использованием систем видеоконференц-связи при условии соблюдения требований справедливого судебного разбирательства, изложенных в ответе на вопрос 16 Обзора по отдельным вопросам судебной практики, связанным</w:t>
      </w:r>
      <w:proofErr w:type="gramEnd"/>
      <w:r w:rsidR="0047472B" w:rsidRPr="006C5DCB">
        <w:t xml:space="preserve"> с применением законодательства и мер по противодействию распространению на территории Российской Федерации новой </w:t>
      </w:r>
      <w:proofErr w:type="spellStart"/>
      <w:r w:rsidR="0047472B" w:rsidRPr="006C5DCB">
        <w:t>коронавирусной</w:t>
      </w:r>
      <w:proofErr w:type="spellEnd"/>
      <w:r w:rsidR="0047472B" w:rsidRPr="006C5DCB">
        <w:t xml:space="preserve"> инфекции (COVID-19)</w:t>
      </w:r>
      <w:r>
        <w:t xml:space="preserve"> №</w:t>
      </w:r>
      <w:r w:rsidR="0047472B" w:rsidRPr="006C5DCB">
        <w:t xml:space="preserve"> 2, утвержденного Президиумом Верховного Суда Российской Федерации 30 апреля 2020 г., и ответе на вопрос 16 настоящего обзора.             </w:t>
      </w:r>
    </w:p>
    <w:p w:rsidR="0047472B" w:rsidRPr="006C5DCB" w:rsidRDefault="00652885" w:rsidP="00652885">
      <w:pPr>
        <w:pStyle w:val="aa"/>
        <w:jc w:val="both"/>
      </w:pPr>
      <w:r>
        <w:t xml:space="preserve">             </w:t>
      </w:r>
      <w:r w:rsidR="0047472B" w:rsidRPr="006C5DCB">
        <w:t>Наличие возражений одной или обеих сторон по поводу рассмотрения уголовного дела или материала с использованием систем видеоконференц-связи не является препятствием для принятия судом такого решения. Определение порядка проведения</w:t>
      </w:r>
      <w:r>
        <w:t xml:space="preserve"> </w:t>
      </w:r>
      <w:r w:rsidR="0047472B" w:rsidRPr="006C5DCB">
        <w:t>судебного разбирательства в данном случае относится к исключительной компетенции суда, который должен исходить из необходимости обеспечения санитарно-эпидемиологической безопасности участников уголовного судопроизводства.</w:t>
      </w:r>
    </w:p>
    <w:p w:rsidR="0047472B" w:rsidRPr="006C5DCB" w:rsidRDefault="0047472B" w:rsidP="006C5DCB">
      <w:pPr>
        <w:pStyle w:val="aa"/>
        <w:ind w:firstLine="851"/>
        <w:jc w:val="both"/>
      </w:pPr>
      <w:r w:rsidRPr="00652885">
        <w:rPr>
          <w:u w:val="single"/>
        </w:rPr>
        <w:t>Вопросы применения законодательства об административных правонарушениях</w:t>
      </w:r>
      <w:r w:rsidRPr="006C5DCB">
        <w:t xml:space="preserve">      </w:t>
      </w:r>
    </w:p>
    <w:p w:rsidR="0047472B" w:rsidRPr="006C5DCB" w:rsidRDefault="0085686E" w:rsidP="0085686E">
      <w:pPr>
        <w:pStyle w:val="aa"/>
        <w:jc w:val="both"/>
      </w:pPr>
      <w:r>
        <w:t xml:space="preserve">             </w:t>
      </w:r>
      <w:proofErr w:type="gramStart"/>
      <w:r w:rsidR="0047472B" w:rsidRPr="006C5DCB">
        <w:t>Если при рассмотрении дела об административном правонарушении, предусмотренном частью 2 статьи 6.3 КоАП РФ, либо жалобы на постановление по делу о таком административном правонарушении будет установлено, что совершенные лицом действия (бездействие) образуют объективную сторону состава административного правонарушения, ответственность за которое у</w:t>
      </w:r>
      <w:r>
        <w:t>становлена частью 1 статьи 20.6.</w:t>
      </w:r>
      <w:r w:rsidR="0047472B" w:rsidRPr="006C5DCB">
        <w:t>1 КоАП РФ, такие действия (бездействие) подлежат переквалификации.</w:t>
      </w:r>
      <w:proofErr w:type="gramEnd"/>
    </w:p>
    <w:p w:rsidR="0047472B" w:rsidRPr="006C5DCB" w:rsidRDefault="0047472B" w:rsidP="006C5DCB">
      <w:pPr>
        <w:pStyle w:val="aa"/>
        <w:ind w:firstLine="851"/>
        <w:jc w:val="both"/>
      </w:pPr>
      <w:proofErr w:type="gramStart"/>
      <w:r w:rsidRPr="006C5DCB">
        <w:t>Отмена нормативного правового акта, принятого уполномоченным государственным органом субъекта Российской Федерации и содержащего обязательные для исполнения гражданами и организациями правила поведения при введении режима повышенной готовности, или исключение из такого акта отдельных правовых норм, закрепляющих те или иные правила поведения, являются основанием для прекращения производства по делу об административном правонарушении, предусмотренном соо</w:t>
      </w:r>
      <w:r w:rsidR="0085686E">
        <w:t>тветствующей частью статьи 20.6.</w:t>
      </w:r>
      <w:r w:rsidRPr="006C5DCB">
        <w:t>1 КоАП РФ, либо отмены состоявшегося</w:t>
      </w:r>
      <w:proofErr w:type="gramEnd"/>
      <w:r w:rsidRPr="006C5DCB">
        <w:t xml:space="preserve"> по делу об указанном правонарушении постановления о назначении административного наказания, если оно не было исполнено.</w:t>
      </w:r>
    </w:p>
    <w:p w:rsidR="0047472B" w:rsidRPr="006C5DCB" w:rsidRDefault="0047472B" w:rsidP="006C5DCB">
      <w:pPr>
        <w:pStyle w:val="aa"/>
        <w:ind w:firstLine="851"/>
        <w:jc w:val="both"/>
      </w:pPr>
    </w:p>
    <w:p w:rsidR="00A650A7" w:rsidRPr="006C5DCB" w:rsidRDefault="00A650A7" w:rsidP="006C5DCB">
      <w:pPr>
        <w:pStyle w:val="aa"/>
        <w:ind w:firstLine="851"/>
        <w:jc w:val="both"/>
      </w:pPr>
    </w:p>
    <w:p w:rsidR="006859C7" w:rsidRPr="006C5DCB" w:rsidRDefault="001D5A7D" w:rsidP="006C5DCB">
      <w:pPr>
        <w:pStyle w:val="aa"/>
        <w:ind w:firstLine="851"/>
        <w:jc w:val="both"/>
      </w:pPr>
      <w:r w:rsidRPr="006C5DCB">
        <w:t xml:space="preserve">  </w:t>
      </w:r>
    </w:p>
    <w:p w:rsidR="00072B60" w:rsidRPr="006C5DCB" w:rsidRDefault="00072B60" w:rsidP="006C5DCB">
      <w:pPr>
        <w:pStyle w:val="aa"/>
        <w:ind w:firstLine="851"/>
        <w:jc w:val="both"/>
      </w:pPr>
    </w:p>
    <w:p w:rsidR="00072B60" w:rsidRPr="006C5DCB" w:rsidRDefault="00072B60" w:rsidP="006C5DCB">
      <w:pPr>
        <w:pStyle w:val="aa"/>
        <w:ind w:firstLine="851"/>
        <w:jc w:val="both"/>
      </w:pPr>
    </w:p>
    <w:p w:rsidR="00072B60" w:rsidRPr="006C5DCB" w:rsidRDefault="00072B60" w:rsidP="006C5DCB">
      <w:pPr>
        <w:pStyle w:val="aa"/>
        <w:ind w:firstLine="851"/>
        <w:jc w:val="both"/>
      </w:pPr>
    </w:p>
    <w:p w:rsidR="001B1B53" w:rsidRPr="006C5DCB" w:rsidRDefault="001B1B53" w:rsidP="006C5DCB">
      <w:pPr>
        <w:pStyle w:val="aa"/>
        <w:ind w:firstLine="851"/>
        <w:jc w:val="both"/>
      </w:pPr>
    </w:p>
    <w:p w:rsidR="00CE1965" w:rsidRPr="006C5DCB" w:rsidRDefault="00CE1965" w:rsidP="006C5DCB">
      <w:pPr>
        <w:pStyle w:val="aa"/>
        <w:ind w:firstLine="851"/>
        <w:jc w:val="both"/>
      </w:pPr>
    </w:p>
    <w:p w:rsidR="000F4B22" w:rsidRPr="006C5DCB" w:rsidRDefault="000F4B22" w:rsidP="006C5DCB">
      <w:pPr>
        <w:pStyle w:val="aa"/>
        <w:ind w:firstLine="851"/>
        <w:jc w:val="both"/>
      </w:pPr>
    </w:p>
    <w:p w:rsidR="00B72517" w:rsidRPr="006C5DCB" w:rsidRDefault="00B72517" w:rsidP="006C5DCB">
      <w:pPr>
        <w:pStyle w:val="aa"/>
        <w:ind w:firstLine="851"/>
        <w:jc w:val="both"/>
      </w:pPr>
    </w:p>
    <w:p w:rsidR="003F0837" w:rsidRPr="006C5DCB" w:rsidRDefault="003F0837" w:rsidP="006C5DCB">
      <w:pPr>
        <w:pStyle w:val="aa"/>
        <w:ind w:firstLine="851"/>
        <w:jc w:val="both"/>
      </w:pPr>
    </w:p>
    <w:p w:rsidR="000F4B22" w:rsidRPr="006C5DCB" w:rsidRDefault="000F4B22" w:rsidP="006C5DCB">
      <w:pPr>
        <w:pStyle w:val="aa"/>
        <w:ind w:firstLine="851"/>
        <w:jc w:val="both"/>
      </w:pPr>
    </w:p>
    <w:p w:rsidR="003F0837" w:rsidRPr="006C5DCB" w:rsidRDefault="003F0837" w:rsidP="006C5DCB">
      <w:pPr>
        <w:pStyle w:val="aa"/>
        <w:ind w:firstLine="851"/>
        <w:jc w:val="both"/>
      </w:pPr>
    </w:p>
    <w:p w:rsidR="003F0837" w:rsidRPr="006C5DCB" w:rsidRDefault="003F0837" w:rsidP="006C5DCB">
      <w:pPr>
        <w:pStyle w:val="aa"/>
        <w:ind w:firstLine="851"/>
        <w:jc w:val="both"/>
      </w:pPr>
    </w:p>
    <w:p w:rsidR="00B45E5B" w:rsidRPr="006C5DCB" w:rsidRDefault="00B45E5B" w:rsidP="006C5DCB">
      <w:pPr>
        <w:pStyle w:val="aa"/>
        <w:ind w:firstLine="851"/>
        <w:jc w:val="both"/>
      </w:pPr>
    </w:p>
    <w:p w:rsidR="00962D94" w:rsidRPr="006C5DCB" w:rsidRDefault="00962D94" w:rsidP="006C5DCB">
      <w:pPr>
        <w:pStyle w:val="aa"/>
        <w:ind w:firstLine="851"/>
        <w:jc w:val="both"/>
      </w:pPr>
    </w:p>
    <w:p w:rsidR="00FD593A" w:rsidRPr="006C5DCB" w:rsidRDefault="00FD593A" w:rsidP="006C5DCB">
      <w:pPr>
        <w:pStyle w:val="aa"/>
        <w:ind w:firstLine="851"/>
        <w:jc w:val="both"/>
      </w:pPr>
    </w:p>
    <w:p w:rsidR="00821C7F" w:rsidRPr="006C5DCB" w:rsidRDefault="00821C7F" w:rsidP="006C5DCB">
      <w:pPr>
        <w:pStyle w:val="aa"/>
        <w:ind w:firstLine="851"/>
        <w:jc w:val="both"/>
      </w:pPr>
    </w:p>
    <w:p w:rsidR="00FD593A" w:rsidRPr="006C5DCB" w:rsidRDefault="00FD593A" w:rsidP="006C5DCB">
      <w:pPr>
        <w:pStyle w:val="aa"/>
        <w:ind w:firstLine="851"/>
        <w:jc w:val="both"/>
      </w:pPr>
    </w:p>
    <w:p w:rsidR="00FD593A" w:rsidRPr="006C5DCB" w:rsidRDefault="00FD593A" w:rsidP="006C5DCB">
      <w:pPr>
        <w:pStyle w:val="aa"/>
        <w:ind w:firstLine="851"/>
        <w:jc w:val="both"/>
      </w:pPr>
    </w:p>
    <w:p w:rsidR="00DD2F8F" w:rsidRPr="006C5DCB" w:rsidRDefault="00DD2F8F" w:rsidP="006C5DCB">
      <w:pPr>
        <w:pStyle w:val="aa"/>
        <w:ind w:firstLine="851"/>
        <w:jc w:val="both"/>
      </w:pPr>
    </w:p>
    <w:p w:rsidR="00585657" w:rsidRPr="006C5DCB" w:rsidRDefault="00585657" w:rsidP="006C5DCB">
      <w:pPr>
        <w:pStyle w:val="aa"/>
        <w:ind w:firstLine="851"/>
        <w:jc w:val="both"/>
      </w:pPr>
    </w:p>
    <w:sectPr w:rsidR="00585657" w:rsidRPr="006C5DCB">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C5B" w:rsidRDefault="00333C5B" w:rsidP="0035474D">
      <w:pPr>
        <w:spacing w:after="0" w:line="240" w:lineRule="auto"/>
      </w:pPr>
      <w:r>
        <w:separator/>
      </w:r>
    </w:p>
  </w:endnote>
  <w:endnote w:type="continuationSeparator" w:id="0">
    <w:p w:rsidR="00333C5B" w:rsidRDefault="00333C5B" w:rsidP="00354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4D" w:rsidRDefault="0035474D">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716480"/>
      <w:docPartObj>
        <w:docPartGallery w:val="Page Numbers (Bottom of Page)"/>
        <w:docPartUnique/>
      </w:docPartObj>
    </w:sdtPr>
    <w:sdtEndPr/>
    <w:sdtContent>
      <w:p w:rsidR="0035474D" w:rsidRDefault="0035474D">
        <w:pPr>
          <w:pStyle w:val="af8"/>
          <w:jc w:val="center"/>
        </w:pPr>
        <w:r>
          <w:fldChar w:fldCharType="begin"/>
        </w:r>
        <w:r>
          <w:instrText>PAGE   \* MERGEFORMAT</w:instrText>
        </w:r>
        <w:r>
          <w:fldChar w:fldCharType="separate"/>
        </w:r>
        <w:r w:rsidR="00886B2E">
          <w:rPr>
            <w:noProof/>
          </w:rPr>
          <w:t>5</w:t>
        </w:r>
        <w:r>
          <w:fldChar w:fldCharType="end"/>
        </w:r>
      </w:p>
    </w:sdtContent>
  </w:sdt>
  <w:p w:rsidR="0035474D" w:rsidRDefault="0035474D">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4D" w:rsidRDefault="0035474D">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C5B" w:rsidRDefault="00333C5B" w:rsidP="0035474D">
      <w:pPr>
        <w:spacing w:after="0" w:line="240" w:lineRule="auto"/>
      </w:pPr>
      <w:r>
        <w:separator/>
      </w:r>
    </w:p>
  </w:footnote>
  <w:footnote w:type="continuationSeparator" w:id="0">
    <w:p w:rsidR="00333C5B" w:rsidRDefault="00333C5B" w:rsidP="003547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4D" w:rsidRDefault="0035474D">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4D" w:rsidRDefault="0035474D">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74D" w:rsidRDefault="0035474D">
    <w:pPr>
      <w:pStyle w:val="af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FA3"/>
    <w:rsid w:val="00021A21"/>
    <w:rsid w:val="00072B60"/>
    <w:rsid w:val="000F4B22"/>
    <w:rsid w:val="00161D29"/>
    <w:rsid w:val="00177524"/>
    <w:rsid w:val="001B1B53"/>
    <w:rsid w:val="001D5A7D"/>
    <w:rsid w:val="00206CA6"/>
    <w:rsid w:val="00265CF7"/>
    <w:rsid w:val="00281E89"/>
    <w:rsid w:val="00294E82"/>
    <w:rsid w:val="002B7C69"/>
    <w:rsid w:val="002E37E9"/>
    <w:rsid w:val="00301C12"/>
    <w:rsid w:val="00333C5B"/>
    <w:rsid w:val="00336B17"/>
    <w:rsid w:val="00353959"/>
    <w:rsid w:val="0035474D"/>
    <w:rsid w:val="00393A82"/>
    <w:rsid w:val="003F0837"/>
    <w:rsid w:val="00464276"/>
    <w:rsid w:val="0047472B"/>
    <w:rsid w:val="0048577B"/>
    <w:rsid w:val="004B3FA3"/>
    <w:rsid w:val="004D6DA2"/>
    <w:rsid w:val="00585657"/>
    <w:rsid w:val="005B7F16"/>
    <w:rsid w:val="00611813"/>
    <w:rsid w:val="00652885"/>
    <w:rsid w:val="00677774"/>
    <w:rsid w:val="006859C7"/>
    <w:rsid w:val="006A36C4"/>
    <w:rsid w:val="006B0574"/>
    <w:rsid w:val="006C5DCB"/>
    <w:rsid w:val="00750505"/>
    <w:rsid w:val="00766460"/>
    <w:rsid w:val="00773378"/>
    <w:rsid w:val="00820473"/>
    <w:rsid w:val="00821C7F"/>
    <w:rsid w:val="0083122B"/>
    <w:rsid w:val="00845906"/>
    <w:rsid w:val="0085686E"/>
    <w:rsid w:val="00886B2E"/>
    <w:rsid w:val="008A3095"/>
    <w:rsid w:val="00962D94"/>
    <w:rsid w:val="00A650A7"/>
    <w:rsid w:val="00A70BB8"/>
    <w:rsid w:val="00AE0DA8"/>
    <w:rsid w:val="00B45E5B"/>
    <w:rsid w:val="00B72517"/>
    <w:rsid w:val="00C05F82"/>
    <w:rsid w:val="00CE1965"/>
    <w:rsid w:val="00D025D0"/>
    <w:rsid w:val="00D424AD"/>
    <w:rsid w:val="00DD2F8F"/>
    <w:rsid w:val="00E10517"/>
    <w:rsid w:val="00E5103C"/>
    <w:rsid w:val="00E778C8"/>
    <w:rsid w:val="00EA4B7E"/>
    <w:rsid w:val="00F20CB8"/>
    <w:rsid w:val="00F26B30"/>
    <w:rsid w:val="00F337ED"/>
    <w:rsid w:val="00F97F56"/>
    <w:rsid w:val="00FB6D11"/>
    <w:rsid w:val="00FD5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6859C7"/>
    <w:rPr>
      <w:color w:val="0000FF" w:themeColor="hyperlink"/>
      <w:u w:val="single"/>
    </w:rPr>
  </w:style>
  <w:style w:type="paragraph" w:styleId="af6">
    <w:name w:val="header"/>
    <w:basedOn w:val="a"/>
    <w:link w:val="af7"/>
    <w:uiPriority w:val="99"/>
    <w:unhideWhenUsed/>
    <w:rsid w:val="0035474D"/>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35474D"/>
    <w:rPr>
      <w:sz w:val="24"/>
      <w:szCs w:val="24"/>
    </w:rPr>
  </w:style>
  <w:style w:type="paragraph" w:styleId="af8">
    <w:name w:val="footer"/>
    <w:basedOn w:val="a"/>
    <w:link w:val="af9"/>
    <w:uiPriority w:val="99"/>
    <w:unhideWhenUsed/>
    <w:rsid w:val="0035474D"/>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35474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6859C7"/>
    <w:rPr>
      <w:color w:val="0000FF" w:themeColor="hyperlink"/>
      <w:u w:val="single"/>
    </w:rPr>
  </w:style>
  <w:style w:type="paragraph" w:styleId="af6">
    <w:name w:val="header"/>
    <w:basedOn w:val="a"/>
    <w:link w:val="af7"/>
    <w:uiPriority w:val="99"/>
    <w:unhideWhenUsed/>
    <w:rsid w:val="0035474D"/>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35474D"/>
    <w:rPr>
      <w:sz w:val="24"/>
      <w:szCs w:val="24"/>
    </w:rPr>
  </w:style>
  <w:style w:type="paragraph" w:styleId="af8">
    <w:name w:val="footer"/>
    <w:basedOn w:val="a"/>
    <w:link w:val="af9"/>
    <w:uiPriority w:val="99"/>
    <w:unhideWhenUsed/>
    <w:rsid w:val="0035474D"/>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35474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government.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7</Pages>
  <Words>3461</Words>
  <Characters>19728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105</cp:revision>
  <dcterms:created xsi:type="dcterms:W3CDTF">2021-03-07T12:24:00Z</dcterms:created>
  <dcterms:modified xsi:type="dcterms:W3CDTF">2021-03-10T04:57:00Z</dcterms:modified>
</cp:coreProperties>
</file>