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23" w:rsidRPr="001A6F23" w:rsidRDefault="001A6F23" w:rsidP="001A6F23">
      <w:pPr>
        <w:spacing w:after="0"/>
        <w:ind w:firstLine="709"/>
        <w:jc w:val="both"/>
        <w:rPr>
          <w:rFonts w:ascii="Times New Roman" w:hAnsi="Times New Roman" w:cs="Times New Roman"/>
          <w:b/>
          <w:sz w:val="26"/>
          <w:szCs w:val="26"/>
          <w:u w:val="single"/>
        </w:rPr>
      </w:pPr>
      <w:r w:rsidRPr="001A6F23">
        <w:rPr>
          <w:rFonts w:ascii="Times New Roman" w:hAnsi="Times New Roman" w:cs="Times New Roman"/>
          <w:b/>
          <w:sz w:val="26"/>
          <w:szCs w:val="26"/>
          <w:u w:val="single"/>
        </w:rPr>
        <w:t>Регионы смогут получить дополнительное финансирование в рамках федерального проекта "Чистый воздух"</w:t>
      </w:r>
    </w:p>
    <w:p w:rsidR="001A6F23" w:rsidRPr="001A6F23" w:rsidRDefault="001A6F23" w:rsidP="001A6F23">
      <w:pPr>
        <w:spacing w:after="0"/>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Правительство поможет регионам - участникам федерального проекта "Чистый воздух" перевести частные жилые дома на газовое или электрическое теплоснабжение </w:t>
      </w:r>
      <w:proofErr w:type="gramStart"/>
      <w:r w:rsidRPr="001A6F23">
        <w:rPr>
          <w:rFonts w:ascii="Times New Roman" w:hAnsi="Times New Roman" w:cs="Times New Roman"/>
          <w:sz w:val="26"/>
          <w:szCs w:val="26"/>
        </w:rPr>
        <w:t>взамен печному или угольному отоплению</w:t>
      </w:r>
      <w:proofErr w:type="gramEnd"/>
      <w:r w:rsidRPr="001A6F23">
        <w:rPr>
          <w:rFonts w:ascii="Times New Roman" w:hAnsi="Times New Roman" w:cs="Times New Roman"/>
          <w:sz w:val="26"/>
          <w:szCs w:val="26"/>
        </w:rPr>
        <w:t xml:space="preserve">. </w:t>
      </w:r>
      <w:hyperlink r:id="rId4" w:history="1">
        <w:r w:rsidRPr="001A6F23">
          <w:rPr>
            <w:rStyle w:val="a3"/>
            <w:rFonts w:ascii="Times New Roman" w:hAnsi="Times New Roman" w:cs="Times New Roman"/>
            <w:sz w:val="26"/>
            <w:szCs w:val="26"/>
          </w:rPr>
          <w:t>Постановлением</w:t>
        </w:r>
      </w:hyperlink>
      <w:r w:rsidRPr="001A6F23">
        <w:rPr>
          <w:rFonts w:ascii="Times New Roman" w:hAnsi="Times New Roman" w:cs="Times New Roman"/>
          <w:sz w:val="26"/>
          <w:szCs w:val="26"/>
        </w:rPr>
        <w:t xml:space="preserve">, подписанным Председателем Правительства Михаилом </w:t>
      </w:r>
      <w:proofErr w:type="spellStart"/>
      <w:r w:rsidRPr="001A6F23">
        <w:rPr>
          <w:rFonts w:ascii="Times New Roman" w:hAnsi="Times New Roman" w:cs="Times New Roman"/>
          <w:sz w:val="26"/>
          <w:szCs w:val="26"/>
        </w:rPr>
        <w:t>Мишустиным</w:t>
      </w:r>
      <w:proofErr w:type="spellEnd"/>
      <w:r w:rsidRPr="001A6F23">
        <w:rPr>
          <w:rFonts w:ascii="Times New Roman" w:hAnsi="Times New Roman" w:cs="Times New Roman"/>
          <w:sz w:val="26"/>
          <w:szCs w:val="26"/>
        </w:rPr>
        <w:t xml:space="preserve">, расширяется перечень направлений, которые могут </w:t>
      </w:r>
      <w:proofErr w:type="spellStart"/>
      <w:r w:rsidRPr="001A6F23">
        <w:rPr>
          <w:rFonts w:ascii="Times New Roman" w:hAnsi="Times New Roman" w:cs="Times New Roman"/>
          <w:sz w:val="26"/>
          <w:szCs w:val="26"/>
        </w:rPr>
        <w:t>софинансироваться</w:t>
      </w:r>
      <w:proofErr w:type="spellEnd"/>
      <w:r w:rsidRPr="001A6F23">
        <w:rPr>
          <w:rFonts w:ascii="Times New Roman" w:hAnsi="Times New Roman" w:cs="Times New Roman"/>
          <w:sz w:val="26"/>
          <w:szCs w:val="26"/>
        </w:rPr>
        <w:t xml:space="preserve"> за счёт бюджетных средств в рамках данного федерального проекта.</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Теперь в этот перечень добавлены мероприятия по подключению жилых домов к распределительным сетям газо- и электроснабжения, приобретению и установке в домах необходимого оборудования и приборов учёта.</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Кроме того, получить федеральное финансирование регионы смогут на строительство и реконструкцию электросетей для подключения к ним жилых домов, а также на рекультивацию крупных свалок, оказывающих существенное влияние на качество воздуха.</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В федеральном бюджете на цели федерального проекта "Чистый воздух" предусмотрено около 8 млрд рублей в 2022 году и около 11,5 млрд рублей в 2023 году. Распоряжение об их распределении между регионами будет принято Правительством в ближайшее время.</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Напомним, участниками федерального проекта "Чистый воздух" являются 10 регионов. Это Забайкальский край, Красноярский край, Вологодская, Иркутская, Кемеровская, Липецкая, Омская, Оренбургская, Свердловская и Челябинская области.  </w:t>
      </w:r>
    </w:p>
    <w:p w:rsidR="001A6F23" w:rsidRPr="001A6F23" w:rsidRDefault="001A6F23" w:rsidP="001A6F23">
      <w:pPr>
        <w:spacing w:after="0"/>
        <w:ind w:firstLine="709"/>
        <w:jc w:val="both"/>
        <w:rPr>
          <w:rFonts w:ascii="Times New Roman" w:hAnsi="Times New Roman" w:cs="Times New Roman"/>
          <w:b/>
          <w:sz w:val="26"/>
          <w:szCs w:val="26"/>
        </w:rPr>
      </w:pPr>
      <w:r w:rsidRPr="001A6F23">
        <w:rPr>
          <w:rFonts w:ascii="Times New Roman" w:hAnsi="Times New Roman" w:cs="Times New Roman"/>
          <w:b/>
          <w:sz w:val="26"/>
          <w:szCs w:val="26"/>
        </w:rPr>
        <w:t>Дата вступления в силу - 20.05.2022</w:t>
      </w:r>
    </w:p>
    <w:p w:rsidR="00DA07B8" w:rsidRDefault="00DA07B8" w:rsidP="001A6F23">
      <w:pPr>
        <w:spacing w:after="0"/>
        <w:ind w:firstLine="709"/>
        <w:jc w:val="both"/>
        <w:rPr>
          <w:rFonts w:ascii="Times New Roman" w:hAnsi="Times New Roman" w:cs="Times New Roman"/>
          <w:sz w:val="26"/>
          <w:szCs w:val="26"/>
        </w:rPr>
      </w:pPr>
    </w:p>
    <w:p w:rsid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b/>
          <w:sz w:val="26"/>
          <w:szCs w:val="26"/>
          <w:u w:val="single"/>
        </w:rPr>
      </w:pPr>
      <w:r w:rsidRPr="001A6F23">
        <w:rPr>
          <w:rFonts w:ascii="Times New Roman" w:hAnsi="Times New Roman" w:cs="Times New Roman"/>
          <w:b/>
          <w:sz w:val="26"/>
          <w:szCs w:val="26"/>
          <w:u w:val="single"/>
        </w:rPr>
        <w:t>Появился новый стандарт деятельности в сфере занятости населения</w:t>
      </w:r>
    </w:p>
    <w:p w:rsidR="001A6F23" w:rsidRP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sz w:val="26"/>
          <w:szCs w:val="26"/>
        </w:rPr>
      </w:pPr>
      <w:hyperlink r:id="rId5" w:history="1">
        <w:r w:rsidRPr="001A6F23">
          <w:rPr>
            <w:rStyle w:val="a3"/>
            <w:rFonts w:ascii="Times New Roman" w:hAnsi="Times New Roman" w:cs="Times New Roman"/>
            <w:sz w:val="26"/>
            <w:szCs w:val="26"/>
          </w:rPr>
          <w:t>Минтруд приказом от 07.04.2022 N 204н</w:t>
        </w:r>
      </w:hyperlink>
      <w:r w:rsidRPr="001A6F23">
        <w:rPr>
          <w:rFonts w:ascii="Times New Roman" w:hAnsi="Times New Roman" w:cs="Times New Roman"/>
          <w:sz w:val="26"/>
          <w:szCs w:val="26"/>
        </w:rPr>
        <w:t xml:space="preserve"> утвердил </w:t>
      </w:r>
      <w:hyperlink r:id="rId6" w:history="1">
        <w:r w:rsidRPr="001A6F23">
          <w:rPr>
            <w:rStyle w:val="a3"/>
            <w:rFonts w:ascii="Times New Roman" w:hAnsi="Times New Roman" w:cs="Times New Roman"/>
            <w:sz w:val="26"/>
            <w:szCs w:val="26"/>
          </w:rPr>
          <w:t>Стандарт деятельности по осуществлению полномочия в сфере занятости населения по оказанию государственной услуги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hyperlink>
      <w:r w:rsidRPr="001A6F23">
        <w:rPr>
          <w:rFonts w:ascii="Times New Roman" w:hAnsi="Times New Roman" w:cs="Times New Roman"/>
          <w:sz w:val="26"/>
          <w:szCs w:val="26"/>
        </w:rPr>
        <w:t>.</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Стандартом установлены требования к порядку осуществления полномочия по оказанию </w:t>
      </w:r>
      <w:proofErr w:type="spellStart"/>
      <w:r w:rsidRPr="001A6F23">
        <w:rPr>
          <w:rFonts w:ascii="Times New Roman" w:hAnsi="Times New Roman" w:cs="Times New Roman"/>
          <w:sz w:val="26"/>
          <w:szCs w:val="26"/>
        </w:rPr>
        <w:t>госуслуги</w:t>
      </w:r>
      <w:proofErr w:type="spellEnd"/>
      <w:r w:rsidRPr="001A6F23">
        <w:rPr>
          <w:rFonts w:ascii="Times New Roman" w:hAnsi="Times New Roman" w:cs="Times New Roman"/>
          <w:sz w:val="26"/>
          <w:szCs w:val="26"/>
        </w:rPr>
        <w:t xml:space="preserve">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составу, последовательности и срокам выполнения административных процедур (действий) при осуществлении таких полномочий. </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Также стандарт закрепляет требования к обеспечению процессов деятельности по осуществлению полномочия, а также показатели исполнения Стандарта, порядок представления сведений, необходимых для расчета указанных показателей, методику расчета.</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lastRenderedPageBreak/>
        <w:t xml:space="preserve">Государственная услуга предоставляется госучреждениями службы занятости населения гражданам, признанным в установленном порядке безработными. </w:t>
      </w:r>
    </w:p>
    <w:p w:rsidR="001A6F23" w:rsidRPr="001A6F23" w:rsidRDefault="001A6F23" w:rsidP="001A6F23">
      <w:pPr>
        <w:spacing w:after="0"/>
        <w:ind w:firstLine="709"/>
        <w:jc w:val="both"/>
        <w:rPr>
          <w:rFonts w:ascii="Times New Roman" w:hAnsi="Times New Roman" w:cs="Times New Roman"/>
          <w:b/>
          <w:sz w:val="26"/>
          <w:szCs w:val="26"/>
        </w:rPr>
      </w:pPr>
      <w:r w:rsidRPr="001A6F23">
        <w:rPr>
          <w:rFonts w:ascii="Times New Roman" w:hAnsi="Times New Roman" w:cs="Times New Roman"/>
          <w:b/>
          <w:sz w:val="26"/>
          <w:szCs w:val="26"/>
        </w:rPr>
        <w:t>  Дата вступления в силу - 01.01.2023</w:t>
      </w:r>
    </w:p>
    <w:p w:rsidR="001A6F23" w:rsidRDefault="001A6F23" w:rsidP="001A6F23">
      <w:pPr>
        <w:spacing w:after="0"/>
        <w:ind w:firstLine="709"/>
        <w:jc w:val="both"/>
        <w:rPr>
          <w:rFonts w:ascii="Times New Roman" w:hAnsi="Times New Roman" w:cs="Times New Roman"/>
          <w:sz w:val="26"/>
          <w:szCs w:val="26"/>
        </w:rPr>
      </w:pPr>
    </w:p>
    <w:p w:rsid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b/>
          <w:sz w:val="26"/>
          <w:szCs w:val="26"/>
          <w:u w:val="single"/>
        </w:rPr>
      </w:pPr>
      <w:r w:rsidRPr="001A6F23">
        <w:rPr>
          <w:rFonts w:ascii="Times New Roman" w:hAnsi="Times New Roman" w:cs="Times New Roman"/>
          <w:b/>
          <w:sz w:val="26"/>
          <w:szCs w:val="26"/>
          <w:u w:val="single"/>
        </w:rPr>
        <w:t>Установлены правила проставления МФЦ отметки на документах, представленных на бумажном носителе, о создании электронных образов таких документов</w:t>
      </w:r>
    </w:p>
    <w:p w:rsidR="001A6F23" w:rsidRP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sz w:val="26"/>
          <w:szCs w:val="26"/>
        </w:rPr>
      </w:pPr>
      <w:hyperlink r:id="rId7" w:history="1">
        <w:r w:rsidRPr="001A6F23">
          <w:rPr>
            <w:rStyle w:val="a3"/>
            <w:rFonts w:ascii="Times New Roman" w:hAnsi="Times New Roman" w:cs="Times New Roman"/>
            <w:sz w:val="26"/>
            <w:szCs w:val="26"/>
          </w:rPr>
          <w:t>Постановлением Правительства РФ от 06.05.2022 N 818</w:t>
        </w:r>
      </w:hyperlink>
      <w:r w:rsidRPr="001A6F23">
        <w:rPr>
          <w:rFonts w:ascii="Times New Roman" w:hAnsi="Times New Roman" w:cs="Times New Roman"/>
          <w:sz w:val="26"/>
          <w:szCs w:val="26"/>
        </w:rPr>
        <w:t xml:space="preserve"> регламентированы Правила проставления МФЦ отметки на документах, представленных на бумажном носителе, о создании электронных образов документов, а также правила хранения представленных заявителем в </w:t>
      </w:r>
      <w:proofErr w:type="spellStart"/>
      <w:r w:rsidRPr="001A6F23">
        <w:rPr>
          <w:rFonts w:ascii="Times New Roman" w:hAnsi="Times New Roman" w:cs="Times New Roman"/>
          <w:sz w:val="26"/>
          <w:szCs w:val="26"/>
        </w:rPr>
        <w:t>Росреестр</w:t>
      </w:r>
      <w:proofErr w:type="spellEnd"/>
      <w:r w:rsidRPr="001A6F23">
        <w:rPr>
          <w:rFonts w:ascii="Times New Roman" w:hAnsi="Times New Roman" w:cs="Times New Roman"/>
          <w:sz w:val="26"/>
          <w:szCs w:val="26"/>
        </w:rPr>
        <w:t xml:space="preserve"> таких документов. В том числе, утверждены:</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 форма отметки на документах, представленных на бумажном носителе, о создании электронных образов таких документов; </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форма отметки о том, что представленные заявителем на бумажном носителе документы являются копиями.</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Кроме того, установлен порядок хранения МФЦ представленных в </w:t>
      </w:r>
      <w:proofErr w:type="spellStart"/>
      <w:r w:rsidRPr="001A6F23">
        <w:rPr>
          <w:rFonts w:ascii="Times New Roman" w:hAnsi="Times New Roman" w:cs="Times New Roman"/>
          <w:sz w:val="26"/>
          <w:szCs w:val="26"/>
        </w:rPr>
        <w:t>Росреестр</w:t>
      </w:r>
      <w:proofErr w:type="spellEnd"/>
      <w:r w:rsidRPr="001A6F23">
        <w:rPr>
          <w:rFonts w:ascii="Times New Roman" w:hAnsi="Times New Roman" w:cs="Times New Roman"/>
          <w:sz w:val="26"/>
          <w:szCs w:val="26"/>
        </w:rPr>
        <w:t xml:space="preserve"> бумажных документов после их перевода в электронные образы.</w:t>
      </w:r>
    </w:p>
    <w:p w:rsidR="001A6F23" w:rsidRPr="001A6F23" w:rsidRDefault="001A6F23" w:rsidP="001A6F23">
      <w:pPr>
        <w:spacing w:after="0"/>
        <w:ind w:firstLine="709"/>
        <w:jc w:val="both"/>
        <w:rPr>
          <w:rFonts w:ascii="Times New Roman" w:hAnsi="Times New Roman" w:cs="Times New Roman"/>
          <w:b/>
          <w:sz w:val="26"/>
          <w:szCs w:val="26"/>
        </w:rPr>
      </w:pPr>
      <w:r w:rsidRPr="001A6F23">
        <w:rPr>
          <w:rFonts w:ascii="Times New Roman" w:hAnsi="Times New Roman" w:cs="Times New Roman"/>
          <w:b/>
          <w:sz w:val="26"/>
          <w:szCs w:val="26"/>
        </w:rPr>
        <w:t>Дата вступления в силу - 29.06.2022</w:t>
      </w:r>
    </w:p>
    <w:p w:rsidR="001A6F23" w:rsidRDefault="001A6F23" w:rsidP="001A6F23">
      <w:pPr>
        <w:spacing w:after="0"/>
        <w:ind w:firstLine="709"/>
        <w:jc w:val="both"/>
        <w:rPr>
          <w:rFonts w:ascii="Times New Roman" w:hAnsi="Times New Roman" w:cs="Times New Roman"/>
          <w:sz w:val="26"/>
          <w:szCs w:val="26"/>
        </w:rPr>
      </w:pPr>
    </w:p>
    <w:p w:rsid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b/>
          <w:sz w:val="26"/>
          <w:szCs w:val="26"/>
          <w:u w:val="single"/>
        </w:rPr>
      </w:pPr>
      <w:r w:rsidRPr="001A6F23">
        <w:rPr>
          <w:rFonts w:ascii="Times New Roman" w:hAnsi="Times New Roman" w:cs="Times New Roman"/>
          <w:b/>
          <w:sz w:val="26"/>
          <w:szCs w:val="26"/>
          <w:u w:val="single"/>
        </w:rPr>
        <w:t>Правительство утвердило правила предоставления льготных бюджетных кредитов регионам для погашения рыночной задолженности</w:t>
      </w:r>
    </w:p>
    <w:p w:rsidR="001A6F23" w:rsidRP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Российские регионы в 2022 году смогут получить бюджетные кредиты под 0,1% годовых на погашение долгов по рыночным заимствованиям. </w:t>
      </w:r>
      <w:hyperlink r:id="rId8" w:history="1">
        <w:r w:rsidRPr="001A6F23">
          <w:rPr>
            <w:rStyle w:val="a3"/>
            <w:rFonts w:ascii="Times New Roman" w:hAnsi="Times New Roman" w:cs="Times New Roman"/>
            <w:sz w:val="26"/>
            <w:szCs w:val="26"/>
          </w:rPr>
          <w:t>Правила</w:t>
        </w:r>
      </w:hyperlink>
      <w:r w:rsidRPr="001A6F23">
        <w:rPr>
          <w:rFonts w:ascii="Times New Roman" w:hAnsi="Times New Roman" w:cs="Times New Roman"/>
          <w:sz w:val="26"/>
          <w:szCs w:val="26"/>
        </w:rPr>
        <w:t xml:space="preserve"> предоставления займов на эти цели утвердил Председатель Правительства Михаил </w:t>
      </w:r>
      <w:proofErr w:type="spellStart"/>
      <w:r w:rsidRPr="001A6F23">
        <w:rPr>
          <w:rFonts w:ascii="Times New Roman" w:hAnsi="Times New Roman" w:cs="Times New Roman"/>
          <w:sz w:val="26"/>
          <w:szCs w:val="26"/>
        </w:rPr>
        <w:t>Мишустин</w:t>
      </w:r>
      <w:proofErr w:type="spellEnd"/>
      <w:r w:rsidRPr="001A6F23">
        <w:rPr>
          <w:rFonts w:ascii="Times New Roman" w:hAnsi="Times New Roman" w:cs="Times New Roman"/>
          <w:sz w:val="26"/>
          <w:szCs w:val="26"/>
        </w:rPr>
        <w:t>. Решение позволит субъектам быстрее погасить свои обязательства, снизить расходы на обслуживание задолженности.</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Регионы имеют право выпускать облигации для привлечения рыночного финансирования. По этим ценным бумагам выплачивается купонный доход. Бюджетные кредиты, предусмотренные подписанным постановлением, можно будет направлять на покрытие этих обязательств. Также их разрешается использовать для выплат по займам, полученным от кредитных организаций.</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Льготный бюджетный кредит можно будет получить на срок до 2028 года включительно и выплачивать равными долями с 2025 по 2028 год. Также предусматривается возможность досрочного погашения. Заём предоставляется на основании обращения региональных властей и оформляется соглашением с Минфином.</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"Рассчитываем, что поддержка из федерального бюджета позволит регионам не только сократить сам рыночный долг, но и снизить платежи по его обслуживанию, а значит, высвободить ресурсы для решения наиболее актуальных вопросов, направить их на развитие экономики, социальные программы, </w:t>
      </w:r>
      <w:r w:rsidRPr="001A6F23">
        <w:rPr>
          <w:rFonts w:ascii="Times New Roman" w:hAnsi="Times New Roman" w:cs="Times New Roman"/>
          <w:sz w:val="26"/>
          <w:szCs w:val="26"/>
        </w:rPr>
        <w:lastRenderedPageBreak/>
        <w:t xml:space="preserve">совершенствование инфраструктуры", - отметил Михаил </w:t>
      </w:r>
      <w:proofErr w:type="spellStart"/>
      <w:r w:rsidRPr="001A6F23">
        <w:rPr>
          <w:rFonts w:ascii="Times New Roman" w:hAnsi="Times New Roman" w:cs="Times New Roman"/>
          <w:sz w:val="26"/>
          <w:szCs w:val="26"/>
        </w:rPr>
        <w:t>Мишустин</w:t>
      </w:r>
      <w:proofErr w:type="spellEnd"/>
      <w:r w:rsidRPr="001A6F23">
        <w:rPr>
          <w:rFonts w:ascii="Times New Roman" w:hAnsi="Times New Roman" w:cs="Times New Roman"/>
          <w:sz w:val="26"/>
          <w:szCs w:val="26"/>
        </w:rPr>
        <w:t xml:space="preserve"> на заседании Правительства 11 мая.</w:t>
      </w:r>
    </w:p>
    <w:p w:rsidR="001A6F23" w:rsidRPr="001A6F23" w:rsidRDefault="001A6F23" w:rsidP="001A6F23">
      <w:pPr>
        <w:spacing w:after="0"/>
        <w:ind w:firstLine="709"/>
        <w:jc w:val="both"/>
        <w:rPr>
          <w:rFonts w:ascii="Times New Roman" w:hAnsi="Times New Roman" w:cs="Times New Roman"/>
          <w:b/>
          <w:sz w:val="26"/>
          <w:szCs w:val="26"/>
        </w:rPr>
      </w:pPr>
      <w:r w:rsidRPr="001A6F23">
        <w:rPr>
          <w:rFonts w:ascii="Times New Roman" w:hAnsi="Times New Roman" w:cs="Times New Roman"/>
          <w:b/>
          <w:sz w:val="26"/>
          <w:szCs w:val="26"/>
        </w:rPr>
        <w:t>Дата вступления в силу - 11.05.2022</w:t>
      </w:r>
    </w:p>
    <w:p w:rsidR="001A6F23" w:rsidRDefault="001A6F23" w:rsidP="001A6F23">
      <w:pPr>
        <w:spacing w:after="0"/>
        <w:ind w:firstLine="709"/>
        <w:jc w:val="both"/>
        <w:rPr>
          <w:rFonts w:ascii="Times New Roman" w:hAnsi="Times New Roman" w:cs="Times New Roman"/>
          <w:sz w:val="26"/>
          <w:szCs w:val="26"/>
        </w:rPr>
      </w:pPr>
    </w:p>
    <w:p w:rsid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b/>
          <w:sz w:val="26"/>
          <w:szCs w:val="26"/>
          <w:u w:val="single"/>
        </w:rPr>
      </w:pPr>
      <w:r w:rsidRPr="001A6F23">
        <w:rPr>
          <w:rFonts w:ascii="Times New Roman" w:hAnsi="Times New Roman" w:cs="Times New Roman"/>
          <w:b/>
          <w:sz w:val="26"/>
          <w:szCs w:val="26"/>
          <w:u w:val="single"/>
        </w:rPr>
        <w:t>Регламентированы особенности проведения ГИА по образовательным программам основного общего и среднего общего образования в 2022 году</w:t>
      </w:r>
    </w:p>
    <w:p w:rsidR="001A6F23" w:rsidRPr="001A6F23" w:rsidRDefault="001A6F23" w:rsidP="001A6F23">
      <w:pPr>
        <w:spacing w:after="0"/>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Особенности утверждены </w:t>
      </w:r>
      <w:hyperlink r:id="rId9" w:history="1">
        <w:r w:rsidRPr="001A6F23">
          <w:rPr>
            <w:rStyle w:val="a3"/>
            <w:rFonts w:ascii="Times New Roman" w:hAnsi="Times New Roman" w:cs="Times New Roman"/>
            <w:sz w:val="26"/>
            <w:szCs w:val="26"/>
          </w:rPr>
          <w:t xml:space="preserve">Приказом </w:t>
        </w:r>
        <w:proofErr w:type="spellStart"/>
        <w:r w:rsidRPr="001A6F23">
          <w:rPr>
            <w:rStyle w:val="a3"/>
            <w:rFonts w:ascii="Times New Roman" w:hAnsi="Times New Roman" w:cs="Times New Roman"/>
            <w:sz w:val="26"/>
            <w:szCs w:val="26"/>
          </w:rPr>
          <w:t>Минпросвещения</w:t>
        </w:r>
        <w:proofErr w:type="spellEnd"/>
        <w:r w:rsidRPr="001A6F23">
          <w:rPr>
            <w:rStyle w:val="a3"/>
            <w:rFonts w:ascii="Times New Roman" w:hAnsi="Times New Roman" w:cs="Times New Roman"/>
            <w:sz w:val="26"/>
            <w:szCs w:val="26"/>
          </w:rPr>
          <w:t xml:space="preserve"> России от 13.04.2022 N 230/515</w:t>
        </w:r>
      </w:hyperlink>
      <w:r w:rsidRPr="001A6F23">
        <w:rPr>
          <w:rFonts w:ascii="Times New Roman" w:hAnsi="Times New Roman" w:cs="Times New Roman"/>
          <w:sz w:val="26"/>
          <w:szCs w:val="26"/>
        </w:rPr>
        <w:t xml:space="preserve"> и </w:t>
      </w:r>
      <w:hyperlink r:id="rId10" w:history="1">
        <w:r w:rsidRPr="001A6F23">
          <w:rPr>
            <w:rStyle w:val="a3"/>
            <w:rFonts w:ascii="Times New Roman" w:hAnsi="Times New Roman" w:cs="Times New Roman"/>
            <w:sz w:val="26"/>
            <w:szCs w:val="26"/>
          </w:rPr>
          <w:t xml:space="preserve">Приказом </w:t>
        </w:r>
        <w:proofErr w:type="spellStart"/>
        <w:r w:rsidRPr="001A6F23">
          <w:rPr>
            <w:rStyle w:val="a3"/>
            <w:rFonts w:ascii="Times New Roman" w:hAnsi="Times New Roman" w:cs="Times New Roman"/>
            <w:sz w:val="26"/>
            <w:szCs w:val="26"/>
          </w:rPr>
          <w:t>Рособрнадзора</w:t>
        </w:r>
        <w:proofErr w:type="spellEnd"/>
        <w:r w:rsidRPr="001A6F23">
          <w:rPr>
            <w:rStyle w:val="a3"/>
            <w:rFonts w:ascii="Times New Roman" w:hAnsi="Times New Roman" w:cs="Times New Roman"/>
            <w:sz w:val="26"/>
            <w:szCs w:val="26"/>
          </w:rPr>
          <w:t xml:space="preserve"> от 13.04.2022 N 230/515</w:t>
        </w:r>
      </w:hyperlink>
      <w:r w:rsidRPr="001A6F23">
        <w:rPr>
          <w:rFonts w:ascii="Times New Roman" w:hAnsi="Times New Roman" w:cs="Times New Roman"/>
          <w:sz w:val="26"/>
          <w:szCs w:val="26"/>
        </w:rPr>
        <w:t xml:space="preserve">. </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Приказами очерчен </w:t>
      </w:r>
      <w:hyperlink r:id="rId11" w:history="1">
        <w:r w:rsidRPr="001A6F23">
          <w:rPr>
            <w:rStyle w:val="a3"/>
            <w:rFonts w:ascii="Times New Roman" w:hAnsi="Times New Roman" w:cs="Times New Roman"/>
            <w:sz w:val="26"/>
            <w:szCs w:val="26"/>
          </w:rPr>
          <w:t>круг</w:t>
        </w:r>
      </w:hyperlink>
      <w:r w:rsidRPr="001A6F23">
        <w:rPr>
          <w:rFonts w:ascii="Times New Roman" w:hAnsi="Times New Roman" w:cs="Times New Roman"/>
          <w:sz w:val="26"/>
          <w:szCs w:val="26"/>
        </w:rPr>
        <w:t xml:space="preserve"> лиц, к которым применимы устанавливаемые положения. </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Установлено, что:</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не прошедшим ГИА-9 или получившим на ГИА-9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ГИА-9 в резервные сроки, предоставляется право пройти ГИА-9 в форме промежуточной аттестации по образовательным программам основного общего образования;</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 не прошедшим ГИА-11 по </w:t>
      </w:r>
      <w:proofErr w:type="gramStart"/>
      <w:r w:rsidRPr="001A6F23">
        <w:rPr>
          <w:rFonts w:ascii="Times New Roman" w:hAnsi="Times New Roman" w:cs="Times New Roman"/>
          <w:sz w:val="26"/>
          <w:szCs w:val="26"/>
        </w:rPr>
        <w:t>обязательным учебным предметам</w:t>
      </w:r>
      <w:proofErr w:type="gramEnd"/>
      <w:r w:rsidRPr="001A6F23">
        <w:rPr>
          <w:rFonts w:ascii="Times New Roman" w:hAnsi="Times New Roman" w:cs="Times New Roman"/>
          <w:sz w:val="26"/>
          <w:szCs w:val="26"/>
        </w:rPr>
        <w:t xml:space="preserve"> либо получившим на ГИА-11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ГИА-11 в резервные сроки, предоставляется право пройти ГИА-11 в форме промежуточной аттестации по образовательным программам среднего общ</w:t>
      </w:r>
      <w:r>
        <w:rPr>
          <w:rFonts w:ascii="Times New Roman" w:hAnsi="Times New Roman" w:cs="Times New Roman"/>
          <w:sz w:val="26"/>
          <w:szCs w:val="26"/>
        </w:rPr>
        <w:t>его образования.</w:t>
      </w:r>
    </w:p>
    <w:p w:rsidR="001A6F23" w:rsidRPr="001A6F23" w:rsidRDefault="001A6F23" w:rsidP="001A6F23">
      <w:pPr>
        <w:spacing w:after="0"/>
        <w:ind w:firstLine="709"/>
        <w:jc w:val="both"/>
        <w:rPr>
          <w:rFonts w:ascii="Times New Roman" w:hAnsi="Times New Roman" w:cs="Times New Roman"/>
          <w:b/>
          <w:sz w:val="26"/>
          <w:szCs w:val="26"/>
        </w:rPr>
      </w:pPr>
      <w:r w:rsidRPr="001A6F23">
        <w:rPr>
          <w:rFonts w:ascii="Times New Roman" w:hAnsi="Times New Roman" w:cs="Times New Roman"/>
          <w:b/>
          <w:sz w:val="26"/>
          <w:szCs w:val="26"/>
        </w:rPr>
        <w:t>Дата вступления в силу - 22.05.2022</w:t>
      </w:r>
    </w:p>
    <w:p w:rsidR="001A6F23" w:rsidRDefault="001A6F23" w:rsidP="001A6F23">
      <w:pPr>
        <w:spacing w:after="0"/>
        <w:ind w:firstLine="709"/>
        <w:jc w:val="both"/>
        <w:rPr>
          <w:rFonts w:ascii="Times New Roman" w:hAnsi="Times New Roman" w:cs="Times New Roman"/>
          <w:sz w:val="26"/>
          <w:szCs w:val="26"/>
        </w:rPr>
      </w:pPr>
    </w:p>
    <w:p w:rsid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b/>
          <w:sz w:val="26"/>
          <w:szCs w:val="26"/>
          <w:u w:val="single"/>
        </w:rPr>
      </w:pPr>
      <w:r w:rsidRPr="001A6F23">
        <w:rPr>
          <w:rFonts w:ascii="Times New Roman" w:hAnsi="Times New Roman" w:cs="Times New Roman"/>
          <w:b/>
          <w:sz w:val="26"/>
          <w:szCs w:val="26"/>
          <w:u w:val="single"/>
        </w:rPr>
        <w:t>Путин подписал закон об упрощении процедуры выплаты пенсии по потере кормильца для студентов</w:t>
      </w:r>
    </w:p>
    <w:p w:rsidR="001A6F23" w:rsidRP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В </w:t>
      </w:r>
      <w:hyperlink r:id="rId12" w:history="1">
        <w:r w:rsidRPr="001A6F23">
          <w:rPr>
            <w:rStyle w:val="a3"/>
            <w:rFonts w:ascii="Times New Roman" w:hAnsi="Times New Roman" w:cs="Times New Roman"/>
            <w:sz w:val="26"/>
            <w:szCs w:val="26"/>
          </w:rPr>
          <w:t>Федеральный закон от 28 декабря 2013 года N 400-ФЗ "О страховых пенсиях"</w:t>
        </w:r>
      </w:hyperlink>
      <w:r w:rsidRPr="001A6F23">
        <w:rPr>
          <w:rFonts w:ascii="Times New Roman" w:hAnsi="Times New Roman" w:cs="Times New Roman"/>
          <w:sz w:val="26"/>
          <w:szCs w:val="26"/>
        </w:rPr>
        <w:t xml:space="preserve"> внесены изменения </w:t>
      </w:r>
      <w:hyperlink r:id="rId13" w:history="1">
        <w:r w:rsidRPr="001A6F23">
          <w:rPr>
            <w:rStyle w:val="a3"/>
            <w:rFonts w:ascii="Times New Roman" w:hAnsi="Times New Roman" w:cs="Times New Roman"/>
            <w:sz w:val="26"/>
            <w:szCs w:val="26"/>
          </w:rPr>
          <w:t>Федеральным законом от 01.05.2022 N 136-ФЗ.</w:t>
        </w:r>
      </w:hyperlink>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Теперь совершеннолетние дети, братья, сестры и внуки умершего кормильца будут признаваться нетрудоспособными на период с выпуска из школы и до 1 сентября года выпуска.</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Ранее приходилось доказывать, что на период поступления в различные учебные заведения совершеннолетние молодые люди не работали, это вызывало трудности и лишало детей выплат на летний период. </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Также согласно </w:t>
      </w:r>
      <w:hyperlink r:id="rId14" w:history="1">
        <w:r w:rsidRPr="001A6F23">
          <w:rPr>
            <w:rStyle w:val="a3"/>
            <w:rFonts w:ascii="Times New Roman" w:hAnsi="Times New Roman" w:cs="Times New Roman"/>
            <w:sz w:val="26"/>
            <w:szCs w:val="26"/>
          </w:rPr>
          <w:t>новому закону</w:t>
        </w:r>
      </w:hyperlink>
      <w:r w:rsidRPr="001A6F23">
        <w:rPr>
          <w:rFonts w:ascii="Times New Roman" w:hAnsi="Times New Roman" w:cs="Times New Roman"/>
          <w:sz w:val="26"/>
          <w:szCs w:val="26"/>
        </w:rPr>
        <w:t xml:space="preserve"> не нужно будет подтверждать иждивение совершеннолетних детей умершего кормильца на период очной учебы в вузе и до достижения ими возраста 23 лет при условии, что на день смерти кормильца они не работали. </w:t>
      </w:r>
    </w:p>
    <w:p w:rsidR="001A6F23" w:rsidRPr="001A6F23" w:rsidRDefault="001A6F23" w:rsidP="001A6F23">
      <w:pPr>
        <w:spacing w:after="0"/>
        <w:ind w:firstLine="709"/>
        <w:jc w:val="both"/>
        <w:rPr>
          <w:rFonts w:ascii="Times New Roman" w:hAnsi="Times New Roman" w:cs="Times New Roman"/>
          <w:b/>
          <w:sz w:val="26"/>
          <w:szCs w:val="26"/>
        </w:rPr>
      </w:pPr>
      <w:r w:rsidRPr="001A6F23">
        <w:rPr>
          <w:rFonts w:ascii="Times New Roman" w:hAnsi="Times New Roman" w:cs="Times New Roman"/>
          <w:b/>
          <w:sz w:val="26"/>
          <w:szCs w:val="26"/>
        </w:rPr>
        <w:t>Дата вступления в силу - 01.06.2022</w:t>
      </w:r>
    </w:p>
    <w:p w:rsidR="001A6F23" w:rsidRDefault="001A6F23" w:rsidP="001A6F23">
      <w:pPr>
        <w:spacing w:after="0"/>
        <w:ind w:firstLine="709"/>
        <w:jc w:val="both"/>
        <w:rPr>
          <w:rFonts w:ascii="Times New Roman" w:hAnsi="Times New Roman" w:cs="Times New Roman"/>
          <w:sz w:val="26"/>
          <w:szCs w:val="26"/>
        </w:rPr>
      </w:pPr>
    </w:p>
    <w:p w:rsidR="001A6F23" w:rsidRDefault="001A6F23" w:rsidP="001A6F23">
      <w:pPr>
        <w:spacing w:after="0"/>
        <w:ind w:firstLine="709"/>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b/>
          <w:sz w:val="26"/>
          <w:szCs w:val="26"/>
          <w:u w:val="single"/>
        </w:rPr>
      </w:pPr>
      <w:r w:rsidRPr="001A6F23">
        <w:rPr>
          <w:rFonts w:ascii="Times New Roman" w:hAnsi="Times New Roman" w:cs="Times New Roman"/>
          <w:b/>
          <w:sz w:val="26"/>
          <w:szCs w:val="26"/>
          <w:u w:val="single"/>
        </w:rPr>
        <w:lastRenderedPageBreak/>
        <w:t>Правительство поддержит инвесторов, реализующих проекты в сфере обращения с отходами</w:t>
      </w:r>
    </w:p>
    <w:p w:rsidR="001A6F23" w:rsidRPr="001A6F23" w:rsidRDefault="001A6F23" w:rsidP="001A6F23">
      <w:pPr>
        <w:spacing w:after="0"/>
        <w:jc w:val="both"/>
        <w:rPr>
          <w:rFonts w:ascii="Times New Roman" w:hAnsi="Times New Roman" w:cs="Times New Roman"/>
          <w:sz w:val="26"/>
          <w:szCs w:val="26"/>
        </w:rPr>
      </w:pP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Инвестиционные компании, реализующие проекты по обработке и утилизации коммунальных отходов, смогут рассчитывать на льготную процентную ставку по банковским кредитам. Такое </w:t>
      </w:r>
      <w:r w:rsidRPr="00CC7F76">
        <w:rPr>
          <w:rFonts w:ascii="Times New Roman" w:hAnsi="Times New Roman" w:cs="Times New Roman"/>
          <w:sz w:val="26"/>
          <w:szCs w:val="26"/>
        </w:rPr>
        <w:t>постановление</w:t>
      </w:r>
      <w:r w:rsidRPr="001A6F23">
        <w:rPr>
          <w:rFonts w:ascii="Times New Roman" w:hAnsi="Times New Roman" w:cs="Times New Roman"/>
          <w:sz w:val="26"/>
          <w:szCs w:val="26"/>
        </w:rPr>
        <w:t xml:space="preserve"> подписал Председатель Правительства Михаил </w:t>
      </w:r>
      <w:proofErr w:type="spellStart"/>
      <w:r w:rsidRPr="001A6F23">
        <w:rPr>
          <w:rFonts w:ascii="Times New Roman" w:hAnsi="Times New Roman" w:cs="Times New Roman"/>
          <w:sz w:val="26"/>
          <w:szCs w:val="26"/>
        </w:rPr>
        <w:t>Мишустин</w:t>
      </w:r>
      <w:proofErr w:type="spellEnd"/>
      <w:r w:rsidRPr="001A6F23">
        <w:rPr>
          <w:rFonts w:ascii="Times New Roman" w:hAnsi="Times New Roman" w:cs="Times New Roman"/>
          <w:sz w:val="26"/>
          <w:szCs w:val="26"/>
        </w:rPr>
        <w:t>.</w:t>
      </w:r>
      <w:r w:rsidR="00CC7F76">
        <w:rPr>
          <w:rFonts w:ascii="Times New Roman" w:hAnsi="Times New Roman" w:cs="Times New Roman"/>
          <w:sz w:val="26"/>
          <w:szCs w:val="26"/>
        </w:rPr>
        <w:t xml:space="preserve"> (Постановление Правительства РФ от 05.05.2022 №814)</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Процентная ставка для инвесторов будет не выше 12,5%. Субсидии от государства будут покрывать банкам оставшуюся часть ставки.</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Условиями такого льготного кредитования являются строительство, реконструкция или модернизация объектов по обращению с отходами, а также их </w:t>
      </w:r>
      <w:proofErr w:type="spellStart"/>
      <w:r w:rsidRPr="001A6F23">
        <w:rPr>
          <w:rFonts w:ascii="Times New Roman" w:hAnsi="Times New Roman" w:cs="Times New Roman"/>
          <w:sz w:val="26"/>
          <w:szCs w:val="26"/>
        </w:rPr>
        <w:t>софинансирование</w:t>
      </w:r>
      <w:proofErr w:type="spellEnd"/>
      <w:r w:rsidRPr="001A6F23">
        <w:rPr>
          <w:rFonts w:ascii="Times New Roman" w:hAnsi="Times New Roman" w:cs="Times New Roman"/>
          <w:sz w:val="26"/>
          <w:szCs w:val="26"/>
        </w:rPr>
        <w:t xml:space="preserve"> публично-правовой компанией "Российский экологический оператор". </w:t>
      </w:r>
    </w:p>
    <w:p w:rsidR="001A6F23" w:rsidRPr="001A6F23" w:rsidRDefault="001A6F23" w:rsidP="001A6F23">
      <w:pPr>
        <w:spacing w:after="0"/>
        <w:ind w:firstLine="709"/>
        <w:jc w:val="both"/>
        <w:rPr>
          <w:rFonts w:ascii="Times New Roman" w:hAnsi="Times New Roman" w:cs="Times New Roman"/>
          <w:sz w:val="26"/>
          <w:szCs w:val="26"/>
        </w:rPr>
      </w:pPr>
      <w:r w:rsidRPr="001A6F23">
        <w:rPr>
          <w:rFonts w:ascii="Times New Roman" w:hAnsi="Times New Roman" w:cs="Times New Roman"/>
          <w:sz w:val="26"/>
          <w:szCs w:val="26"/>
        </w:rPr>
        <w:t xml:space="preserve">Подписанный документ - часть плана первоочередных действий Правительства в условиях внешнего </w:t>
      </w:r>
      <w:proofErr w:type="spellStart"/>
      <w:r w:rsidRPr="001A6F23">
        <w:rPr>
          <w:rFonts w:ascii="Times New Roman" w:hAnsi="Times New Roman" w:cs="Times New Roman"/>
          <w:sz w:val="26"/>
          <w:szCs w:val="26"/>
        </w:rPr>
        <w:t>санкционного</w:t>
      </w:r>
      <w:proofErr w:type="spellEnd"/>
      <w:r w:rsidRPr="001A6F23">
        <w:rPr>
          <w:rFonts w:ascii="Times New Roman" w:hAnsi="Times New Roman" w:cs="Times New Roman"/>
          <w:sz w:val="26"/>
          <w:szCs w:val="26"/>
        </w:rPr>
        <w:t xml:space="preserve"> давления.</w:t>
      </w:r>
    </w:p>
    <w:p w:rsidR="001A6F23" w:rsidRPr="001A6F23" w:rsidRDefault="001A6F23" w:rsidP="001A6F23">
      <w:pPr>
        <w:spacing w:after="0"/>
        <w:jc w:val="both"/>
        <w:rPr>
          <w:rFonts w:ascii="Times New Roman" w:hAnsi="Times New Roman" w:cs="Times New Roman"/>
          <w:b/>
          <w:sz w:val="26"/>
          <w:szCs w:val="26"/>
        </w:rPr>
      </w:pPr>
      <w:r w:rsidRPr="001A6F23">
        <w:rPr>
          <w:rFonts w:ascii="Times New Roman" w:hAnsi="Times New Roman" w:cs="Times New Roman"/>
          <w:b/>
          <w:sz w:val="26"/>
          <w:szCs w:val="26"/>
        </w:rPr>
        <w:t>Дата вступления в силу - 07.05.2022</w:t>
      </w:r>
    </w:p>
    <w:p w:rsidR="001A6F23" w:rsidRDefault="001A6F23" w:rsidP="001A6F23">
      <w:pPr>
        <w:spacing w:after="0"/>
        <w:ind w:firstLine="709"/>
        <w:jc w:val="both"/>
        <w:rPr>
          <w:rFonts w:ascii="Times New Roman" w:hAnsi="Times New Roman" w:cs="Times New Roman"/>
          <w:sz w:val="26"/>
          <w:szCs w:val="26"/>
        </w:rPr>
      </w:pPr>
    </w:p>
    <w:p w:rsidR="00CC7F76" w:rsidRDefault="00CC7F76" w:rsidP="001A6F23">
      <w:pPr>
        <w:spacing w:after="0"/>
        <w:ind w:firstLine="709"/>
        <w:jc w:val="both"/>
        <w:rPr>
          <w:rFonts w:ascii="Times New Roman" w:hAnsi="Times New Roman" w:cs="Times New Roman"/>
          <w:sz w:val="26"/>
          <w:szCs w:val="26"/>
        </w:rPr>
      </w:pPr>
    </w:p>
    <w:p w:rsidR="00CC7F76" w:rsidRPr="00CC7F76" w:rsidRDefault="00CC7F76" w:rsidP="00CC7F76">
      <w:pPr>
        <w:spacing w:after="0"/>
        <w:ind w:firstLine="709"/>
        <w:jc w:val="both"/>
        <w:rPr>
          <w:rFonts w:ascii="Times New Roman" w:hAnsi="Times New Roman" w:cs="Times New Roman"/>
          <w:b/>
          <w:sz w:val="26"/>
          <w:szCs w:val="26"/>
          <w:u w:val="single"/>
        </w:rPr>
      </w:pPr>
      <w:r w:rsidRPr="00CC7F76">
        <w:rPr>
          <w:rFonts w:ascii="Times New Roman" w:hAnsi="Times New Roman" w:cs="Times New Roman"/>
          <w:b/>
          <w:sz w:val="26"/>
          <w:szCs w:val="26"/>
          <w:u w:val="single"/>
        </w:rPr>
        <w:t>Правительство поддержит подрядчиков капремонта многоквартирных домов</w:t>
      </w:r>
    </w:p>
    <w:p w:rsidR="00CC7F76" w:rsidRPr="00CC7F76" w:rsidRDefault="00CC7F76" w:rsidP="00CC7F76">
      <w:pPr>
        <w:spacing w:after="0"/>
        <w:ind w:firstLine="709"/>
        <w:jc w:val="both"/>
        <w:rPr>
          <w:rFonts w:ascii="Times New Roman" w:hAnsi="Times New Roman" w:cs="Times New Roman"/>
          <w:sz w:val="26"/>
          <w:szCs w:val="26"/>
        </w:rPr>
      </w:pPr>
    </w:p>
    <w:p w:rsidR="00CC7F76" w:rsidRPr="00CC7F76" w:rsidRDefault="00CC7F76" w:rsidP="00CC7F76">
      <w:pPr>
        <w:spacing w:after="0"/>
        <w:ind w:firstLine="709"/>
        <w:jc w:val="both"/>
        <w:rPr>
          <w:rFonts w:ascii="Times New Roman" w:hAnsi="Times New Roman" w:cs="Times New Roman"/>
          <w:sz w:val="26"/>
          <w:szCs w:val="26"/>
        </w:rPr>
      </w:pPr>
      <w:r w:rsidRPr="00CC7F76">
        <w:rPr>
          <w:rFonts w:ascii="Times New Roman" w:hAnsi="Times New Roman" w:cs="Times New Roman"/>
          <w:sz w:val="26"/>
          <w:szCs w:val="26"/>
        </w:rPr>
        <w:t>Правительство разрешило региональным операторам увеличивать аванс подрядным организациям, которые занимаются капремонтом многоквартирных домов, и корректировать цену контрактов. Это позволит избежать срыва сроков проведения работ и обеспечить их качество, а также поддержать финансовую стабильность предприятий.</w:t>
      </w:r>
    </w:p>
    <w:p w:rsidR="00CC7F76" w:rsidRPr="00CC7F76" w:rsidRDefault="00CC7F76" w:rsidP="00CC7F76">
      <w:pPr>
        <w:spacing w:after="0"/>
        <w:ind w:firstLine="709"/>
        <w:jc w:val="both"/>
        <w:rPr>
          <w:rFonts w:ascii="Times New Roman" w:hAnsi="Times New Roman" w:cs="Times New Roman"/>
          <w:sz w:val="26"/>
          <w:szCs w:val="26"/>
        </w:rPr>
      </w:pPr>
      <w:r w:rsidRPr="00CC7F76">
        <w:rPr>
          <w:rFonts w:ascii="Times New Roman" w:hAnsi="Times New Roman" w:cs="Times New Roman"/>
          <w:sz w:val="26"/>
          <w:szCs w:val="26"/>
        </w:rPr>
        <w:t xml:space="preserve">Согласно постановлению, которое подписал Председатель Правительства Михаил </w:t>
      </w:r>
      <w:proofErr w:type="spellStart"/>
      <w:r w:rsidRPr="00CC7F76">
        <w:rPr>
          <w:rFonts w:ascii="Times New Roman" w:hAnsi="Times New Roman" w:cs="Times New Roman"/>
          <w:sz w:val="26"/>
          <w:szCs w:val="26"/>
        </w:rPr>
        <w:t>Мишустин</w:t>
      </w:r>
      <w:proofErr w:type="spellEnd"/>
      <w:r w:rsidRPr="00CC7F76">
        <w:rPr>
          <w:rFonts w:ascii="Times New Roman" w:hAnsi="Times New Roman" w:cs="Times New Roman"/>
          <w:sz w:val="26"/>
          <w:szCs w:val="26"/>
        </w:rPr>
        <w:t xml:space="preserve">, региональные операторы смогут увеличивать размер аванса капремонта с установленных сейчас 30% до 50% стоимости работ, если в договоре с подрядной организацией будет предусмотрено казначейское или банковское сопровождение. </w:t>
      </w:r>
      <w:r>
        <w:rPr>
          <w:rFonts w:ascii="Times New Roman" w:hAnsi="Times New Roman" w:cs="Times New Roman"/>
          <w:sz w:val="26"/>
          <w:szCs w:val="26"/>
        </w:rPr>
        <w:t>(Постановление Правительства РФ от 05.05.2022 №813)</w:t>
      </w:r>
    </w:p>
    <w:p w:rsidR="00CC7F76" w:rsidRPr="00CC7F76" w:rsidRDefault="00CC7F76" w:rsidP="00CC7F76">
      <w:pPr>
        <w:spacing w:after="0"/>
        <w:ind w:firstLine="709"/>
        <w:jc w:val="both"/>
        <w:rPr>
          <w:rFonts w:ascii="Times New Roman" w:hAnsi="Times New Roman" w:cs="Times New Roman"/>
          <w:sz w:val="26"/>
          <w:szCs w:val="26"/>
        </w:rPr>
      </w:pPr>
      <w:r w:rsidRPr="00CC7F76">
        <w:rPr>
          <w:rFonts w:ascii="Times New Roman" w:hAnsi="Times New Roman" w:cs="Times New Roman"/>
          <w:sz w:val="26"/>
          <w:szCs w:val="26"/>
        </w:rPr>
        <w:t>Если договор о проведении капремонта подразумевает также приобретение материалов и оборудования, аванс при соблюдении того же условия может достигать и 80% стоимости работ. Подрядная организация при этом должна будет предоставить акт о приёмке товаров - материалов и оборудования.</w:t>
      </w:r>
    </w:p>
    <w:p w:rsidR="00CC7F76" w:rsidRPr="00CC7F76" w:rsidRDefault="00CC7F76" w:rsidP="00CC7F76">
      <w:pPr>
        <w:spacing w:after="0"/>
        <w:ind w:firstLine="709"/>
        <w:jc w:val="both"/>
        <w:rPr>
          <w:rFonts w:ascii="Times New Roman" w:hAnsi="Times New Roman" w:cs="Times New Roman"/>
          <w:sz w:val="26"/>
          <w:szCs w:val="26"/>
        </w:rPr>
      </w:pPr>
      <w:r w:rsidRPr="00CC7F76">
        <w:rPr>
          <w:rFonts w:ascii="Times New Roman" w:hAnsi="Times New Roman" w:cs="Times New Roman"/>
          <w:sz w:val="26"/>
          <w:szCs w:val="26"/>
        </w:rPr>
        <w:t xml:space="preserve">В части цены договора постановлением предусмотрена возможность её увеличения по соглашению сторон не более чем на 30%. </w:t>
      </w:r>
    </w:p>
    <w:p w:rsidR="00CC7F76" w:rsidRPr="00CC7F76" w:rsidRDefault="00CC7F76" w:rsidP="00CC7F76">
      <w:pPr>
        <w:spacing w:after="0"/>
        <w:ind w:firstLine="709"/>
        <w:jc w:val="both"/>
        <w:rPr>
          <w:rFonts w:ascii="Times New Roman" w:hAnsi="Times New Roman" w:cs="Times New Roman"/>
          <w:sz w:val="26"/>
          <w:szCs w:val="26"/>
        </w:rPr>
      </w:pPr>
      <w:r w:rsidRPr="00CC7F76">
        <w:rPr>
          <w:rFonts w:ascii="Times New Roman" w:hAnsi="Times New Roman" w:cs="Times New Roman"/>
          <w:sz w:val="26"/>
          <w:szCs w:val="26"/>
        </w:rPr>
        <w:t>Принятое решение - часть разработанного Правительством комплекса мер поддержки экономики в условиях внешних санкций.</w:t>
      </w:r>
    </w:p>
    <w:p w:rsidR="00CC7F76" w:rsidRPr="00CC7F76" w:rsidRDefault="00CC7F76" w:rsidP="00CC7F76">
      <w:pPr>
        <w:spacing w:after="0"/>
        <w:ind w:firstLine="709"/>
        <w:jc w:val="both"/>
        <w:rPr>
          <w:rFonts w:ascii="Times New Roman" w:hAnsi="Times New Roman" w:cs="Times New Roman"/>
          <w:b/>
          <w:sz w:val="26"/>
          <w:szCs w:val="26"/>
        </w:rPr>
      </w:pPr>
      <w:r w:rsidRPr="00CC7F76">
        <w:rPr>
          <w:rFonts w:ascii="Times New Roman" w:hAnsi="Times New Roman" w:cs="Times New Roman"/>
          <w:b/>
          <w:sz w:val="26"/>
          <w:szCs w:val="26"/>
        </w:rPr>
        <w:t>Дата вступления в силу - 06.05.2022</w:t>
      </w:r>
    </w:p>
    <w:p w:rsidR="00CC7F76" w:rsidRDefault="00CC7F76" w:rsidP="001A6F23">
      <w:pPr>
        <w:spacing w:after="0"/>
        <w:ind w:firstLine="709"/>
        <w:jc w:val="both"/>
        <w:rPr>
          <w:rFonts w:ascii="Times New Roman" w:hAnsi="Times New Roman" w:cs="Times New Roman"/>
          <w:b/>
          <w:sz w:val="26"/>
          <w:szCs w:val="26"/>
        </w:rPr>
      </w:pPr>
    </w:p>
    <w:p w:rsidR="00CC7F76" w:rsidRDefault="00CC7F76" w:rsidP="001A6F23">
      <w:pPr>
        <w:spacing w:after="0"/>
        <w:ind w:firstLine="709"/>
        <w:jc w:val="both"/>
        <w:rPr>
          <w:rFonts w:ascii="Times New Roman" w:hAnsi="Times New Roman" w:cs="Times New Roman"/>
          <w:b/>
          <w:sz w:val="26"/>
          <w:szCs w:val="26"/>
        </w:rPr>
      </w:pPr>
    </w:p>
    <w:p w:rsidR="00CC7F76" w:rsidRDefault="00CC7F76" w:rsidP="001A6F23">
      <w:pPr>
        <w:spacing w:after="0"/>
        <w:ind w:firstLine="709"/>
        <w:jc w:val="both"/>
        <w:rPr>
          <w:rFonts w:ascii="Times New Roman" w:hAnsi="Times New Roman" w:cs="Times New Roman"/>
          <w:b/>
          <w:sz w:val="26"/>
          <w:szCs w:val="26"/>
        </w:rPr>
      </w:pPr>
    </w:p>
    <w:p w:rsidR="00CC7F76" w:rsidRPr="00CC7F76" w:rsidRDefault="00CC7F76" w:rsidP="001A6F23">
      <w:pPr>
        <w:spacing w:after="0"/>
        <w:ind w:firstLine="709"/>
        <w:jc w:val="both"/>
        <w:rPr>
          <w:rFonts w:ascii="Times New Roman" w:hAnsi="Times New Roman" w:cs="Times New Roman"/>
          <w:b/>
          <w:sz w:val="26"/>
          <w:szCs w:val="26"/>
        </w:rPr>
      </w:pPr>
    </w:p>
    <w:p w:rsidR="00CC7F76" w:rsidRPr="00CC7F76" w:rsidRDefault="00CC7F76" w:rsidP="00CC7F76">
      <w:pPr>
        <w:spacing w:after="0"/>
        <w:ind w:firstLine="709"/>
        <w:jc w:val="both"/>
        <w:rPr>
          <w:rFonts w:ascii="Times New Roman" w:hAnsi="Times New Roman" w:cs="Times New Roman"/>
          <w:b/>
          <w:sz w:val="26"/>
          <w:szCs w:val="26"/>
          <w:u w:val="single"/>
        </w:rPr>
      </w:pPr>
      <w:r w:rsidRPr="00CC7F76">
        <w:rPr>
          <w:rFonts w:ascii="Times New Roman" w:hAnsi="Times New Roman" w:cs="Times New Roman"/>
          <w:b/>
          <w:sz w:val="26"/>
          <w:szCs w:val="26"/>
          <w:u w:val="single"/>
        </w:rPr>
        <w:lastRenderedPageBreak/>
        <w:t>Утверждены формы казначейского обеспечения обязательств</w:t>
      </w:r>
    </w:p>
    <w:p w:rsidR="00CC7F76" w:rsidRPr="00CC7F76" w:rsidRDefault="00CC7F76" w:rsidP="00CC7F76">
      <w:pPr>
        <w:spacing w:after="0"/>
        <w:ind w:firstLine="709"/>
        <w:jc w:val="both"/>
        <w:rPr>
          <w:rFonts w:ascii="Times New Roman" w:hAnsi="Times New Roman" w:cs="Times New Roman"/>
          <w:sz w:val="26"/>
          <w:szCs w:val="26"/>
        </w:rPr>
      </w:pPr>
    </w:p>
    <w:p w:rsidR="00CC7F76" w:rsidRPr="00CC7F76" w:rsidRDefault="00CC7F76" w:rsidP="00CC7F76">
      <w:pPr>
        <w:spacing w:after="0"/>
        <w:ind w:firstLine="709"/>
        <w:jc w:val="both"/>
        <w:rPr>
          <w:rFonts w:ascii="Times New Roman" w:hAnsi="Times New Roman" w:cs="Times New Roman"/>
          <w:sz w:val="26"/>
          <w:szCs w:val="26"/>
        </w:rPr>
      </w:pPr>
      <w:hyperlink r:id="rId15" w:history="1">
        <w:r w:rsidRPr="00CC7F76">
          <w:rPr>
            <w:rStyle w:val="a3"/>
            <w:rFonts w:ascii="Times New Roman" w:hAnsi="Times New Roman" w:cs="Times New Roman"/>
            <w:sz w:val="26"/>
            <w:szCs w:val="26"/>
          </w:rPr>
          <w:t>Приказом Казначейства России от 22 февраля 2022 года N 8н</w:t>
        </w:r>
      </w:hyperlink>
      <w:r w:rsidRPr="00CC7F76">
        <w:rPr>
          <w:rFonts w:ascii="Times New Roman" w:hAnsi="Times New Roman" w:cs="Times New Roman"/>
          <w:sz w:val="26"/>
          <w:szCs w:val="26"/>
        </w:rPr>
        <w:t xml:space="preserve"> утверждены формы </w:t>
      </w:r>
      <w:hyperlink r:id="rId16" w:history="1">
        <w:r w:rsidRPr="00CC7F76">
          <w:rPr>
            <w:rStyle w:val="a3"/>
            <w:rFonts w:ascii="Times New Roman" w:hAnsi="Times New Roman" w:cs="Times New Roman"/>
            <w:sz w:val="26"/>
            <w:szCs w:val="26"/>
          </w:rPr>
          <w:t>Казначейского обеспечения обязательств</w:t>
        </w:r>
      </w:hyperlink>
      <w:r w:rsidRPr="00CC7F76">
        <w:rPr>
          <w:rFonts w:ascii="Times New Roman" w:hAnsi="Times New Roman" w:cs="Times New Roman"/>
          <w:sz w:val="26"/>
          <w:szCs w:val="26"/>
        </w:rPr>
        <w:t xml:space="preserve">, заявлений </w:t>
      </w:r>
      <w:hyperlink r:id="rId17" w:history="1">
        <w:r w:rsidRPr="00CC7F76">
          <w:rPr>
            <w:rStyle w:val="a3"/>
            <w:rFonts w:ascii="Times New Roman" w:hAnsi="Times New Roman" w:cs="Times New Roman"/>
            <w:sz w:val="26"/>
            <w:szCs w:val="26"/>
          </w:rPr>
          <w:t>на выдачу (перевод, отзыв) Казначейского обеспечения обязательств</w:t>
        </w:r>
      </w:hyperlink>
      <w:r w:rsidRPr="00CC7F76">
        <w:rPr>
          <w:rFonts w:ascii="Times New Roman" w:hAnsi="Times New Roman" w:cs="Times New Roman"/>
          <w:sz w:val="26"/>
          <w:szCs w:val="26"/>
        </w:rPr>
        <w:t xml:space="preserve"> и </w:t>
      </w:r>
      <w:hyperlink r:id="rId18" w:history="1">
        <w:r w:rsidRPr="00CC7F76">
          <w:rPr>
            <w:rStyle w:val="a3"/>
            <w:rFonts w:ascii="Times New Roman" w:hAnsi="Times New Roman" w:cs="Times New Roman"/>
            <w:sz w:val="26"/>
            <w:szCs w:val="26"/>
          </w:rPr>
          <w:t>на исполнение Казначейского обеспечения обязательств</w:t>
        </w:r>
      </w:hyperlink>
      <w:r w:rsidRPr="00CC7F76">
        <w:rPr>
          <w:rFonts w:ascii="Times New Roman" w:hAnsi="Times New Roman" w:cs="Times New Roman"/>
          <w:sz w:val="26"/>
          <w:szCs w:val="26"/>
        </w:rPr>
        <w:t xml:space="preserve">, а также порядки их заполнения. </w:t>
      </w:r>
    </w:p>
    <w:p w:rsidR="00CC7F76" w:rsidRPr="00CC7F76" w:rsidRDefault="00CC7F76" w:rsidP="00CC7F76">
      <w:pPr>
        <w:spacing w:after="0"/>
        <w:ind w:firstLine="709"/>
        <w:jc w:val="both"/>
        <w:rPr>
          <w:rFonts w:ascii="Times New Roman" w:hAnsi="Times New Roman" w:cs="Times New Roman"/>
          <w:sz w:val="26"/>
          <w:szCs w:val="26"/>
        </w:rPr>
      </w:pPr>
      <w:r w:rsidRPr="00CC7F76">
        <w:rPr>
          <w:rFonts w:ascii="Times New Roman" w:hAnsi="Times New Roman" w:cs="Times New Roman"/>
          <w:sz w:val="26"/>
          <w:szCs w:val="26"/>
        </w:rPr>
        <w:t xml:space="preserve">Новые формы утверждены в связи с закреплением норм о казначейском обеспечении обязательств в </w:t>
      </w:r>
      <w:hyperlink r:id="rId19" w:history="1">
        <w:r w:rsidRPr="00CC7F76">
          <w:rPr>
            <w:rStyle w:val="a3"/>
            <w:rFonts w:ascii="Times New Roman" w:hAnsi="Times New Roman" w:cs="Times New Roman"/>
            <w:sz w:val="26"/>
            <w:szCs w:val="26"/>
          </w:rPr>
          <w:t>БК РФ</w:t>
        </w:r>
      </w:hyperlink>
      <w:r w:rsidRPr="00CC7F76">
        <w:rPr>
          <w:rFonts w:ascii="Times New Roman" w:hAnsi="Times New Roman" w:cs="Times New Roman"/>
          <w:sz w:val="26"/>
          <w:szCs w:val="26"/>
        </w:rPr>
        <w:t xml:space="preserve">, которые применяются при исполнении </w:t>
      </w:r>
      <w:proofErr w:type="spellStart"/>
      <w:r w:rsidRPr="00CC7F76">
        <w:rPr>
          <w:rFonts w:ascii="Times New Roman" w:hAnsi="Times New Roman" w:cs="Times New Roman"/>
          <w:sz w:val="26"/>
          <w:szCs w:val="26"/>
        </w:rPr>
        <w:t>госконтрактов</w:t>
      </w:r>
      <w:proofErr w:type="spellEnd"/>
      <w:r w:rsidRPr="00CC7F76">
        <w:rPr>
          <w:rFonts w:ascii="Times New Roman" w:hAnsi="Times New Roman" w:cs="Times New Roman"/>
          <w:sz w:val="26"/>
          <w:szCs w:val="26"/>
        </w:rPr>
        <w:t xml:space="preserve">, источником финансирования которых являются бюджетные средства. </w:t>
      </w:r>
    </w:p>
    <w:p w:rsidR="001A6F23" w:rsidRDefault="001A6F23" w:rsidP="001A6F23">
      <w:pPr>
        <w:spacing w:after="0"/>
        <w:ind w:firstLine="709"/>
        <w:jc w:val="both"/>
        <w:rPr>
          <w:rFonts w:ascii="Times New Roman" w:hAnsi="Times New Roman" w:cs="Times New Roman"/>
          <w:sz w:val="26"/>
          <w:szCs w:val="26"/>
        </w:rPr>
      </w:pPr>
    </w:p>
    <w:p w:rsidR="001A6F23" w:rsidRDefault="001A6F23" w:rsidP="001A6F23">
      <w:pPr>
        <w:spacing w:after="0"/>
        <w:ind w:firstLine="709"/>
        <w:jc w:val="both"/>
        <w:rPr>
          <w:rFonts w:ascii="Times New Roman" w:hAnsi="Times New Roman" w:cs="Times New Roman"/>
          <w:sz w:val="26"/>
          <w:szCs w:val="26"/>
        </w:rPr>
      </w:pPr>
    </w:p>
    <w:p w:rsidR="00CC7F76" w:rsidRPr="001A6F23" w:rsidRDefault="00CC7F76" w:rsidP="001A6F23">
      <w:pPr>
        <w:spacing w:after="0"/>
        <w:ind w:firstLine="709"/>
        <w:jc w:val="both"/>
        <w:rPr>
          <w:rFonts w:ascii="Times New Roman" w:hAnsi="Times New Roman" w:cs="Times New Roman"/>
          <w:sz w:val="26"/>
          <w:szCs w:val="26"/>
        </w:rPr>
      </w:pPr>
      <w:bookmarkStart w:id="0" w:name="_GoBack"/>
      <w:bookmarkEnd w:id="0"/>
    </w:p>
    <w:sectPr w:rsidR="00CC7F76" w:rsidRPr="001A6F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C51"/>
    <w:rsid w:val="001A6F23"/>
    <w:rsid w:val="00CC7F76"/>
    <w:rsid w:val="00D36C51"/>
    <w:rsid w:val="00DA0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6CF65"/>
  <w15:chartTrackingRefBased/>
  <w15:docId w15:val="{3A01DEB5-998E-44EB-BFCA-33BD12B9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A6F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60172">
      <w:bodyDiv w:val="1"/>
      <w:marLeft w:val="0"/>
      <w:marRight w:val="0"/>
      <w:marTop w:val="0"/>
      <w:marBottom w:val="0"/>
      <w:divBdr>
        <w:top w:val="none" w:sz="0" w:space="0" w:color="auto"/>
        <w:left w:val="none" w:sz="0" w:space="0" w:color="auto"/>
        <w:bottom w:val="none" w:sz="0" w:space="0" w:color="auto"/>
        <w:right w:val="none" w:sz="0" w:space="0" w:color="auto"/>
      </w:divBdr>
    </w:div>
    <w:div w:id="440415927">
      <w:bodyDiv w:val="1"/>
      <w:marLeft w:val="0"/>
      <w:marRight w:val="0"/>
      <w:marTop w:val="0"/>
      <w:marBottom w:val="0"/>
      <w:divBdr>
        <w:top w:val="none" w:sz="0" w:space="0" w:color="auto"/>
        <w:left w:val="none" w:sz="0" w:space="0" w:color="auto"/>
        <w:bottom w:val="none" w:sz="0" w:space="0" w:color="auto"/>
        <w:right w:val="none" w:sz="0" w:space="0" w:color="auto"/>
      </w:divBdr>
    </w:div>
    <w:div w:id="450706049">
      <w:bodyDiv w:val="1"/>
      <w:marLeft w:val="0"/>
      <w:marRight w:val="0"/>
      <w:marTop w:val="0"/>
      <w:marBottom w:val="0"/>
      <w:divBdr>
        <w:top w:val="none" w:sz="0" w:space="0" w:color="auto"/>
        <w:left w:val="none" w:sz="0" w:space="0" w:color="auto"/>
        <w:bottom w:val="none" w:sz="0" w:space="0" w:color="auto"/>
        <w:right w:val="none" w:sz="0" w:space="0" w:color="auto"/>
      </w:divBdr>
    </w:div>
    <w:div w:id="676229776">
      <w:bodyDiv w:val="1"/>
      <w:marLeft w:val="0"/>
      <w:marRight w:val="0"/>
      <w:marTop w:val="0"/>
      <w:marBottom w:val="0"/>
      <w:divBdr>
        <w:top w:val="none" w:sz="0" w:space="0" w:color="auto"/>
        <w:left w:val="none" w:sz="0" w:space="0" w:color="auto"/>
        <w:bottom w:val="none" w:sz="0" w:space="0" w:color="auto"/>
        <w:right w:val="none" w:sz="0" w:space="0" w:color="auto"/>
      </w:divBdr>
    </w:div>
    <w:div w:id="983007074">
      <w:bodyDiv w:val="1"/>
      <w:marLeft w:val="0"/>
      <w:marRight w:val="0"/>
      <w:marTop w:val="0"/>
      <w:marBottom w:val="0"/>
      <w:divBdr>
        <w:top w:val="none" w:sz="0" w:space="0" w:color="auto"/>
        <w:left w:val="none" w:sz="0" w:space="0" w:color="auto"/>
        <w:bottom w:val="none" w:sz="0" w:space="0" w:color="auto"/>
        <w:right w:val="none" w:sz="0" w:space="0" w:color="auto"/>
      </w:divBdr>
    </w:div>
    <w:div w:id="1587495076">
      <w:bodyDiv w:val="1"/>
      <w:marLeft w:val="0"/>
      <w:marRight w:val="0"/>
      <w:marTop w:val="0"/>
      <w:marBottom w:val="0"/>
      <w:divBdr>
        <w:top w:val="none" w:sz="0" w:space="0" w:color="auto"/>
        <w:left w:val="none" w:sz="0" w:space="0" w:color="auto"/>
        <w:bottom w:val="none" w:sz="0" w:space="0" w:color="auto"/>
        <w:right w:val="none" w:sz="0" w:space="0" w:color="auto"/>
      </w:divBdr>
    </w:div>
    <w:div w:id="1676421200">
      <w:bodyDiv w:val="1"/>
      <w:marLeft w:val="0"/>
      <w:marRight w:val="0"/>
      <w:marTop w:val="0"/>
      <w:marBottom w:val="0"/>
      <w:divBdr>
        <w:top w:val="none" w:sz="0" w:space="0" w:color="auto"/>
        <w:left w:val="none" w:sz="0" w:space="0" w:color="auto"/>
        <w:bottom w:val="none" w:sz="0" w:space="0" w:color="auto"/>
        <w:right w:val="none" w:sz="0" w:space="0" w:color="auto"/>
      </w:divBdr>
    </w:div>
    <w:div w:id="1937863076">
      <w:bodyDiv w:val="1"/>
      <w:marLeft w:val="0"/>
      <w:marRight w:val="0"/>
      <w:marTop w:val="0"/>
      <w:marBottom w:val="0"/>
      <w:divBdr>
        <w:top w:val="none" w:sz="0" w:space="0" w:color="auto"/>
        <w:left w:val="none" w:sz="0" w:space="0" w:color="auto"/>
        <w:bottom w:val="none" w:sz="0" w:space="0" w:color="auto"/>
        <w:right w:val="none" w:sz="0" w:space="0" w:color="auto"/>
      </w:divBdr>
    </w:div>
    <w:div w:id="205711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350332340&amp;prevdoc=747400021&amp;point=mark=0000000000000000000000000000000000000000000000000064S0IJ" TargetMode="External"/><Relationship Id="rId13" Type="http://schemas.openxmlformats.org/officeDocument/2006/relationships/hyperlink" Target="kodeks://link/d?nd=350303040&amp;prevdoc=747400021&amp;point=mark=0000000000000000000000000000000000000000000000000064U0IK" TargetMode="External"/><Relationship Id="rId18" Type="http://schemas.openxmlformats.org/officeDocument/2006/relationships/hyperlink" Target="kodeks://link/d?nd=728394974&amp;prevdoc=747400021&amp;point=mark=000000000000000000000000000000000000000000000000007DK0K9"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kodeks://link/d?nd=350320841&amp;prevdoc=747400021&amp;point=mark=0000000000000000000000000000000000000000000000000064S0IJ" TargetMode="External"/><Relationship Id="rId12" Type="http://schemas.openxmlformats.org/officeDocument/2006/relationships/hyperlink" Target="kodeks://link/d?nd=499067425&amp;prevdoc=747400021&amp;point=mark=0000000000000000000000000000000000000000000000000064U0IK" TargetMode="External"/><Relationship Id="rId17" Type="http://schemas.openxmlformats.org/officeDocument/2006/relationships/hyperlink" Target="kodeks://link/d?nd=728394974&amp;prevdoc=747400021&amp;point=mark=000000000000000000000000000000000000000000000000007DO0KD" TargetMode="External"/><Relationship Id="rId2" Type="http://schemas.openxmlformats.org/officeDocument/2006/relationships/settings" Target="settings.xml"/><Relationship Id="rId16" Type="http://schemas.openxmlformats.org/officeDocument/2006/relationships/hyperlink" Target="kodeks://link/d?nd=728394974&amp;prevdoc=747400021&amp;point=mark=000000000000000000000000000000000000000000000000006560IO"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kodeks://link/d?nd=350317137&amp;prevdoc=747400021" TargetMode="External"/><Relationship Id="rId11" Type="http://schemas.openxmlformats.org/officeDocument/2006/relationships/hyperlink" Target="kodeks://link/d?nd=350332363&amp;prevdoc=747400021&amp;point=mark=000000000000000000000000000000000000000000000000006540IN" TargetMode="External"/><Relationship Id="rId5" Type="http://schemas.openxmlformats.org/officeDocument/2006/relationships/hyperlink" Target="kodeks://link/d?nd=350317137&amp;prevdoc=747400021" TargetMode="External"/><Relationship Id="rId15" Type="http://schemas.openxmlformats.org/officeDocument/2006/relationships/hyperlink" Target="kodeks://link/d?nd=728394974&amp;prevdoc=747400021" TargetMode="External"/><Relationship Id="rId10" Type="http://schemas.openxmlformats.org/officeDocument/2006/relationships/hyperlink" Target="kodeks://link/d?nd=350332363&amp;prevdoc=747400021&amp;point=mark=0000000000000000000000000000000000000000000000000064S0IJ" TargetMode="External"/><Relationship Id="rId19" Type="http://schemas.openxmlformats.org/officeDocument/2006/relationships/hyperlink" Target="kodeks://link/d?nd=901714433&amp;prevdoc=747400021&amp;point=mark=0000000000000000000000000000000000000000000000000064U0IK" TargetMode="External"/><Relationship Id="rId4" Type="http://schemas.openxmlformats.org/officeDocument/2006/relationships/hyperlink" Target="kodeks://link/d?nd=350336682&amp;prevdoc=747400021&amp;point=mark=0000000000000000000000000000000000000000000000000064S0IJ" TargetMode="External"/><Relationship Id="rId9" Type="http://schemas.openxmlformats.org/officeDocument/2006/relationships/hyperlink" Target="kodeks://link/d?nd=350332363&amp;prevdoc=747400021&amp;point=mark=0000000000000000000000000000000000000000000000000064S0IJ" TargetMode="External"/><Relationship Id="rId14" Type="http://schemas.openxmlformats.org/officeDocument/2006/relationships/hyperlink" Target="kodeks://link/d?nd=350303040&amp;prevdoc=747400021&amp;point=mark=0000000000000000000000000000000000000000000000000064U0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1744</Words>
  <Characters>9946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2</cp:revision>
  <dcterms:created xsi:type="dcterms:W3CDTF">2022-05-16T14:29:00Z</dcterms:created>
  <dcterms:modified xsi:type="dcterms:W3CDTF">2022-05-16T14:44:00Z</dcterms:modified>
</cp:coreProperties>
</file>