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6707" w:rsidRPr="00F16707" w:rsidRDefault="00F16707" w:rsidP="00F16707">
      <w:pPr>
        <w:spacing w:after="0" w:line="240" w:lineRule="auto"/>
        <w:ind w:firstLine="709"/>
        <w:jc w:val="both"/>
        <w:rPr>
          <w:rFonts w:ascii="Times New Roman" w:hAnsi="Times New Roman" w:cs="Times New Roman"/>
          <w:b/>
          <w:sz w:val="26"/>
          <w:szCs w:val="26"/>
          <w:u w:val="single"/>
        </w:rPr>
      </w:pPr>
      <w:r w:rsidRPr="00F16707">
        <w:rPr>
          <w:rFonts w:ascii="Times New Roman" w:hAnsi="Times New Roman" w:cs="Times New Roman"/>
          <w:b/>
          <w:sz w:val="26"/>
          <w:szCs w:val="26"/>
          <w:u w:val="single"/>
        </w:rPr>
        <w:t>Ответственность пожарных за материальный ущерб в условиях оправданного риска хотят ограничить</w:t>
      </w:r>
    </w:p>
    <w:p w:rsidR="00F16707" w:rsidRPr="00F16707" w:rsidRDefault="00F16707" w:rsidP="00F16707">
      <w:pPr>
        <w:spacing w:after="0" w:line="240" w:lineRule="auto"/>
        <w:ind w:firstLine="709"/>
        <w:jc w:val="both"/>
        <w:rPr>
          <w:rFonts w:ascii="Times New Roman" w:hAnsi="Times New Roman" w:cs="Times New Roman"/>
          <w:sz w:val="26"/>
          <w:szCs w:val="26"/>
        </w:rPr>
      </w:pPr>
    </w:p>
    <w:p w:rsidR="00F16707" w:rsidRPr="00F16707" w:rsidRDefault="00F16707" w:rsidP="00F16707">
      <w:pPr>
        <w:spacing w:after="0" w:line="240" w:lineRule="auto"/>
        <w:ind w:firstLine="709"/>
        <w:jc w:val="both"/>
        <w:rPr>
          <w:rFonts w:ascii="Times New Roman" w:hAnsi="Times New Roman" w:cs="Times New Roman"/>
          <w:sz w:val="26"/>
          <w:szCs w:val="26"/>
        </w:rPr>
      </w:pPr>
      <w:r w:rsidRPr="00F16707">
        <w:rPr>
          <w:rFonts w:ascii="Times New Roman" w:hAnsi="Times New Roman" w:cs="Times New Roman"/>
          <w:sz w:val="26"/>
          <w:szCs w:val="26"/>
        </w:rPr>
        <w:t>Глава думского Комитета по безопасности и противодействию коррупции Василий Пискарев, а также его заместитель Эрнест Валеев внесли на рассмотрение Госдумы законопроект, ограничивающий привлечение к ответственности личного состава пожарной охраны за причинение материального ущерба в условиях оправданного риска или крайней необходимости. </w:t>
      </w:r>
    </w:p>
    <w:p w:rsidR="00F16707" w:rsidRPr="00F16707" w:rsidRDefault="00F16707" w:rsidP="00F16707">
      <w:pPr>
        <w:spacing w:after="0" w:line="240" w:lineRule="auto"/>
        <w:ind w:firstLine="709"/>
        <w:jc w:val="both"/>
        <w:rPr>
          <w:rFonts w:ascii="Times New Roman" w:hAnsi="Times New Roman" w:cs="Times New Roman"/>
          <w:sz w:val="26"/>
          <w:szCs w:val="26"/>
        </w:rPr>
      </w:pPr>
      <w:r w:rsidRPr="00F16707">
        <w:rPr>
          <w:rFonts w:ascii="Times New Roman" w:hAnsi="Times New Roman" w:cs="Times New Roman"/>
          <w:sz w:val="26"/>
          <w:szCs w:val="26"/>
        </w:rPr>
        <w:t xml:space="preserve">В пояснительной записке к документу указывается, что действия личного состава пожарной охраны во время тушения пожаров превышают рамки общих требований трудового законодательства в части обеспечения безопасных условий труда. При этом даже наличие </w:t>
      </w:r>
      <w:proofErr w:type="spellStart"/>
      <w:r w:rsidRPr="00F16707">
        <w:rPr>
          <w:rFonts w:ascii="Times New Roman" w:hAnsi="Times New Roman" w:cs="Times New Roman"/>
          <w:sz w:val="26"/>
          <w:szCs w:val="26"/>
        </w:rPr>
        <w:t>спецподготовки</w:t>
      </w:r>
      <w:proofErr w:type="spellEnd"/>
      <w:r w:rsidRPr="00F16707">
        <w:rPr>
          <w:rFonts w:ascii="Times New Roman" w:hAnsi="Times New Roman" w:cs="Times New Roman"/>
          <w:sz w:val="26"/>
          <w:szCs w:val="26"/>
        </w:rPr>
        <w:t>, нужного оснащения и реализации мер безопасности не всегда могут уберечь от получения травм или гибели. В частности, это происходит из-за невозможности в некоторых случаях предсказать обстановку в зоне пожара. </w:t>
      </w:r>
    </w:p>
    <w:p w:rsidR="00F16707" w:rsidRPr="00F16707" w:rsidRDefault="00F16707" w:rsidP="00F16707">
      <w:pPr>
        <w:spacing w:after="0" w:line="240" w:lineRule="auto"/>
        <w:ind w:firstLine="709"/>
        <w:jc w:val="both"/>
        <w:rPr>
          <w:rFonts w:ascii="Times New Roman" w:hAnsi="Times New Roman" w:cs="Times New Roman"/>
          <w:sz w:val="26"/>
          <w:szCs w:val="26"/>
        </w:rPr>
      </w:pPr>
      <w:r w:rsidRPr="00F16707">
        <w:rPr>
          <w:rFonts w:ascii="Times New Roman" w:hAnsi="Times New Roman" w:cs="Times New Roman"/>
          <w:sz w:val="26"/>
          <w:szCs w:val="26"/>
        </w:rPr>
        <w:t>Законопроектом предлагается установить ограничения на дисциплинарную или гражданско-правовую ответственность руководителя тушения пожара, личного состава пожарной охраны и добровольцев, а также лиц, которые тушат лесные пожары, за причинение материального ущерба, вреда здоровью спасаемых людей или их гибель в условиях оправданного риска или крайней необходимости. В частности, уточняется, что тушивших пожар освободят от возмещения материального ущерба, если во время тушения не были превышены пределы крайней необходимости. </w:t>
      </w:r>
    </w:p>
    <w:p w:rsidR="00210B99" w:rsidRDefault="00210B99" w:rsidP="00F16707">
      <w:pPr>
        <w:spacing w:after="0" w:line="240" w:lineRule="auto"/>
        <w:ind w:firstLine="709"/>
        <w:jc w:val="both"/>
        <w:rPr>
          <w:rFonts w:ascii="Times New Roman" w:hAnsi="Times New Roman" w:cs="Times New Roman"/>
          <w:sz w:val="26"/>
          <w:szCs w:val="26"/>
        </w:rPr>
      </w:pPr>
    </w:p>
    <w:p w:rsidR="00F16707" w:rsidRDefault="00F16707" w:rsidP="00F16707">
      <w:pPr>
        <w:spacing w:after="0" w:line="240" w:lineRule="auto"/>
        <w:ind w:firstLine="709"/>
        <w:jc w:val="both"/>
        <w:rPr>
          <w:rFonts w:ascii="Times New Roman" w:hAnsi="Times New Roman" w:cs="Times New Roman"/>
          <w:sz w:val="26"/>
          <w:szCs w:val="26"/>
        </w:rPr>
      </w:pPr>
    </w:p>
    <w:p w:rsidR="00F16707" w:rsidRPr="00F16707" w:rsidRDefault="00F16707" w:rsidP="00F16707">
      <w:pPr>
        <w:spacing w:after="0" w:line="240" w:lineRule="auto"/>
        <w:ind w:firstLine="709"/>
        <w:jc w:val="both"/>
        <w:rPr>
          <w:rFonts w:ascii="Times New Roman" w:hAnsi="Times New Roman" w:cs="Times New Roman"/>
          <w:b/>
          <w:sz w:val="26"/>
          <w:szCs w:val="26"/>
          <w:u w:val="single"/>
        </w:rPr>
      </w:pPr>
      <w:r w:rsidRPr="00F16707">
        <w:rPr>
          <w:rFonts w:ascii="Times New Roman" w:hAnsi="Times New Roman" w:cs="Times New Roman"/>
          <w:b/>
          <w:sz w:val="26"/>
          <w:szCs w:val="26"/>
          <w:u w:val="single"/>
        </w:rPr>
        <w:t>Порядок формирования целевого капитала НКО предложили изменить</w:t>
      </w:r>
    </w:p>
    <w:p w:rsidR="00F16707" w:rsidRPr="00F16707" w:rsidRDefault="00F16707" w:rsidP="00F16707">
      <w:pPr>
        <w:spacing w:after="0" w:line="240" w:lineRule="auto"/>
        <w:ind w:firstLine="709"/>
        <w:jc w:val="both"/>
        <w:rPr>
          <w:rFonts w:ascii="Times New Roman" w:hAnsi="Times New Roman" w:cs="Times New Roman"/>
          <w:sz w:val="26"/>
          <w:szCs w:val="26"/>
        </w:rPr>
      </w:pPr>
    </w:p>
    <w:p w:rsidR="00F16707" w:rsidRPr="00F16707" w:rsidRDefault="00F16707" w:rsidP="00F16707">
      <w:pPr>
        <w:spacing w:after="0" w:line="240" w:lineRule="auto"/>
        <w:ind w:firstLine="709"/>
        <w:jc w:val="both"/>
        <w:rPr>
          <w:rFonts w:ascii="Times New Roman" w:hAnsi="Times New Roman" w:cs="Times New Roman"/>
          <w:sz w:val="26"/>
          <w:szCs w:val="26"/>
        </w:rPr>
      </w:pPr>
      <w:r w:rsidRPr="00F16707">
        <w:rPr>
          <w:rFonts w:ascii="Times New Roman" w:hAnsi="Times New Roman" w:cs="Times New Roman"/>
          <w:sz w:val="26"/>
          <w:szCs w:val="26"/>
        </w:rPr>
        <w:t>Правительство внесло на рассмотрение Госдумы законопроект, увеличивающий до 1 января 2026 года предельный размер средств, которые специализированные организации могут использовать на управленческие расходы. Предполагается, что такие меры помогут обеспечить их финансовую устойчивость.</w:t>
      </w:r>
    </w:p>
    <w:p w:rsidR="00F16707" w:rsidRPr="00F16707" w:rsidRDefault="00F16707" w:rsidP="00F16707">
      <w:pPr>
        <w:spacing w:after="0" w:line="240" w:lineRule="auto"/>
        <w:ind w:firstLine="709"/>
        <w:jc w:val="both"/>
        <w:rPr>
          <w:rFonts w:ascii="Times New Roman" w:hAnsi="Times New Roman" w:cs="Times New Roman"/>
          <w:sz w:val="26"/>
          <w:szCs w:val="26"/>
        </w:rPr>
      </w:pPr>
      <w:r w:rsidRPr="00F16707">
        <w:rPr>
          <w:rFonts w:ascii="Times New Roman" w:hAnsi="Times New Roman" w:cs="Times New Roman"/>
          <w:sz w:val="26"/>
          <w:szCs w:val="26"/>
        </w:rPr>
        <w:t>Как отмечается в пояснительной записке, документ разработан для сохранения действующих фондов целевых капиталов и обеспечения их стабильности в условиях кризисной ситуации, возникшей из-за негативного влияния антироссийских санкций. Также подчеркивается, что инфляция, экономическая нестабильность, отсутствие доходов от инвестирования и снижение объемов пожертвования приводят к увеличению административно-управленческих расходов в сравнении с доходом от целевого капитала.</w:t>
      </w:r>
    </w:p>
    <w:p w:rsidR="00F16707" w:rsidRPr="00F16707" w:rsidRDefault="00F16707" w:rsidP="00F16707">
      <w:pPr>
        <w:spacing w:after="0" w:line="240" w:lineRule="auto"/>
        <w:ind w:firstLine="709"/>
        <w:jc w:val="both"/>
        <w:rPr>
          <w:rFonts w:ascii="Times New Roman" w:hAnsi="Times New Roman" w:cs="Times New Roman"/>
          <w:sz w:val="26"/>
          <w:szCs w:val="26"/>
        </w:rPr>
      </w:pPr>
      <w:r w:rsidRPr="00F16707">
        <w:rPr>
          <w:rFonts w:ascii="Times New Roman" w:hAnsi="Times New Roman" w:cs="Times New Roman"/>
          <w:sz w:val="26"/>
          <w:szCs w:val="26"/>
        </w:rPr>
        <w:t>В связи с этим законопроектом предлагается увеличить проценты от суммы пожертвования и от дохода от целевого капитала, чтобы обеспечить покрытие реальных затрат на такие расходы. В частности, процент от суммы пожертвования предлагается повысить с 5% до 10%. А проценты от дохода от целевого капитала с 10% и 15% до 25% и 30% соответственно.</w:t>
      </w:r>
    </w:p>
    <w:p w:rsidR="00F16707" w:rsidRPr="00F16707" w:rsidRDefault="00F16707" w:rsidP="00F16707">
      <w:pPr>
        <w:spacing w:after="0" w:line="240" w:lineRule="auto"/>
        <w:ind w:firstLine="709"/>
        <w:jc w:val="both"/>
        <w:rPr>
          <w:rFonts w:ascii="Times New Roman" w:hAnsi="Times New Roman" w:cs="Times New Roman"/>
          <w:sz w:val="26"/>
          <w:szCs w:val="26"/>
        </w:rPr>
      </w:pPr>
      <w:r w:rsidRPr="00F16707">
        <w:rPr>
          <w:rFonts w:ascii="Times New Roman" w:hAnsi="Times New Roman" w:cs="Times New Roman"/>
          <w:sz w:val="26"/>
          <w:szCs w:val="26"/>
        </w:rPr>
        <w:t xml:space="preserve">Помимо этого, проект закона предусматривает приостановку до 1 января 2026 года действие нормы в отношении размера использованного дохода от доверительного управления имуществом, которое составляет целевой капитал. Он составляет не менее 25% подобного дохода за 3 года подряд. Если поправки будут </w:t>
      </w:r>
      <w:r w:rsidRPr="00F16707">
        <w:rPr>
          <w:rFonts w:ascii="Times New Roman" w:hAnsi="Times New Roman" w:cs="Times New Roman"/>
          <w:sz w:val="26"/>
          <w:szCs w:val="26"/>
        </w:rPr>
        <w:lastRenderedPageBreak/>
        <w:t>приняты, НКО смогут перечислять весь объем дохода от доверительного управления имуществом, составляющим целевой капитал, на его пополнение.</w:t>
      </w:r>
    </w:p>
    <w:p w:rsidR="00F16707" w:rsidRPr="00F16707" w:rsidRDefault="00F16707" w:rsidP="00F16707">
      <w:pPr>
        <w:spacing w:after="0" w:line="240" w:lineRule="auto"/>
        <w:ind w:firstLine="709"/>
        <w:jc w:val="both"/>
        <w:rPr>
          <w:rFonts w:ascii="Times New Roman" w:hAnsi="Times New Roman" w:cs="Times New Roman"/>
          <w:sz w:val="26"/>
          <w:szCs w:val="26"/>
        </w:rPr>
      </w:pPr>
      <w:r w:rsidRPr="00F16707">
        <w:rPr>
          <w:rFonts w:ascii="Times New Roman" w:hAnsi="Times New Roman" w:cs="Times New Roman"/>
          <w:sz w:val="26"/>
          <w:szCs w:val="26"/>
        </w:rPr>
        <w:t>До 1 января 2026 года также предлагается приостановить положение, по которому целевой капитал подлежит расформированию, в частности, если стоимость чистых активов в результате доверительного управления имуществом, которое составляет целевой капитал, снизилась по результатам одного отчетного года более чем на 50%.</w:t>
      </w:r>
    </w:p>
    <w:p w:rsidR="00F16707" w:rsidRPr="00F16707" w:rsidRDefault="00F16707" w:rsidP="00F16707">
      <w:pPr>
        <w:spacing w:after="0" w:line="240" w:lineRule="auto"/>
        <w:ind w:firstLine="709"/>
        <w:jc w:val="both"/>
        <w:rPr>
          <w:rFonts w:ascii="Times New Roman" w:hAnsi="Times New Roman" w:cs="Times New Roman"/>
          <w:sz w:val="26"/>
          <w:szCs w:val="26"/>
        </w:rPr>
      </w:pPr>
      <w:r w:rsidRPr="00F16707">
        <w:rPr>
          <w:rFonts w:ascii="Times New Roman" w:hAnsi="Times New Roman" w:cs="Times New Roman"/>
          <w:sz w:val="26"/>
          <w:szCs w:val="26"/>
        </w:rPr>
        <w:t>Кроме того, предполагается законодательно установить право специализированных организаций на использование административно-управленческих расходов не более процента от средней стоимости чистых активов, которые находятся в доверительном управлении компании по соответствующему договору.</w:t>
      </w:r>
    </w:p>
    <w:p w:rsidR="00F16707" w:rsidRDefault="00F16707" w:rsidP="00F16707">
      <w:pPr>
        <w:spacing w:after="0" w:line="240" w:lineRule="auto"/>
        <w:ind w:firstLine="709"/>
        <w:jc w:val="both"/>
        <w:rPr>
          <w:rFonts w:ascii="Times New Roman" w:hAnsi="Times New Roman" w:cs="Times New Roman"/>
          <w:sz w:val="26"/>
          <w:szCs w:val="26"/>
        </w:rPr>
      </w:pPr>
    </w:p>
    <w:p w:rsidR="00F16707" w:rsidRDefault="00F16707" w:rsidP="00F16707">
      <w:pPr>
        <w:spacing w:after="0" w:line="240" w:lineRule="auto"/>
        <w:ind w:firstLine="709"/>
        <w:jc w:val="both"/>
        <w:rPr>
          <w:rFonts w:ascii="Times New Roman" w:hAnsi="Times New Roman" w:cs="Times New Roman"/>
          <w:sz w:val="26"/>
          <w:szCs w:val="26"/>
        </w:rPr>
      </w:pPr>
    </w:p>
    <w:p w:rsidR="00F16707" w:rsidRPr="00F16707" w:rsidRDefault="00F16707" w:rsidP="00F16707">
      <w:pPr>
        <w:spacing w:after="0" w:line="240" w:lineRule="auto"/>
        <w:ind w:firstLine="709"/>
        <w:jc w:val="both"/>
        <w:rPr>
          <w:rFonts w:ascii="Times New Roman" w:hAnsi="Times New Roman" w:cs="Times New Roman"/>
          <w:b/>
          <w:sz w:val="26"/>
          <w:szCs w:val="26"/>
          <w:u w:val="single"/>
        </w:rPr>
      </w:pPr>
      <w:proofErr w:type="spellStart"/>
      <w:r w:rsidRPr="00F16707">
        <w:rPr>
          <w:rFonts w:ascii="Times New Roman" w:hAnsi="Times New Roman" w:cs="Times New Roman"/>
          <w:b/>
          <w:sz w:val="26"/>
          <w:szCs w:val="26"/>
          <w:u w:val="single"/>
        </w:rPr>
        <w:t>Кабмин</w:t>
      </w:r>
      <w:proofErr w:type="spellEnd"/>
      <w:r w:rsidRPr="00F16707">
        <w:rPr>
          <w:rFonts w:ascii="Times New Roman" w:hAnsi="Times New Roman" w:cs="Times New Roman"/>
          <w:b/>
          <w:sz w:val="26"/>
          <w:szCs w:val="26"/>
          <w:u w:val="single"/>
        </w:rPr>
        <w:t xml:space="preserve"> предлагает ускорить рекультивацию земель</w:t>
      </w:r>
    </w:p>
    <w:p w:rsidR="00F16707" w:rsidRPr="00F16707" w:rsidRDefault="00F16707" w:rsidP="00F16707">
      <w:pPr>
        <w:spacing w:after="0" w:line="240" w:lineRule="auto"/>
        <w:ind w:firstLine="709"/>
        <w:jc w:val="both"/>
        <w:rPr>
          <w:rFonts w:ascii="Times New Roman" w:hAnsi="Times New Roman" w:cs="Times New Roman"/>
          <w:sz w:val="26"/>
          <w:szCs w:val="26"/>
        </w:rPr>
      </w:pPr>
    </w:p>
    <w:p w:rsidR="00F16707" w:rsidRPr="00F16707" w:rsidRDefault="00F16707" w:rsidP="00F16707">
      <w:pPr>
        <w:spacing w:after="0" w:line="240" w:lineRule="auto"/>
        <w:ind w:firstLine="709"/>
        <w:jc w:val="both"/>
        <w:rPr>
          <w:rFonts w:ascii="Times New Roman" w:hAnsi="Times New Roman" w:cs="Times New Roman"/>
          <w:sz w:val="26"/>
          <w:szCs w:val="26"/>
        </w:rPr>
      </w:pPr>
      <w:proofErr w:type="spellStart"/>
      <w:r w:rsidRPr="00F16707">
        <w:rPr>
          <w:rFonts w:ascii="Times New Roman" w:hAnsi="Times New Roman" w:cs="Times New Roman"/>
          <w:sz w:val="26"/>
          <w:szCs w:val="26"/>
        </w:rPr>
        <w:t>Кабмин</w:t>
      </w:r>
      <w:proofErr w:type="spellEnd"/>
      <w:r w:rsidRPr="00F16707">
        <w:rPr>
          <w:rFonts w:ascii="Times New Roman" w:hAnsi="Times New Roman" w:cs="Times New Roman"/>
          <w:sz w:val="26"/>
          <w:szCs w:val="26"/>
        </w:rPr>
        <w:t xml:space="preserve"> предлагает исключить необходимость проведения общественных обсуждений по проектам работ по рекультивации земель. Это позволит оптимизировать сроки работ по восстановлению плодородного слоя почвы. Соответствующие поправки в закон об экологической экспертизе опубликованы в электронной базе Госдумы.</w:t>
      </w:r>
    </w:p>
    <w:p w:rsidR="00F16707" w:rsidRPr="00F16707" w:rsidRDefault="00F16707" w:rsidP="00F16707">
      <w:pPr>
        <w:spacing w:after="0" w:line="240" w:lineRule="auto"/>
        <w:ind w:firstLine="709"/>
        <w:jc w:val="both"/>
        <w:rPr>
          <w:rFonts w:ascii="Times New Roman" w:hAnsi="Times New Roman" w:cs="Times New Roman"/>
          <w:sz w:val="26"/>
          <w:szCs w:val="26"/>
        </w:rPr>
      </w:pPr>
      <w:r w:rsidRPr="00F16707">
        <w:rPr>
          <w:rFonts w:ascii="Times New Roman" w:hAnsi="Times New Roman" w:cs="Times New Roman"/>
          <w:sz w:val="26"/>
          <w:szCs w:val="26"/>
        </w:rPr>
        <w:t xml:space="preserve">Документ подготовлен в рамках мер по повышению устойчивости российской экономики в условиях внешнего </w:t>
      </w:r>
      <w:proofErr w:type="spellStart"/>
      <w:r w:rsidRPr="00F16707">
        <w:rPr>
          <w:rFonts w:ascii="Times New Roman" w:hAnsi="Times New Roman" w:cs="Times New Roman"/>
          <w:sz w:val="26"/>
          <w:szCs w:val="26"/>
        </w:rPr>
        <w:t>санкционного</w:t>
      </w:r>
      <w:proofErr w:type="spellEnd"/>
      <w:r w:rsidRPr="00F16707">
        <w:rPr>
          <w:rFonts w:ascii="Times New Roman" w:hAnsi="Times New Roman" w:cs="Times New Roman"/>
          <w:sz w:val="26"/>
          <w:szCs w:val="26"/>
        </w:rPr>
        <w:t xml:space="preserve"> давления и касается экологической экспертизы проектов рекультивации земель, которые использовались для размещения отходов производства и потребления. В том числе речь идет о землях, которые не предназначались для такого использования. По закону проекты восстановления таких почв подлежат экологической экспертизе.</w:t>
      </w:r>
    </w:p>
    <w:p w:rsidR="00F16707" w:rsidRPr="00F16707" w:rsidRDefault="00F16707" w:rsidP="00F16707">
      <w:pPr>
        <w:spacing w:after="0" w:line="240" w:lineRule="auto"/>
        <w:ind w:firstLine="709"/>
        <w:jc w:val="both"/>
        <w:rPr>
          <w:rFonts w:ascii="Times New Roman" w:hAnsi="Times New Roman" w:cs="Times New Roman"/>
          <w:sz w:val="26"/>
          <w:szCs w:val="26"/>
        </w:rPr>
      </w:pPr>
      <w:r w:rsidRPr="00F16707">
        <w:rPr>
          <w:rFonts w:ascii="Times New Roman" w:hAnsi="Times New Roman" w:cs="Times New Roman"/>
          <w:sz w:val="26"/>
          <w:szCs w:val="26"/>
        </w:rPr>
        <w:t>Чтобы скорее начать восстановительные работы, предлагается исключить из этой процедуры необходимость общественных слушаний. Однако поправки касаются только проектов, реализуемых в рамках государственных программ. </w:t>
      </w:r>
    </w:p>
    <w:p w:rsidR="00F16707" w:rsidRPr="00F16707" w:rsidRDefault="00F16707" w:rsidP="00F16707">
      <w:pPr>
        <w:spacing w:after="0" w:line="240" w:lineRule="auto"/>
        <w:ind w:firstLine="709"/>
        <w:jc w:val="both"/>
        <w:rPr>
          <w:rFonts w:ascii="Times New Roman" w:hAnsi="Times New Roman" w:cs="Times New Roman"/>
          <w:sz w:val="26"/>
          <w:szCs w:val="26"/>
        </w:rPr>
      </w:pPr>
      <w:r w:rsidRPr="00F16707">
        <w:rPr>
          <w:rFonts w:ascii="Times New Roman" w:hAnsi="Times New Roman" w:cs="Times New Roman"/>
          <w:sz w:val="26"/>
          <w:szCs w:val="26"/>
        </w:rPr>
        <w:t xml:space="preserve">Принятие поправок позволит сократить более чем на месяц сроки проектирования и реализации соответствующих проектов, отмечают в </w:t>
      </w:r>
      <w:proofErr w:type="spellStart"/>
      <w:r w:rsidRPr="00F16707">
        <w:rPr>
          <w:rFonts w:ascii="Times New Roman" w:hAnsi="Times New Roman" w:cs="Times New Roman"/>
          <w:sz w:val="26"/>
          <w:szCs w:val="26"/>
        </w:rPr>
        <w:t>кабмине</w:t>
      </w:r>
      <w:proofErr w:type="spellEnd"/>
      <w:r w:rsidRPr="00F16707">
        <w:rPr>
          <w:rFonts w:ascii="Times New Roman" w:hAnsi="Times New Roman" w:cs="Times New Roman"/>
          <w:sz w:val="26"/>
          <w:szCs w:val="26"/>
        </w:rPr>
        <w:t>.</w:t>
      </w:r>
    </w:p>
    <w:p w:rsidR="00F16707" w:rsidRDefault="00F16707" w:rsidP="00F16707">
      <w:pPr>
        <w:spacing w:after="0" w:line="240" w:lineRule="auto"/>
        <w:ind w:firstLine="709"/>
        <w:jc w:val="both"/>
        <w:rPr>
          <w:rFonts w:ascii="Times New Roman" w:hAnsi="Times New Roman" w:cs="Times New Roman"/>
          <w:sz w:val="26"/>
          <w:szCs w:val="26"/>
        </w:rPr>
      </w:pPr>
    </w:p>
    <w:p w:rsidR="00F16707" w:rsidRDefault="00F16707" w:rsidP="00F16707">
      <w:pPr>
        <w:spacing w:after="0" w:line="240" w:lineRule="auto"/>
        <w:ind w:firstLine="709"/>
        <w:jc w:val="both"/>
        <w:rPr>
          <w:rFonts w:ascii="Times New Roman" w:hAnsi="Times New Roman" w:cs="Times New Roman"/>
          <w:sz w:val="26"/>
          <w:szCs w:val="26"/>
        </w:rPr>
      </w:pPr>
    </w:p>
    <w:p w:rsidR="00F16707" w:rsidRPr="00F16707" w:rsidRDefault="00F16707" w:rsidP="00F16707">
      <w:pPr>
        <w:spacing w:after="0" w:line="240" w:lineRule="auto"/>
        <w:ind w:firstLine="709"/>
        <w:jc w:val="both"/>
        <w:rPr>
          <w:rFonts w:ascii="Times New Roman" w:hAnsi="Times New Roman" w:cs="Times New Roman"/>
          <w:b/>
          <w:sz w:val="26"/>
          <w:szCs w:val="26"/>
          <w:u w:val="single"/>
        </w:rPr>
      </w:pPr>
      <w:r w:rsidRPr="00F16707">
        <w:rPr>
          <w:rFonts w:ascii="Times New Roman" w:hAnsi="Times New Roman" w:cs="Times New Roman"/>
          <w:b/>
          <w:sz w:val="26"/>
          <w:szCs w:val="26"/>
          <w:u w:val="single"/>
        </w:rPr>
        <w:t>Банк России принял решение снизить ключевую ставку</w:t>
      </w:r>
    </w:p>
    <w:p w:rsidR="00F16707" w:rsidRPr="00F16707" w:rsidRDefault="00F16707" w:rsidP="00F16707">
      <w:pPr>
        <w:spacing w:after="0" w:line="240" w:lineRule="auto"/>
        <w:ind w:firstLine="709"/>
        <w:jc w:val="both"/>
        <w:rPr>
          <w:rFonts w:ascii="Times New Roman" w:hAnsi="Times New Roman" w:cs="Times New Roman"/>
          <w:sz w:val="26"/>
          <w:szCs w:val="26"/>
        </w:rPr>
      </w:pPr>
    </w:p>
    <w:p w:rsidR="00F16707" w:rsidRPr="00F16707" w:rsidRDefault="00F16707" w:rsidP="00F16707">
      <w:pPr>
        <w:spacing w:after="0" w:line="240" w:lineRule="auto"/>
        <w:ind w:firstLine="709"/>
        <w:jc w:val="both"/>
        <w:rPr>
          <w:rFonts w:ascii="Times New Roman" w:hAnsi="Times New Roman" w:cs="Times New Roman"/>
          <w:sz w:val="26"/>
          <w:szCs w:val="26"/>
        </w:rPr>
      </w:pPr>
      <w:r w:rsidRPr="00F16707">
        <w:rPr>
          <w:rFonts w:ascii="Times New Roman" w:hAnsi="Times New Roman" w:cs="Times New Roman"/>
          <w:sz w:val="26"/>
          <w:szCs w:val="26"/>
        </w:rPr>
        <w:t>По Информации Банка России от 26.05.2022, Совет директоров Банка России принял решение снизить ключевую ставку до 11% годовых.</w:t>
      </w:r>
    </w:p>
    <w:p w:rsidR="00F16707" w:rsidRPr="00F16707" w:rsidRDefault="00F16707" w:rsidP="00F16707">
      <w:pPr>
        <w:spacing w:after="0" w:line="240" w:lineRule="auto"/>
        <w:ind w:firstLine="709"/>
        <w:jc w:val="both"/>
        <w:rPr>
          <w:rFonts w:ascii="Times New Roman" w:hAnsi="Times New Roman" w:cs="Times New Roman"/>
          <w:sz w:val="26"/>
          <w:szCs w:val="26"/>
        </w:rPr>
      </w:pPr>
      <w:r w:rsidRPr="00F16707">
        <w:rPr>
          <w:rFonts w:ascii="Times New Roman" w:hAnsi="Times New Roman" w:cs="Times New Roman"/>
          <w:sz w:val="26"/>
          <w:szCs w:val="26"/>
        </w:rPr>
        <w:t>Совет директоров Банка России отмечает, что последние недельные данные указывают на значительное замедление текущих темпов роста цен. Ослаблению инфляционного давления способствуют динамика обменного курса рубля наряду с заметным снижением инфляционных ожиданий населения и бизнеса. Годовая инфляция в апреле достигла 17,8%, однако, по оценке на 20 мая, замедлилась до 17,5%, снижаясь быстрее апрельского прогноза Банка России.</w:t>
      </w:r>
    </w:p>
    <w:p w:rsidR="00F16707" w:rsidRPr="00F16707" w:rsidRDefault="00F16707" w:rsidP="00F16707">
      <w:pPr>
        <w:spacing w:after="0" w:line="240" w:lineRule="auto"/>
        <w:ind w:firstLine="709"/>
        <w:jc w:val="both"/>
        <w:rPr>
          <w:rFonts w:ascii="Times New Roman" w:hAnsi="Times New Roman" w:cs="Times New Roman"/>
          <w:sz w:val="26"/>
          <w:szCs w:val="26"/>
        </w:rPr>
      </w:pPr>
      <w:r w:rsidRPr="00F16707">
        <w:rPr>
          <w:rFonts w:ascii="Times New Roman" w:hAnsi="Times New Roman" w:cs="Times New Roman"/>
          <w:sz w:val="26"/>
          <w:szCs w:val="26"/>
        </w:rPr>
        <w:t xml:space="preserve">Продолжается приток средств на срочные рублевые депозиты, а кредитная активность остается низкой. Это ограничивает </w:t>
      </w:r>
      <w:proofErr w:type="spellStart"/>
      <w:r w:rsidRPr="00F16707">
        <w:rPr>
          <w:rFonts w:ascii="Times New Roman" w:hAnsi="Times New Roman" w:cs="Times New Roman"/>
          <w:sz w:val="26"/>
          <w:szCs w:val="26"/>
        </w:rPr>
        <w:t>проинфляционные</w:t>
      </w:r>
      <w:proofErr w:type="spellEnd"/>
      <w:r w:rsidRPr="00F16707">
        <w:rPr>
          <w:rFonts w:ascii="Times New Roman" w:hAnsi="Times New Roman" w:cs="Times New Roman"/>
          <w:sz w:val="26"/>
          <w:szCs w:val="26"/>
        </w:rPr>
        <w:t xml:space="preserve"> риски и обусловливает необходимость смягчения денежно-кредитных условий.</w:t>
      </w:r>
    </w:p>
    <w:p w:rsidR="00F16707" w:rsidRPr="00F16707" w:rsidRDefault="00F16707" w:rsidP="00F16707">
      <w:pPr>
        <w:spacing w:after="0" w:line="240" w:lineRule="auto"/>
        <w:ind w:firstLine="709"/>
        <w:jc w:val="both"/>
        <w:rPr>
          <w:rFonts w:ascii="Times New Roman" w:hAnsi="Times New Roman" w:cs="Times New Roman"/>
          <w:sz w:val="26"/>
          <w:szCs w:val="26"/>
        </w:rPr>
      </w:pPr>
      <w:r w:rsidRPr="00F16707">
        <w:rPr>
          <w:rFonts w:ascii="Times New Roman" w:hAnsi="Times New Roman" w:cs="Times New Roman"/>
          <w:sz w:val="26"/>
          <w:szCs w:val="26"/>
        </w:rPr>
        <w:lastRenderedPageBreak/>
        <w:t>Внешние условия для российской экономики остаются сложными, что значительно ограничивает экономическую активность. Риски для финансовой стабильности несколько снизились, позволив смягчить отдельные меры по контролю за движением капитала.</w:t>
      </w:r>
    </w:p>
    <w:p w:rsidR="00F16707" w:rsidRPr="00F16707" w:rsidRDefault="00F16707" w:rsidP="00F16707">
      <w:pPr>
        <w:spacing w:after="0" w:line="240" w:lineRule="auto"/>
        <w:ind w:firstLine="709"/>
        <w:jc w:val="both"/>
        <w:rPr>
          <w:rFonts w:ascii="Times New Roman" w:hAnsi="Times New Roman" w:cs="Times New Roman"/>
          <w:sz w:val="26"/>
          <w:szCs w:val="26"/>
        </w:rPr>
      </w:pPr>
      <w:r w:rsidRPr="00F16707">
        <w:rPr>
          <w:rFonts w:ascii="Times New Roman" w:hAnsi="Times New Roman" w:cs="Times New Roman"/>
          <w:sz w:val="26"/>
          <w:szCs w:val="26"/>
        </w:rPr>
        <w:t>Банк России будет принимать дальнейшие решения по ключевой ставке с учетом фактической и ожидаемой динамики инфляции относительно цели, процесса структурной перестройки экономики, а также оценивая риски со стороны внутренних и внешних условий и реакции на них финансовых рынков, и допускает возможность снижения ключевой ставки на ближайших заседаниях. По прогнозу Банка России, с учетом проводимой денежно-кредитной политики годовая инфляция снизится до 5,0-7,0% в 2023 году и вернется к 4% в 2024 году.</w:t>
      </w:r>
    </w:p>
    <w:p w:rsidR="00F16707" w:rsidRPr="00F16707" w:rsidRDefault="00F16707" w:rsidP="00F16707">
      <w:pPr>
        <w:spacing w:after="0" w:line="240" w:lineRule="auto"/>
        <w:ind w:firstLine="709"/>
        <w:jc w:val="both"/>
        <w:rPr>
          <w:rFonts w:ascii="Times New Roman" w:hAnsi="Times New Roman" w:cs="Times New Roman"/>
          <w:sz w:val="26"/>
          <w:szCs w:val="26"/>
        </w:rPr>
      </w:pPr>
      <w:r w:rsidRPr="00F16707">
        <w:rPr>
          <w:rFonts w:ascii="Times New Roman" w:hAnsi="Times New Roman" w:cs="Times New Roman"/>
          <w:sz w:val="26"/>
          <w:szCs w:val="26"/>
        </w:rPr>
        <w:t>Следующее заседание Совета директоров Банка России, на котором будет рассматриваться вопрос об уровне ключевой ставки, запланировано на июнь 2022 года.</w:t>
      </w:r>
    </w:p>
    <w:p w:rsidR="00F16707" w:rsidRDefault="00F16707" w:rsidP="00F16707">
      <w:pPr>
        <w:spacing w:after="0" w:line="240" w:lineRule="auto"/>
        <w:ind w:firstLine="709"/>
        <w:jc w:val="both"/>
        <w:rPr>
          <w:rFonts w:ascii="Times New Roman" w:hAnsi="Times New Roman" w:cs="Times New Roman"/>
          <w:sz w:val="26"/>
          <w:szCs w:val="26"/>
        </w:rPr>
      </w:pPr>
    </w:p>
    <w:p w:rsidR="00F16707" w:rsidRDefault="00F16707" w:rsidP="00F16707">
      <w:pPr>
        <w:spacing w:after="0" w:line="240" w:lineRule="auto"/>
        <w:ind w:firstLine="709"/>
        <w:jc w:val="both"/>
        <w:rPr>
          <w:rFonts w:ascii="Times New Roman" w:hAnsi="Times New Roman" w:cs="Times New Roman"/>
          <w:sz w:val="26"/>
          <w:szCs w:val="26"/>
        </w:rPr>
      </w:pPr>
    </w:p>
    <w:p w:rsidR="00F16707" w:rsidRPr="00F16707" w:rsidRDefault="00F16707" w:rsidP="00F16707">
      <w:pPr>
        <w:spacing w:after="0" w:line="240" w:lineRule="auto"/>
        <w:ind w:firstLine="709"/>
        <w:jc w:val="both"/>
        <w:rPr>
          <w:rFonts w:ascii="Times New Roman" w:hAnsi="Times New Roman" w:cs="Times New Roman"/>
          <w:b/>
          <w:sz w:val="26"/>
          <w:szCs w:val="26"/>
          <w:u w:val="single"/>
        </w:rPr>
      </w:pPr>
      <w:r w:rsidRPr="00F16707">
        <w:rPr>
          <w:rFonts w:ascii="Times New Roman" w:hAnsi="Times New Roman" w:cs="Times New Roman"/>
          <w:b/>
          <w:sz w:val="26"/>
          <w:szCs w:val="26"/>
          <w:u w:val="single"/>
        </w:rPr>
        <w:t>Владимир Путин объявил о повышении пенсий, МРОТ и прожиточного минимума</w:t>
      </w:r>
    </w:p>
    <w:p w:rsidR="00F16707" w:rsidRPr="00F16707" w:rsidRDefault="00F16707" w:rsidP="00F16707">
      <w:pPr>
        <w:spacing w:after="0" w:line="240" w:lineRule="auto"/>
        <w:ind w:firstLine="709"/>
        <w:jc w:val="both"/>
        <w:rPr>
          <w:rFonts w:ascii="Times New Roman" w:hAnsi="Times New Roman" w:cs="Times New Roman"/>
          <w:sz w:val="26"/>
          <w:szCs w:val="26"/>
        </w:rPr>
      </w:pPr>
    </w:p>
    <w:p w:rsidR="00F16707" w:rsidRPr="00F16707" w:rsidRDefault="00F16707" w:rsidP="00F16707">
      <w:pPr>
        <w:spacing w:after="0" w:line="240" w:lineRule="auto"/>
        <w:ind w:firstLine="709"/>
        <w:jc w:val="both"/>
        <w:rPr>
          <w:rFonts w:ascii="Times New Roman" w:hAnsi="Times New Roman" w:cs="Times New Roman"/>
          <w:sz w:val="26"/>
          <w:szCs w:val="26"/>
        </w:rPr>
      </w:pPr>
      <w:r w:rsidRPr="00F16707">
        <w:rPr>
          <w:rFonts w:ascii="Times New Roman" w:hAnsi="Times New Roman" w:cs="Times New Roman"/>
          <w:sz w:val="26"/>
          <w:szCs w:val="26"/>
        </w:rPr>
        <w:t>Владимир Путин объявил о дополнительных мерах социальной поддержки. С 1 июня пенсии неработающим пенсионерам будут увеличены на 10%. Как пояснили в Минтруде, средний размер прибавки составит 1760 рублей. Кроме того, с 1 июня вырастет прожиточный минимум на 10%, а с 1 июля на 10 процентов увеличится МРОТ. Это, по сути, отразится на увеличении всех социальных выплат.</w:t>
      </w:r>
    </w:p>
    <w:p w:rsidR="00F16707" w:rsidRPr="00F16707" w:rsidRDefault="00F16707" w:rsidP="00F16707">
      <w:pPr>
        <w:spacing w:after="0" w:line="240" w:lineRule="auto"/>
        <w:ind w:firstLine="709"/>
        <w:jc w:val="both"/>
        <w:rPr>
          <w:rFonts w:ascii="Times New Roman" w:hAnsi="Times New Roman" w:cs="Times New Roman"/>
          <w:sz w:val="26"/>
          <w:szCs w:val="26"/>
        </w:rPr>
      </w:pPr>
      <w:r w:rsidRPr="00F16707">
        <w:rPr>
          <w:rFonts w:ascii="Times New Roman" w:hAnsi="Times New Roman" w:cs="Times New Roman"/>
          <w:sz w:val="26"/>
          <w:szCs w:val="26"/>
        </w:rPr>
        <w:t>По словам Путина, инфляция по итогам 2022 года не должна превысить 15%. "Рост инфляции по оценкам экспертов замедлился. Сейчас он у нас 0,175 и по итогам 2022 года, мы исходим из этого, не превысит 15%", - сообщил он.</w:t>
      </w:r>
    </w:p>
    <w:p w:rsidR="00F16707" w:rsidRPr="00F16707" w:rsidRDefault="00F16707" w:rsidP="00F16707">
      <w:pPr>
        <w:spacing w:after="0" w:line="240" w:lineRule="auto"/>
        <w:ind w:firstLine="709"/>
        <w:jc w:val="both"/>
        <w:rPr>
          <w:rFonts w:ascii="Times New Roman" w:hAnsi="Times New Roman" w:cs="Times New Roman"/>
          <w:sz w:val="26"/>
          <w:szCs w:val="26"/>
        </w:rPr>
      </w:pPr>
      <w:r w:rsidRPr="00F16707">
        <w:rPr>
          <w:rFonts w:ascii="Times New Roman" w:hAnsi="Times New Roman" w:cs="Times New Roman"/>
          <w:sz w:val="26"/>
          <w:szCs w:val="26"/>
        </w:rPr>
        <w:t>Президент также констатировал снижение уровня безработицы в стране вопреки всем ожиданиям.</w:t>
      </w:r>
    </w:p>
    <w:p w:rsidR="00F16707" w:rsidRPr="00F16707" w:rsidRDefault="00F16707" w:rsidP="00F16707">
      <w:pPr>
        <w:spacing w:after="0" w:line="240" w:lineRule="auto"/>
        <w:ind w:firstLine="709"/>
        <w:jc w:val="both"/>
        <w:rPr>
          <w:rFonts w:ascii="Times New Roman" w:hAnsi="Times New Roman" w:cs="Times New Roman"/>
          <w:sz w:val="26"/>
          <w:szCs w:val="26"/>
        </w:rPr>
      </w:pPr>
      <w:r w:rsidRPr="00F16707">
        <w:rPr>
          <w:rFonts w:ascii="Times New Roman" w:hAnsi="Times New Roman" w:cs="Times New Roman"/>
          <w:sz w:val="26"/>
          <w:szCs w:val="26"/>
        </w:rPr>
        <w:t>При этом, несмотря на позитивные тенденции в экономике, Путин заявил о необходимости поддержки тех, кто в этом нуждается. Президент в связи с этим объявил целый комплекс мер социальной поддержки. Так, Путин сообщил об увеличении пенсий с 1 июня. Он напомнил, что с 1 января страховые пенсии неработающих пенсионеров уже были проиндексированы на 8,6%. Таким образом, прирост размера пенсий к уровню прошлого года составит 19,5%, что превышает уровень роста цен.</w:t>
      </w:r>
    </w:p>
    <w:p w:rsidR="00F16707" w:rsidRPr="00F16707" w:rsidRDefault="00F16707" w:rsidP="00F16707">
      <w:pPr>
        <w:spacing w:after="0" w:line="240" w:lineRule="auto"/>
        <w:ind w:firstLine="709"/>
        <w:jc w:val="both"/>
        <w:rPr>
          <w:rFonts w:ascii="Times New Roman" w:hAnsi="Times New Roman" w:cs="Times New Roman"/>
          <w:sz w:val="26"/>
          <w:szCs w:val="26"/>
        </w:rPr>
      </w:pPr>
      <w:r w:rsidRPr="00F16707">
        <w:rPr>
          <w:rFonts w:ascii="Times New Roman" w:hAnsi="Times New Roman" w:cs="Times New Roman"/>
          <w:sz w:val="26"/>
          <w:szCs w:val="26"/>
        </w:rPr>
        <w:t>Еще одна мера поддержки - увеличение прожиточного минимума с 1 июня. "С 1 июня этого года на 10% вырастет прожиточный минимум. В среднем по стране он составит 13 тыс. 919 руб.", - сказал Путин. Поскольку часть пособий и выплат рассчитывается, исходя из этого показателя, его рост также приведет к увеличению этих мер поддержки. Президент отметил, что это станет дополнительным подспорьем для многих семей с детьми. Кроме того, Путин сообщил, что с 1 июля на 10% вырастет и размер минимальной оплаты труда (МРОТ) и может составить до 15 тыс. 279 рублей в месяц.</w:t>
      </w:r>
    </w:p>
    <w:p w:rsidR="00F16707" w:rsidRPr="00F16707" w:rsidRDefault="00F16707" w:rsidP="00F16707">
      <w:pPr>
        <w:spacing w:after="0" w:line="240" w:lineRule="auto"/>
        <w:ind w:firstLine="709"/>
        <w:jc w:val="both"/>
        <w:rPr>
          <w:rFonts w:ascii="Times New Roman" w:hAnsi="Times New Roman" w:cs="Times New Roman"/>
          <w:sz w:val="26"/>
          <w:szCs w:val="26"/>
        </w:rPr>
      </w:pPr>
      <w:r w:rsidRPr="00F16707">
        <w:rPr>
          <w:rFonts w:ascii="Times New Roman" w:hAnsi="Times New Roman" w:cs="Times New Roman"/>
          <w:sz w:val="26"/>
          <w:szCs w:val="26"/>
        </w:rPr>
        <w:t xml:space="preserve">Министр труда и социальной защиты РФ Антон </w:t>
      </w:r>
      <w:proofErr w:type="spellStart"/>
      <w:r w:rsidRPr="00F16707">
        <w:rPr>
          <w:rFonts w:ascii="Times New Roman" w:hAnsi="Times New Roman" w:cs="Times New Roman"/>
          <w:sz w:val="26"/>
          <w:szCs w:val="26"/>
        </w:rPr>
        <w:t>Котяков</w:t>
      </w:r>
      <w:proofErr w:type="spellEnd"/>
      <w:r w:rsidRPr="00F16707">
        <w:rPr>
          <w:rFonts w:ascii="Times New Roman" w:hAnsi="Times New Roman" w:cs="Times New Roman"/>
          <w:sz w:val="26"/>
          <w:szCs w:val="26"/>
        </w:rPr>
        <w:t xml:space="preserve">, выступая после президента сообщил, что при индексации пенсий на 10% их средний размер достигнет 19360 рублей. По его словам, это позволит увеличить пенсионное обеспечение для 35 миллионов неработающих наших граждан пенсионного </w:t>
      </w:r>
      <w:r w:rsidRPr="00F16707">
        <w:rPr>
          <w:rFonts w:ascii="Times New Roman" w:hAnsi="Times New Roman" w:cs="Times New Roman"/>
          <w:sz w:val="26"/>
          <w:szCs w:val="26"/>
        </w:rPr>
        <w:lastRenderedPageBreak/>
        <w:t>возраста. "Это в среднем 1760 рублей - прибавка к пенсии", - сказал он. Кроме того, повышение минимального размера оплаты труда (МРОТ) на 10% позволит увеличить зарплаты примерно 4 миллионам россиян.</w:t>
      </w:r>
    </w:p>
    <w:p w:rsidR="00F16707" w:rsidRDefault="00F16707" w:rsidP="00F16707">
      <w:pPr>
        <w:spacing w:after="0" w:line="240" w:lineRule="auto"/>
        <w:ind w:firstLine="709"/>
        <w:jc w:val="both"/>
        <w:rPr>
          <w:rFonts w:ascii="Times New Roman" w:hAnsi="Times New Roman" w:cs="Times New Roman"/>
          <w:sz w:val="26"/>
          <w:szCs w:val="26"/>
        </w:rPr>
      </w:pPr>
    </w:p>
    <w:p w:rsidR="00F16707" w:rsidRDefault="00F16707" w:rsidP="00F16707">
      <w:pPr>
        <w:spacing w:after="0" w:line="240" w:lineRule="auto"/>
        <w:ind w:firstLine="709"/>
        <w:jc w:val="both"/>
        <w:rPr>
          <w:rFonts w:ascii="Times New Roman" w:hAnsi="Times New Roman" w:cs="Times New Roman"/>
          <w:sz w:val="26"/>
          <w:szCs w:val="26"/>
        </w:rPr>
      </w:pPr>
    </w:p>
    <w:p w:rsidR="00F16707" w:rsidRPr="00F16707" w:rsidRDefault="00F16707" w:rsidP="00F16707">
      <w:pPr>
        <w:spacing w:after="0" w:line="240" w:lineRule="auto"/>
        <w:ind w:firstLine="709"/>
        <w:jc w:val="both"/>
        <w:rPr>
          <w:rFonts w:ascii="Times New Roman" w:hAnsi="Times New Roman" w:cs="Times New Roman"/>
          <w:b/>
          <w:sz w:val="26"/>
          <w:szCs w:val="26"/>
          <w:u w:val="single"/>
        </w:rPr>
      </w:pPr>
      <w:r w:rsidRPr="00F16707">
        <w:rPr>
          <w:rFonts w:ascii="Times New Roman" w:hAnsi="Times New Roman" w:cs="Times New Roman"/>
          <w:b/>
          <w:sz w:val="26"/>
          <w:szCs w:val="26"/>
          <w:u w:val="single"/>
        </w:rPr>
        <w:t>Утверждены правила проезда и перехода через железнодорожные пути</w:t>
      </w:r>
    </w:p>
    <w:p w:rsidR="00F16707" w:rsidRPr="00F16707" w:rsidRDefault="00F16707" w:rsidP="00F16707">
      <w:pPr>
        <w:spacing w:after="0" w:line="240" w:lineRule="auto"/>
        <w:ind w:firstLine="709"/>
        <w:jc w:val="both"/>
        <w:rPr>
          <w:rFonts w:ascii="Times New Roman" w:hAnsi="Times New Roman" w:cs="Times New Roman"/>
          <w:sz w:val="26"/>
          <w:szCs w:val="26"/>
        </w:rPr>
      </w:pPr>
    </w:p>
    <w:p w:rsidR="00F16707" w:rsidRPr="00F16707" w:rsidRDefault="00F16707" w:rsidP="00F16707">
      <w:pPr>
        <w:spacing w:after="0" w:line="240" w:lineRule="auto"/>
        <w:ind w:firstLine="709"/>
        <w:jc w:val="both"/>
        <w:rPr>
          <w:rFonts w:ascii="Times New Roman" w:hAnsi="Times New Roman" w:cs="Times New Roman"/>
          <w:sz w:val="26"/>
          <w:szCs w:val="26"/>
        </w:rPr>
      </w:pPr>
      <w:hyperlink r:id="rId4" w:history="1">
        <w:r w:rsidRPr="00F16707">
          <w:rPr>
            <w:rStyle w:val="a3"/>
            <w:rFonts w:ascii="Times New Roman" w:hAnsi="Times New Roman" w:cs="Times New Roman"/>
            <w:sz w:val="26"/>
            <w:szCs w:val="26"/>
          </w:rPr>
          <w:t>Приказом Минтранса России от 27.01.2022 N 20</w:t>
        </w:r>
      </w:hyperlink>
      <w:r w:rsidRPr="00F16707">
        <w:rPr>
          <w:rFonts w:ascii="Times New Roman" w:hAnsi="Times New Roman" w:cs="Times New Roman"/>
          <w:sz w:val="26"/>
          <w:szCs w:val="26"/>
        </w:rPr>
        <w:t xml:space="preserve"> утверждены </w:t>
      </w:r>
      <w:hyperlink r:id="rId5" w:history="1">
        <w:r w:rsidRPr="00F16707">
          <w:rPr>
            <w:rStyle w:val="a3"/>
            <w:rFonts w:ascii="Times New Roman" w:hAnsi="Times New Roman" w:cs="Times New Roman"/>
            <w:sz w:val="26"/>
            <w:szCs w:val="26"/>
          </w:rPr>
          <w:t>Правила нахождения граждан и размещения объектов в зонах повышенной опасности, выполнения в этих зонах работ, проезда и перехода через железнодорожные пути.</w:t>
        </w:r>
      </w:hyperlink>
    </w:p>
    <w:p w:rsidR="00F16707" w:rsidRPr="00F16707" w:rsidRDefault="00F16707" w:rsidP="00F16707">
      <w:pPr>
        <w:spacing w:after="0" w:line="240" w:lineRule="auto"/>
        <w:ind w:firstLine="709"/>
        <w:jc w:val="both"/>
        <w:rPr>
          <w:rFonts w:ascii="Times New Roman" w:hAnsi="Times New Roman" w:cs="Times New Roman"/>
          <w:sz w:val="26"/>
          <w:szCs w:val="26"/>
        </w:rPr>
      </w:pPr>
      <w:r w:rsidRPr="00F16707">
        <w:rPr>
          <w:rFonts w:ascii="Times New Roman" w:hAnsi="Times New Roman" w:cs="Times New Roman"/>
          <w:sz w:val="26"/>
          <w:szCs w:val="26"/>
        </w:rPr>
        <w:t xml:space="preserve">Определено, что </w:t>
      </w:r>
      <w:r w:rsidRPr="006206E1">
        <w:rPr>
          <w:rFonts w:ascii="Times New Roman" w:hAnsi="Times New Roman" w:cs="Times New Roman"/>
          <w:sz w:val="26"/>
          <w:szCs w:val="26"/>
        </w:rPr>
        <w:t>Правила</w:t>
      </w:r>
      <w:r w:rsidRPr="00F16707">
        <w:rPr>
          <w:rFonts w:ascii="Times New Roman" w:hAnsi="Times New Roman" w:cs="Times New Roman"/>
          <w:sz w:val="26"/>
          <w:szCs w:val="26"/>
        </w:rPr>
        <w:t xml:space="preserve"> распространяются на физических лиц, в том числе пассажиров, пользующихся услугами железнодорожного транспорта, а также на юридических лиц и индивидуальных предпринимателей, деятельность которых связана с размещением объектов в зонах повышенной опасности и проведением в них работ.</w:t>
      </w:r>
    </w:p>
    <w:p w:rsidR="00F16707" w:rsidRPr="00F16707" w:rsidRDefault="00F16707" w:rsidP="00F16707">
      <w:pPr>
        <w:spacing w:after="0" w:line="240" w:lineRule="auto"/>
        <w:ind w:firstLine="709"/>
        <w:jc w:val="both"/>
        <w:rPr>
          <w:rFonts w:ascii="Times New Roman" w:hAnsi="Times New Roman" w:cs="Times New Roman"/>
          <w:sz w:val="26"/>
          <w:szCs w:val="26"/>
        </w:rPr>
      </w:pPr>
      <w:r w:rsidRPr="00F16707">
        <w:rPr>
          <w:rFonts w:ascii="Times New Roman" w:hAnsi="Times New Roman" w:cs="Times New Roman"/>
          <w:sz w:val="26"/>
          <w:szCs w:val="26"/>
        </w:rPr>
        <w:t xml:space="preserve">Установлено в частности, что посадка пассажиров в вагоны или высадка пассажиров из вагонов должна производиться после полной остановки поезда со стороны пассажирской платформы и в пределах пассажирской платформы. Проезд и переход граждан через железнодорожные пути допускаются только в установленных и оборудованных для этого местах. </w:t>
      </w:r>
    </w:p>
    <w:p w:rsidR="00F16707" w:rsidRPr="00F16707" w:rsidRDefault="00F16707" w:rsidP="00F16707">
      <w:pPr>
        <w:spacing w:after="0" w:line="240" w:lineRule="auto"/>
        <w:ind w:firstLine="709"/>
        <w:jc w:val="both"/>
        <w:rPr>
          <w:rFonts w:ascii="Times New Roman" w:hAnsi="Times New Roman" w:cs="Times New Roman"/>
          <w:sz w:val="26"/>
          <w:szCs w:val="26"/>
        </w:rPr>
      </w:pPr>
      <w:r w:rsidRPr="00F16707">
        <w:rPr>
          <w:rFonts w:ascii="Times New Roman" w:hAnsi="Times New Roman" w:cs="Times New Roman"/>
          <w:sz w:val="26"/>
          <w:szCs w:val="26"/>
        </w:rPr>
        <w:t xml:space="preserve">При пересечении гражданами железнодорожных путей на транспортных средствах должны соблюдаться нормы, установленные </w:t>
      </w:r>
      <w:r w:rsidRPr="006206E1">
        <w:rPr>
          <w:rFonts w:ascii="Times New Roman" w:hAnsi="Times New Roman" w:cs="Times New Roman"/>
          <w:sz w:val="26"/>
          <w:szCs w:val="26"/>
        </w:rPr>
        <w:t>разделом 15 Правил дорожного движения Российской Федерации.</w:t>
      </w:r>
    </w:p>
    <w:p w:rsidR="00F16707" w:rsidRPr="00F16707" w:rsidRDefault="00F16707" w:rsidP="00F16707">
      <w:pPr>
        <w:spacing w:after="0" w:line="240" w:lineRule="auto"/>
        <w:ind w:firstLine="709"/>
        <w:jc w:val="both"/>
        <w:rPr>
          <w:rFonts w:ascii="Times New Roman" w:hAnsi="Times New Roman" w:cs="Times New Roman"/>
          <w:sz w:val="26"/>
          <w:szCs w:val="26"/>
        </w:rPr>
      </w:pPr>
      <w:r w:rsidRPr="00F16707">
        <w:rPr>
          <w:rFonts w:ascii="Times New Roman" w:hAnsi="Times New Roman" w:cs="Times New Roman"/>
          <w:sz w:val="26"/>
          <w:szCs w:val="26"/>
        </w:rPr>
        <w:t>Также уточнены запреты при нахождении граждан в зонах повышенной опасности и при пользовании железнодорожным подвижным составом.</w:t>
      </w:r>
    </w:p>
    <w:p w:rsidR="00F16707" w:rsidRPr="00F16707" w:rsidRDefault="00F16707" w:rsidP="00F16707">
      <w:pPr>
        <w:spacing w:after="0" w:line="240" w:lineRule="auto"/>
        <w:ind w:firstLine="709"/>
        <w:jc w:val="both"/>
        <w:rPr>
          <w:rFonts w:ascii="Times New Roman" w:hAnsi="Times New Roman" w:cs="Times New Roman"/>
          <w:sz w:val="26"/>
          <w:szCs w:val="26"/>
        </w:rPr>
      </w:pPr>
      <w:hyperlink r:id="rId6" w:history="1">
        <w:r w:rsidRPr="00F16707">
          <w:rPr>
            <w:rStyle w:val="a3"/>
            <w:rFonts w:ascii="Times New Roman" w:hAnsi="Times New Roman" w:cs="Times New Roman"/>
            <w:sz w:val="26"/>
            <w:szCs w:val="26"/>
          </w:rPr>
          <w:t>Приказ Минтранса России от 08.02.2007 N 18 "Об утверждении Правил нахождения граждан и размещения объектов в зонах повышенной опасности, выполнения в этих зонах работ, проезда и перехода через железнодорожные пути"</w:t>
        </w:r>
      </w:hyperlink>
      <w:r w:rsidRPr="00F16707">
        <w:rPr>
          <w:rFonts w:ascii="Times New Roman" w:hAnsi="Times New Roman" w:cs="Times New Roman"/>
          <w:sz w:val="26"/>
          <w:szCs w:val="26"/>
        </w:rPr>
        <w:t xml:space="preserve"> признан утратившим силу.</w:t>
      </w:r>
    </w:p>
    <w:p w:rsidR="00F16707" w:rsidRPr="00F16707" w:rsidRDefault="00F16707" w:rsidP="00F16707">
      <w:pPr>
        <w:spacing w:after="0" w:line="240" w:lineRule="auto"/>
        <w:ind w:firstLine="709"/>
        <w:jc w:val="both"/>
        <w:rPr>
          <w:rFonts w:ascii="Times New Roman" w:hAnsi="Times New Roman" w:cs="Times New Roman"/>
          <w:b/>
          <w:sz w:val="26"/>
          <w:szCs w:val="26"/>
        </w:rPr>
      </w:pPr>
      <w:r w:rsidRPr="00F16707">
        <w:rPr>
          <w:rFonts w:ascii="Times New Roman" w:hAnsi="Times New Roman" w:cs="Times New Roman"/>
          <w:b/>
          <w:sz w:val="26"/>
          <w:szCs w:val="26"/>
        </w:rPr>
        <w:t>Дата вступления в силу - 01.09.2022</w:t>
      </w:r>
    </w:p>
    <w:p w:rsidR="00F16707" w:rsidRDefault="00F16707" w:rsidP="00F16707">
      <w:pPr>
        <w:spacing w:after="0" w:line="240" w:lineRule="auto"/>
        <w:ind w:firstLine="709"/>
        <w:jc w:val="both"/>
        <w:rPr>
          <w:rFonts w:ascii="Times New Roman" w:hAnsi="Times New Roman" w:cs="Times New Roman"/>
          <w:sz w:val="26"/>
          <w:szCs w:val="26"/>
        </w:rPr>
      </w:pPr>
    </w:p>
    <w:p w:rsidR="006206E1" w:rsidRDefault="006206E1" w:rsidP="00F16707">
      <w:pPr>
        <w:spacing w:after="0" w:line="240" w:lineRule="auto"/>
        <w:ind w:firstLine="709"/>
        <w:jc w:val="both"/>
        <w:rPr>
          <w:rFonts w:ascii="Times New Roman" w:hAnsi="Times New Roman" w:cs="Times New Roman"/>
          <w:sz w:val="26"/>
          <w:szCs w:val="26"/>
        </w:rPr>
      </w:pPr>
    </w:p>
    <w:p w:rsidR="006206E1" w:rsidRPr="006206E1" w:rsidRDefault="006206E1" w:rsidP="006206E1">
      <w:pPr>
        <w:spacing w:after="0" w:line="240" w:lineRule="auto"/>
        <w:ind w:firstLine="709"/>
        <w:jc w:val="both"/>
        <w:rPr>
          <w:rFonts w:ascii="Times New Roman" w:hAnsi="Times New Roman" w:cs="Times New Roman"/>
          <w:b/>
          <w:sz w:val="26"/>
          <w:szCs w:val="26"/>
          <w:u w:val="single"/>
        </w:rPr>
      </w:pPr>
      <w:r w:rsidRPr="006206E1">
        <w:rPr>
          <w:rFonts w:ascii="Times New Roman" w:hAnsi="Times New Roman" w:cs="Times New Roman"/>
          <w:b/>
          <w:sz w:val="26"/>
          <w:szCs w:val="26"/>
          <w:u w:val="single"/>
        </w:rPr>
        <w:t>Утвержден PDF/A-3 формат для подписи и представления договоров в ФНС России в электронной форме</w:t>
      </w:r>
    </w:p>
    <w:p w:rsidR="006206E1" w:rsidRDefault="006206E1" w:rsidP="006206E1">
      <w:pPr>
        <w:spacing w:after="0" w:line="240" w:lineRule="auto"/>
        <w:ind w:firstLine="709"/>
        <w:jc w:val="both"/>
        <w:rPr>
          <w:rFonts w:ascii="Times New Roman" w:hAnsi="Times New Roman" w:cs="Times New Roman"/>
          <w:sz w:val="26"/>
          <w:szCs w:val="26"/>
        </w:rPr>
      </w:pPr>
    </w:p>
    <w:p w:rsidR="006206E1" w:rsidRPr="006206E1" w:rsidRDefault="006206E1" w:rsidP="006206E1">
      <w:pPr>
        <w:spacing w:after="0" w:line="240" w:lineRule="auto"/>
        <w:ind w:firstLine="709"/>
        <w:jc w:val="both"/>
        <w:rPr>
          <w:rFonts w:ascii="Times New Roman" w:hAnsi="Times New Roman" w:cs="Times New Roman"/>
          <w:sz w:val="26"/>
          <w:szCs w:val="26"/>
        </w:rPr>
      </w:pPr>
      <w:r w:rsidRPr="006206E1">
        <w:rPr>
          <w:rFonts w:ascii="Times New Roman" w:hAnsi="Times New Roman" w:cs="Times New Roman"/>
          <w:sz w:val="26"/>
          <w:szCs w:val="26"/>
        </w:rPr>
        <w:t xml:space="preserve">В соответствии с абз.4 </w:t>
      </w:r>
      <w:hyperlink r:id="rId7" w:history="1">
        <w:r w:rsidRPr="006206E1">
          <w:rPr>
            <w:rStyle w:val="a3"/>
            <w:rFonts w:ascii="Times New Roman" w:hAnsi="Times New Roman" w:cs="Times New Roman"/>
            <w:sz w:val="26"/>
            <w:szCs w:val="26"/>
          </w:rPr>
          <w:t>пункта 2 статьи 93 НК РФ</w:t>
        </w:r>
      </w:hyperlink>
      <w:r w:rsidRPr="006206E1">
        <w:rPr>
          <w:rFonts w:ascii="Times New Roman" w:hAnsi="Times New Roman" w:cs="Times New Roman"/>
          <w:sz w:val="26"/>
          <w:szCs w:val="26"/>
        </w:rPr>
        <w:t xml:space="preserve"> документы на бумаге, </w:t>
      </w:r>
      <w:proofErr w:type="spellStart"/>
      <w:r w:rsidRPr="006206E1">
        <w:rPr>
          <w:rFonts w:ascii="Times New Roman" w:hAnsi="Times New Roman" w:cs="Times New Roman"/>
          <w:sz w:val="26"/>
          <w:szCs w:val="26"/>
        </w:rPr>
        <w:t>истребуемые</w:t>
      </w:r>
      <w:proofErr w:type="spellEnd"/>
      <w:r w:rsidRPr="006206E1">
        <w:rPr>
          <w:rFonts w:ascii="Times New Roman" w:hAnsi="Times New Roman" w:cs="Times New Roman"/>
          <w:sz w:val="26"/>
          <w:szCs w:val="26"/>
        </w:rPr>
        <w:t xml:space="preserve"> налоговым органом, могут быть представлены в виде электронных образов документов (документов на бумажном носителе, преобразованных в электронную форму путем сканирования с сохранением их реквизитов) по форматам, установленным ФНС, по ТКС  или через личный кабинет налогоплательщика. Такие документы заверяются УКЭП проверяемого лица или его представителя.</w:t>
      </w:r>
    </w:p>
    <w:p w:rsidR="006206E1" w:rsidRPr="006206E1" w:rsidRDefault="006206E1" w:rsidP="006206E1">
      <w:pPr>
        <w:spacing w:after="0" w:line="240" w:lineRule="auto"/>
        <w:ind w:firstLine="709"/>
        <w:jc w:val="both"/>
        <w:rPr>
          <w:rFonts w:ascii="Times New Roman" w:hAnsi="Times New Roman" w:cs="Times New Roman"/>
          <w:sz w:val="26"/>
          <w:szCs w:val="26"/>
        </w:rPr>
      </w:pPr>
      <w:hyperlink r:id="rId8" w:history="1">
        <w:r w:rsidRPr="006206E1">
          <w:rPr>
            <w:rStyle w:val="a3"/>
            <w:rFonts w:ascii="Times New Roman" w:hAnsi="Times New Roman" w:cs="Times New Roman"/>
            <w:sz w:val="26"/>
            <w:szCs w:val="26"/>
          </w:rPr>
          <w:t>Приказом ФНС России от 24.03.2022 N ЕД-7-26/236@</w:t>
        </w:r>
      </w:hyperlink>
      <w:r w:rsidRPr="006206E1">
        <w:rPr>
          <w:rFonts w:ascii="Times New Roman" w:hAnsi="Times New Roman" w:cs="Times New Roman"/>
          <w:sz w:val="26"/>
          <w:szCs w:val="26"/>
        </w:rPr>
        <w:t xml:space="preserve"> утвержден </w:t>
      </w:r>
      <w:hyperlink r:id="rId9" w:history="1">
        <w:r w:rsidRPr="006206E1">
          <w:rPr>
            <w:rStyle w:val="a3"/>
            <w:rFonts w:ascii="Times New Roman" w:hAnsi="Times New Roman" w:cs="Times New Roman"/>
            <w:sz w:val="26"/>
            <w:szCs w:val="26"/>
          </w:rPr>
          <w:t>PDF/A-3 формат</w:t>
        </w:r>
      </w:hyperlink>
      <w:r w:rsidRPr="006206E1">
        <w:rPr>
          <w:rFonts w:ascii="Times New Roman" w:hAnsi="Times New Roman" w:cs="Times New Roman"/>
          <w:sz w:val="26"/>
          <w:szCs w:val="26"/>
        </w:rPr>
        <w:t xml:space="preserve"> представления договорного документа в электронной форме. </w:t>
      </w:r>
    </w:p>
    <w:p w:rsidR="006206E1" w:rsidRDefault="006206E1" w:rsidP="00F16707">
      <w:pPr>
        <w:spacing w:after="0" w:line="240" w:lineRule="auto"/>
        <w:ind w:firstLine="709"/>
        <w:jc w:val="both"/>
        <w:rPr>
          <w:rFonts w:ascii="Times New Roman" w:hAnsi="Times New Roman" w:cs="Times New Roman"/>
          <w:sz w:val="26"/>
          <w:szCs w:val="26"/>
        </w:rPr>
      </w:pPr>
    </w:p>
    <w:p w:rsidR="006206E1" w:rsidRDefault="006206E1" w:rsidP="00F16707">
      <w:pPr>
        <w:spacing w:after="0" w:line="240" w:lineRule="auto"/>
        <w:ind w:firstLine="709"/>
        <w:jc w:val="both"/>
        <w:rPr>
          <w:rFonts w:ascii="Times New Roman" w:hAnsi="Times New Roman" w:cs="Times New Roman"/>
          <w:sz w:val="26"/>
          <w:szCs w:val="26"/>
        </w:rPr>
      </w:pPr>
    </w:p>
    <w:p w:rsidR="006206E1" w:rsidRDefault="006206E1" w:rsidP="00F16707">
      <w:pPr>
        <w:spacing w:after="0" w:line="240" w:lineRule="auto"/>
        <w:ind w:firstLine="709"/>
        <w:jc w:val="both"/>
        <w:rPr>
          <w:rFonts w:ascii="Times New Roman" w:hAnsi="Times New Roman" w:cs="Times New Roman"/>
          <w:sz w:val="26"/>
          <w:szCs w:val="26"/>
        </w:rPr>
      </w:pPr>
    </w:p>
    <w:p w:rsidR="006206E1" w:rsidRPr="006206E1" w:rsidRDefault="006206E1" w:rsidP="006206E1">
      <w:pPr>
        <w:spacing w:after="0" w:line="240" w:lineRule="auto"/>
        <w:ind w:firstLine="709"/>
        <w:jc w:val="both"/>
        <w:rPr>
          <w:rFonts w:ascii="Times New Roman" w:hAnsi="Times New Roman" w:cs="Times New Roman"/>
          <w:b/>
          <w:sz w:val="26"/>
          <w:szCs w:val="26"/>
          <w:u w:val="single"/>
        </w:rPr>
      </w:pPr>
      <w:r w:rsidRPr="006206E1">
        <w:rPr>
          <w:rFonts w:ascii="Times New Roman" w:hAnsi="Times New Roman" w:cs="Times New Roman"/>
          <w:b/>
          <w:sz w:val="26"/>
          <w:szCs w:val="26"/>
          <w:u w:val="single"/>
        </w:rPr>
        <w:lastRenderedPageBreak/>
        <w:t>Регионам хотят дать право выбора тарифа на горячую воду в открытых системах теплоснабжения</w:t>
      </w:r>
    </w:p>
    <w:p w:rsidR="006206E1" w:rsidRPr="006206E1" w:rsidRDefault="006206E1" w:rsidP="006206E1">
      <w:pPr>
        <w:spacing w:after="0" w:line="240" w:lineRule="auto"/>
        <w:ind w:firstLine="709"/>
        <w:jc w:val="both"/>
        <w:rPr>
          <w:rFonts w:ascii="Times New Roman" w:hAnsi="Times New Roman" w:cs="Times New Roman"/>
          <w:sz w:val="26"/>
          <w:szCs w:val="26"/>
        </w:rPr>
      </w:pPr>
    </w:p>
    <w:p w:rsidR="006206E1" w:rsidRPr="006206E1" w:rsidRDefault="006206E1" w:rsidP="006206E1">
      <w:pPr>
        <w:spacing w:after="0" w:line="240" w:lineRule="auto"/>
        <w:ind w:firstLine="709"/>
        <w:jc w:val="both"/>
        <w:rPr>
          <w:rFonts w:ascii="Times New Roman" w:hAnsi="Times New Roman" w:cs="Times New Roman"/>
          <w:sz w:val="26"/>
          <w:szCs w:val="26"/>
        </w:rPr>
      </w:pPr>
      <w:r w:rsidRPr="006206E1">
        <w:rPr>
          <w:rFonts w:ascii="Times New Roman" w:hAnsi="Times New Roman" w:cs="Times New Roman"/>
          <w:sz w:val="26"/>
          <w:szCs w:val="26"/>
        </w:rPr>
        <w:t xml:space="preserve">Сенаторы Андрей </w:t>
      </w:r>
      <w:proofErr w:type="spellStart"/>
      <w:r w:rsidRPr="006206E1">
        <w:rPr>
          <w:rFonts w:ascii="Times New Roman" w:hAnsi="Times New Roman" w:cs="Times New Roman"/>
          <w:sz w:val="26"/>
          <w:szCs w:val="26"/>
        </w:rPr>
        <w:t>Кутепов</w:t>
      </w:r>
      <w:proofErr w:type="spellEnd"/>
      <w:r w:rsidRPr="006206E1">
        <w:rPr>
          <w:rFonts w:ascii="Times New Roman" w:hAnsi="Times New Roman" w:cs="Times New Roman"/>
          <w:sz w:val="26"/>
          <w:szCs w:val="26"/>
        </w:rPr>
        <w:t>, Николай Федоров и Олег Ткач предложили при установлении тарифов на горячую воду в открытых системах теплоснабжения позволить регионам выбирать между однокомпонентным или двухкомпонентным тарифами. Такой законопроект они внесли на рассмотрение Госдумы.</w:t>
      </w:r>
    </w:p>
    <w:p w:rsidR="006206E1" w:rsidRPr="006206E1" w:rsidRDefault="006206E1" w:rsidP="006206E1">
      <w:pPr>
        <w:spacing w:after="0" w:line="240" w:lineRule="auto"/>
        <w:ind w:firstLine="709"/>
        <w:jc w:val="both"/>
        <w:rPr>
          <w:rFonts w:ascii="Times New Roman" w:hAnsi="Times New Roman" w:cs="Times New Roman"/>
          <w:sz w:val="26"/>
          <w:szCs w:val="26"/>
        </w:rPr>
      </w:pPr>
      <w:r w:rsidRPr="006206E1">
        <w:rPr>
          <w:rFonts w:ascii="Times New Roman" w:hAnsi="Times New Roman" w:cs="Times New Roman"/>
          <w:sz w:val="26"/>
          <w:szCs w:val="26"/>
        </w:rPr>
        <w:t>Открытая система теплоснабжения предполагает, что вода нагревается на ТЭЦ или в котельной и поступает в краны напрямую из тех же труб, которые используются для отопления. А при закрытой системе вода в трубах подогревается уже в доме или другом здании. С 1 января 2022 года все открытые системы должны были начать переводить на закрытые.</w:t>
      </w:r>
    </w:p>
    <w:p w:rsidR="006206E1" w:rsidRPr="006206E1" w:rsidRDefault="006206E1" w:rsidP="006206E1">
      <w:pPr>
        <w:spacing w:after="0" w:line="240" w:lineRule="auto"/>
        <w:ind w:firstLine="709"/>
        <w:jc w:val="both"/>
        <w:rPr>
          <w:rFonts w:ascii="Times New Roman" w:hAnsi="Times New Roman" w:cs="Times New Roman"/>
          <w:sz w:val="26"/>
          <w:szCs w:val="26"/>
        </w:rPr>
      </w:pPr>
      <w:r w:rsidRPr="006206E1">
        <w:rPr>
          <w:rFonts w:ascii="Times New Roman" w:hAnsi="Times New Roman" w:cs="Times New Roman"/>
          <w:sz w:val="26"/>
          <w:szCs w:val="26"/>
        </w:rPr>
        <w:t>Основы ценообразования в теплоснабжении предполагают, что органы регулирования устанавливают двухкомпонентный тариф на горячую воду для теплоснабжающих компаний, поставляющих ее по открытой системе. При этом уполномоченный орган субъекта РФ не имеет возможности выбора вида тарифа (однокомпонентного или двухкомпонентного).</w:t>
      </w:r>
    </w:p>
    <w:p w:rsidR="006206E1" w:rsidRPr="006206E1" w:rsidRDefault="006206E1" w:rsidP="006206E1">
      <w:pPr>
        <w:spacing w:after="0" w:line="240" w:lineRule="auto"/>
        <w:ind w:firstLine="709"/>
        <w:jc w:val="both"/>
        <w:rPr>
          <w:rFonts w:ascii="Times New Roman" w:hAnsi="Times New Roman" w:cs="Times New Roman"/>
          <w:sz w:val="26"/>
          <w:szCs w:val="26"/>
        </w:rPr>
      </w:pPr>
      <w:r w:rsidRPr="006206E1">
        <w:rPr>
          <w:rFonts w:ascii="Times New Roman" w:hAnsi="Times New Roman" w:cs="Times New Roman"/>
          <w:sz w:val="26"/>
          <w:szCs w:val="26"/>
        </w:rPr>
        <w:t>Вместе с тем, с декабря 2019 года разрешено выбирать вид тарифа на горячую воду в закрытой системе горячего водоснабжения. Благодаря этому органы регулирования тарифов устанавливают однокомпонентный или двухкомпонентный тариф, состоящий из компонента на холодную воду и компонента на тепловую энергию.</w:t>
      </w:r>
    </w:p>
    <w:p w:rsidR="006206E1" w:rsidRPr="006206E1" w:rsidRDefault="006206E1" w:rsidP="006206E1">
      <w:pPr>
        <w:spacing w:after="0" w:line="240" w:lineRule="auto"/>
        <w:ind w:firstLine="709"/>
        <w:jc w:val="both"/>
        <w:rPr>
          <w:rFonts w:ascii="Times New Roman" w:hAnsi="Times New Roman" w:cs="Times New Roman"/>
          <w:sz w:val="26"/>
          <w:szCs w:val="26"/>
        </w:rPr>
      </w:pPr>
      <w:r w:rsidRPr="006206E1">
        <w:rPr>
          <w:rFonts w:ascii="Times New Roman" w:hAnsi="Times New Roman" w:cs="Times New Roman"/>
          <w:sz w:val="26"/>
          <w:szCs w:val="26"/>
        </w:rPr>
        <w:t>В отношении открытых систем аналогичные изменения не были приняты в связи с наличием в законодательстве запрета на использование открытых систем теплоснабжения для нужд горячего водоснабжения. Однако с 1 января 2022 года запрет на горячее водоснабжение с использованием открытых систем теплоснабжения сняли.</w:t>
      </w:r>
    </w:p>
    <w:p w:rsidR="006206E1" w:rsidRPr="006206E1" w:rsidRDefault="006206E1" w:rsidP="006206E1">
      <w:pPr>
        <w:spacing w:after="0" w:line="240" w:lineRule="auto"/>
        <w:ind w:firstLine="709"/>
        <w:jc w:val="both"/>
        <w:rPr>
          <w:rFonts w:ascii="Times New Roman" w:hAnsi="Times New Roman" w:cs="Times New Roman"/>
          <w:sz w:val="26"/>
          <w:szCs w:val="26"/>
        </w:rPr>
      </w:pPr>
      <w:r w:rsidRPr="006206E1">
        <w:rPr>
          <w:rFonts w:ascii="Times New Roman" w:hAnsi="Times New Roman" w:cs="Times New Roman"/>
          <w:sz w:val="26"/>
          <w:szCs w:val="26"/>
        </w:rPr>
        <w:t>При этом перевод открытых систем теплоснабжения на закрытые возможен только в случае экономической и технологической эффективности такого перевода, говорится в пояснительной записке к документу. Таким образом, период времени, в течение которого могут использоваться открытые системы теплоснабжения, законодательством не ограничен. Кроме того, это создает неравенство между субъектами РФ из-за отсутствия у них права выбора вида тарифа на горячую воду в открытой системе теплоснабжения.</w:t>
      </w:r>
    </w:p>
    <w:p w:rsidR="006206E1" w:rsidRPr="006206E1" w:rsidRDefault="006206E1" w:rsidP="006206E1">
      <w:pPr>
        <w:spacing w:after="0" w:line="240" w:lineRule="auto"/>
        <w:ind w:firstLine="709"/>
        <w:jc w:val="both"/>
        <w:rPr>
          <w:rFonts w:ascii="Times New Roman" w:hAnsi="Times New Roman" w:cs="Times New Roman"/>
          <w:sz w:val="26"/>
          <w:szCs w:val="26"/>
        </w:rPr>
      </w:pPr>
      <w:r w:rsidRPr="006206E1">
        <w:rPr>
          <w:rFonts w:ascii="Times New Roman" w:hAnsi="Times New Roman" w:cs="Times New Roman"/>
          <w:sz w:val="26"/>
          <w:szCs w:val="26"/>
        </w:rPr>
        <w:t xml:space="preserve">Для решения этой проблемы законопроектом предлагается внести изменение в </w:t>
      </w:r>
      <w:hyperlink r:id="rId10" w:history="1">
        <w:r w:rsidRPr="006206E1">
          <w:rPr>
            <w:rStyle w:val="a3"/>
            <w:rFonts w:ascii="Times New Roman" w:hAnsi="Times New Roman" w:cs="Times New Roman"/>
            <w:sz w:val="26"/>
            <w:szCs w:val="26"/>
          </w:rPr>
          <w:t>часть 5 статьи 9 Федерального закона "О теплоснабжении"</w:t>
        </w:r>
      </w:hyperlink>
      <w:r w:rsidRPr="006206E1">
        <w:rPr>
          <w:rFonts w:ascii="Times New Roman" w:hAnsi="Times New Roman" w:cs="Times New Roman"/>
          <w:sz w:val="26"/>
          <w:szCs w:val="26"/>
        </w:rPr>
        <w:t>, прописав, что тарифы на горячую воду в открытых системах теплоснабжения устанавливаются как в виде однокомпонентных, так и двухкомпонентных с использованием компонента на теплоноситель и компонента на тепловую энергию.</w:t>
      </w:r>
    </w:p>
    <w:p w:rsidR="006206E1" w:rsidRPr="006206E1" w:rsidRDefault="006206E1" w:rsidP="006206E1">
      <w:pPr>
        <w:spacing w:after="0" w:line="240" w:lineRule="auto"/>
        <w:ind w:firstLine="709"/>
        <w:jc w:val="both"/>
        <w:rPr>
          <w:rFonts w:ascii="Times New Roman" w:hAnsi="Times New Roman" w:cs="Times New Roman"/>
          <w:sz w:val="26"/>
          <w:szCs w:val="26"/>
        </w:rPr>
      </w:pPr>
      <w:r w:rsidRPr="006206E1">
        <w:rPr>
          <w:rFonts w:ascii="Times New Roman" w:hAnsi="Times New Roman" w:cs="Times New Roman"/>
          <w:sz w:val="26"/>
          <w:szCs w:val="26"/>
        </w:rPr>
        <w:t>Правительство поддерживает внесенный сенаторами законопроект</w:t>
      </w:r>
      <w:r>
        <w:rPr>
          <w:rFonts w:ascii="Times New Roman" w:hAnsi="Times New Roman" w:cs="Times New Roman"/>
          <w:sz w:val="26"/>
          <w:szCs w:val="26"/>
        </w:rPr>
        <w:t>.</w:t>
      </w:r>
      <w:r w:rsidRPr="006206E1">
        <w:rPr>
          <w:rFonts w:ascii="Times New Roman" w:hAnsi="Times New Roman" w:cs="Times New Roman"/>
          <w:sz w:val="26"/>
          <w:szCs w:val="26"/>
        </w:rPr>
        <w:t xml:space="preserve"> Документ разработан в целях синхронизации подходов к установлению однокомпонентных или двухкомпонентных тарифов на горячую воду в связи с отменой запрета на использование открытых систем теплоснабжения для горячего водоснабжения, говорится в отзыве </w:t>
      </w:r>
      <w:proofErr w:type="spellStart"/>
      <w:r w:rsidRPr="006206E1">
        <w:rPr>
          <w:rFonts w:ascii="Times New Roman" w:hAnsi="Times New Roman" w:cs="Times New Roman"/>
          <w:sz w:val="26"/>
          <w:szCs w:val="26"/>
        </w:rPr>
        <w:t>кабмина</w:t>
      </w:r>
      <w:proofErr w:type="spellEnd"/>
      <w:r w:rsidRPr="006206E1">
        <w:rPr>
          <w:rFonts w:ascii="Times New Roman" w:hAnsi="Times New Roman" w:cs="Times New Roman"/>
          <w:sz w:val="26"/>
          <w:szCs w:val="26"/>
        </w:rPr>
        <w:t>.</w:t>
      </w:r>
    </w:p>
    <w:p w:rsidR="006206E1" w:rsidRDefault="006206E1" w:rsidP="00F16707">
      <w:pPr>
        <w:spacing w:after="0" w:line="240" w:lineRule="auto"/>
        <w:ind w:firstLine="709"/>
        <w:jc w:val="both"/>
        <w:rPr>
          <w:rFonts w:ascii="Times New Roman" w:hAnsi="Times New Roman" w:cs="Times New Roman"/>
          <w:sz w:val="26"/>
          <w:szCs w:val="26"/>
        </w:rPr>
      </w:pPr>
    </w:p>
    <w:p w:rsidR="006206E1" w:rsidRDefault="006206E1" w:rsidP="00F16707">
      <w:pPr>
        <w:spacing w:after="0" w:line="240" w:lineRule="auto"/>
        <w:ind w:firstLine="709"/>
        <w:jc w:val="both"/>
        <w:rPr>
          <w:rFonts w:ascii="Times New Roman" w:hAnsi="Times New Roman" w:cs="Times New Roman"/>
          <w:sz w:val="26"/>
          <w:szCs w:val="26"/>
        </w:rPr>
      </w:pPr>
    </w:p>
    <w:p w:rsidR="006206E1" w:rsidRDefault="006206E1" w:rsidP="00F16707">
      <w:pPr>
        <w:spacing w:after="0" w:line="240" w:lineRule="auto"/>
        <w:ind w:firstLine="709"/>
        <w:jc w:val="both"/>
        <w:rPr>
          <w:rFonts w:ascii="Times New Roman" w:hAnsi="Times New Roman" w:cs="Times New Roman"/>
          <w:sz w:val="26"/>
          <w:szCs w:val="26"/>
        </w:rPr>
      </w:pPr>
    </w:p>
    <w:p w:rsidR="006206E1" w:rsidRPr="006206E1" w:rsidRDefault="006206E1" w:rsidP="006206E1">
      <w:pPr>
        <w:spacing w:after="0" w:line="240" w:lineRule="auto"/>
        <w:ind w:firstLine="709"/>
        <w:jc w:val="both"/>
        <w:rPr>
          <w:rFonts w:ascii="Times New Roman" w:hAnsi="Times New Roman" w:cs="Times New Roman"/>
          <w:b/>
          <w:sz w:val="26"/>
          <w:szCs w:val="26"/>
          <w:u w:val="single"/>
        </w:rPr>
      </w:pPr>
      <w:r w:rsidRPr="006206E1">
        <w:rPr>
          <w:rFonts w:ascii="Times New Roman" w:hAnsi="Times New Roman" w:cs="Times New Roman"/>
          <w:b/>
          <w:sz w:val="26"/>
          <w:szCs w:val="26"/>
          <w:u w:val="single"/>
        </w:rPr>
        <w:lastRenderedPageBreak/>
        <w:t>Утверждено Положение о федеральной государственной информационной системе учета твердых коммунальных отходов</w:t>
      </w:r>
    </w:p>
    <w:p w:rsidR="006206E1" w:rsidRPr="006206E1" w:rsidRDefault="006206E1" w:rsidP="006206E1">
      <w:pPr>
        <w:spacing w:after="0" w:line="240" w:lineRule="auto"/>
        <w:ind w:firstLine="709"/>
        <w:jc w:val="both"/>
        <w:rPr>
          <w:rFonts w:ascii="Times New Roman" w:hAnsi="Times New Roman" w:cs="Times New Roman"/>
          <w:sz w:val="26"/>
          <w:szCs w:val="26"/>
        </w:rPr>
      </w:pPr>
    </w:p>
    <w:p w:rsidR="006206E1" w:rsidRPr="006206E1" w:rsidRDefault="006206E1" w:rsidP="006206E1">
      <w:pPr>
        <w:spacing w:after="0" w:line="240" w:lineRule="auto"/>
        <w:ind w:firstLine="709"/>
        <w:jc w:val="both"/>
        <w:rPr>
          <w:rFonts w:ascii="Times New Roman" w:hAnsi="Times New Roman" w:cs="Times New Roman"/>
          <w:sz w:val="26"/>
          <w:szCs w:val="26"/>
        </w:rPr>
      </w:pPr>
      <w:r w:rsidRPr="006206E1">
        <w:rPr>
          <w:rFonts w:ascii="Times New Roman" w:hAnsi="Times New Roman" w:cs="Times New Roman"/>
          <w:sz w:val="26"/>
          <w:szCs w:val="26"/>
        </w:rPr>
        <w:t xml:space="preserve">Правительство РФ </w:t>
      </w:r>
      <w:hyperlink r:id="rId11" w:history="1">
        <w:r w:rsidRPr="006206E1">
          <w:rPr>
            <w:rStyle w:val="a3"/>
            <w:rFonts w:ascii="Times New Roman" w:hAnsi="Times New Roman" w:cs="Times New Roman"/>
            <w:sz w:val="26"/>
            <w:szCs w:val="26"/>
          </w:rPr>
          <w:t>Постановлением от 20.05.2022 N 913</w:t>
        </w:r>
      </w:hyperlink>
      <w:r w:rsidRPr="006206E1">
        <w:rPr>
          <w:rFonts w:ascii="Times New Roman" w:hAnsi="Times New Roman" w:cs="Times New Roman"/>
          <w:sz w:val="26"/>
          <w:szCs w:val="26"/>
        </w:rPr>
        <w:t xml:space="preserve"> утвердило Положение о федеральной государственной информационной системе учета твердых коммунальных отходов</w:t>
      </w:r>
      <w:r>
        <w:rPr>
          <w:rFonts w:ascii="Times New Roman" w:hAnsi="Times New Roman" w:cs="Times New Roman"/>
          <w:sz w:val="26"/>
          <w:szCs w:val="26"/>
        </w:rPr>
        <w:t>.</w:t>
      </w:r>
    </w:p>
    <w:p w:rsidR="006206E1" w:rsidRPr="006206E1" w:rsidRDefault="006206E1" w:rsidP="006206E1">
      <w:pPr>
        <w:spacing w:after="0" w:line="240" w:lineRule="auto"/>
        <w:ind w:firstLine="709"/>
        <w:jc w:val="both"/>
        <w:rPr>
          <w:rFonts w:ascii="Times New Roman" w:hAnsi="Times New Roman" w:cs="Times New Roman"/>
          <w:sz w:val="26"/>
          <w:szCs w:val="26"/>
        </w:rPr>
      </w:pPr>
      <w:r w:rsidRPr="006206E1">
        <w:rPr>
          <w:rFonts w:ascii="Times New Roman" w:hAnsi="Times New Roman" w:cs="Times New Roman"/>
          <w:sz w:val="26"/>
          <w:szCs w:val="26"/>
        </w:rPr>
        <w:t xml:space="preserve">Данное Положение устанавливает: </w:t>
      </w:r>
    </w:p>
    <w:p w:rsidR="006206E1" w:rsidRPr="006206E1" w:rsidRDefault="006206E1" w:rsidP="006206E1">
      <w:pPr>
        <w:spacing w:after="0" w:line="240" w:lineRule="auto"/>
        <w:ind w:firstLine="709"/>
        <w:jc w:val="both"/>
        <w:rPr>
          <w:rFonts w:ascii="Times New Roman" w:hAnsi="Times New Roman" w:cs="Times New Roman"/>
          <w:sz w:val="26"/>
          <w:szCs w:val="26"/>
        </w:rPr>
      </w:pPr>
      <w:r w:rsidRPr="006206E1">
        <w:rPr>
          <w:rFonts w:ascii="Times New Roman" w:hAnsi="Times New Roman" w:cs="Times New Roman"/>
          <w:sz w:val="26"/>
          <w:szCs w:val="26"/>
        </w:rPr>
        <w:t xml:space="preserve">- порядок создания, развития, ввода в эксплуатацию, эксплуатации и вывода из эксплуатации федеральной государственной информационной системы учета твердых коммунальных отходов, </w:t>
      </w:r>
    </w:p>
    <w:p w:rsidR="006206E1" w:rsidRPr="006206E1" w:rsidRDefault="006206E1" w:rsidP="006206E1">
      <w:pPr>
        <w:spacing w:after="0" w:line="240" w:lineRule="auto"/>
        <w:ind w:firstLine="709"/>
        <w:jc w:val="both"/>
        <w:rPr>
          <w:rFonts w:ascii="Times New Roman" w:hAnsi="Times New Roman" w:cs="Times New Roman"/>
          <w:sz w:val="26"/>
          <w:szCs w:val="26"/>
        </w:rPr>
      </w:pPr>
      <w:r w:rsidRPr="006206E1">
        <w:rPr>
          <w:rFonts w:ascii="Times New Roman" w:hAnsi="Times New Roman" w:cs="Times New Roman"/>
          <w:sz w:val="26"/>
          <w:szCs w:val="26"/>
        </w:rPr>
        <w:t>- порядок информационного взаимодействия информационной системы с единой федеральной государственной информационной системой учета отходов от использования товаров и иными информационными системами.</w:t>
      </w:r>
    </w:p>
    <w:p w:rsidR="006206E1" w:rsidRPr="006206E1" w:rsidRDefault="006206E1" w:rsidP="006206E1">
      <w:pPr>
        <w:spacing w:after="0" w:line="240" w:lineRule="auto"/>
        <w:ind w:firstLine="709"/>
        <w:jc w:val="both"/>
        <w:rPr>
          <w:rFonts w:ascii="Times New Roman" w:hAnsi="Times New Roman" w:cs="Times New Roman"/>
          <w:sz w:val="26"/>
          <w:szCs w:val="26"/>
        </w:rPr>
      </w:pPr>
      <w:r w:rsidRPr="006206E1">
        <w:rPr>
          <w:rFonts w:ascii="Times New Roman" w:hAnsi="Times New Roman" w:cs="Times New Roman"/>
          <w:sz w:val="26"/>
          <w:szCs w:val="26"/>
        </w:rPr>
        <w:t>При помощи системы можно будет оценить объёмы сбора мусора по всей стране, отследить количество заключённых в отрасли договоров, ознакомиться с тарифами, действующими в разных регионах.</w:t>
      </w:r>
    </w:p>
    <w:p w:rsidR="006206E1" w:rsidRPr="006206E1" w:rsidRDefault="006206E1" w:rsidP="006206E1">
      <w:pPr>
        <w:spacing w:after="0" w:line="240" w:lineRule="auto"/>
        <w:ind w:firstLine="709"/>
        <w:jc w:val="both"/>
        <w:rPr>
          <w:rFonts w:ascii="Times New Roman" w:hAnsi="Times New Roman" w:cs="Times New Roman"/>
          <w:sz w:val="26"/>
          <w:szCs w:val="26"/>
        </w:rPr>
      </w:pPr>
      <w:r w:rsidRPr="006206E1">
        <w:rPr>
          <w:rFonts w:ascii="Times New Roman" w:hAnsi="Times New Roman" w:cs="Times New Roman"/>
          <w:sz w:val="26"/>
          <w:szCs w:val="26"/>
        </w:rPr>
        <w:t>Предполагается, что система будет полностью автоматизирована и будет способна вести учёт твёрдых коммунальных отходов.</w:t>
      </w:r>
    </w:p>
    <w:p w:rsidR="006206E1" w:rsidRPr="006206E1" w:rsidRDefault="006206E1" w:rsidP="006206E1">
      <w:pPr>
        <w:spacing w:after="0" w:line="240" w:lineRule="auto"/>
        <w:ind w:firstLine="709"/>
        <w:jc w:val="both"/>
        <w:rPr>
          <w:rFonts w:ascii="Times New Roman" w:hAnsi="Times New Roman" w:cs="Times New Roman"/>
          <w:sz w:val="26"/>
          <w:szCs w:val="26"/>
        </w:rPr>
      </w:pPr>
      <w:r w:rsidRPr="006206E1">
        <w:rPr>
          <w:rFonts w:ascii="Times New Roman" w:hAnsi="Times New Roman" w:cs="Times New Roman"/>
          <w:sz w:val="26"/>
          <w:szCs w:val="26"/>
        </w:rPr>
        <w:t xml:space="preserve">При помощи данной системы муниципальные органы смогут усилить контроль за состоянием мусорных полигонов.    </w:t>
      </w:r>
    </w:p>
    <w:p w:rsidR="006206E1" w:rsidRPr="006206E1" w:rsidRDefault="006206E1" w:rsidP="006206E1">
      <w:pPr>
        <w:spacing w:after="0" w:line="240" w:lineRule="auto"/>
        <w:ind w:firstLine="709"/>
        <w:jc w:val="both"/>
        <w:rPr>
          <w:rFonts w:ascii="Times New Roman" w:hAnsi="Times New Roman" w:cs="Times New Roman"/>
          <w:sz w:val="26"/>
          <w:szCs w:val="26"/>
        </w:rPr>
      </w:pPr>
      <w:r w:rsidRPr="006206E1">
        <w:rPr>
          <w:rFonts w:ascii="Times New Roman" w:hAnsi="Times New Roman" w:cs="Times New Roman"/>
          <w:sz w:val="26"/>
          <w:szCs w:val="26"/>
        </w:rPr>
        <w:t>Государственная система учета твердых коммунальных отходов будет содержать следующую информацию:</w:t>
      </w:r>
    </w:p>
    <w:p w:rsidR="006206E1" w:rsidRPr="006206E1" w:rsidRDefault="006206E1" w:rsidP="006206E1">
      <w:pPr>
        <w:spacing w:after="0" w:line="240" w:lineRule="auto"/>
        <w:ind w:firstLine="709"/>
        <w:jc w:val="both"/>
        <w:rPr>
          <w:rFonts w:ascii="Times New Roman" w:hAnsi="Times New Roman" w:cs="Times New Roman"/>
          <w:sz w:val="26"/>
          <w:szCs w:val="26"/>
        </w:rPr>
      </w:pPr>
      <w:r w:rsidRPr="006206E1">
        <w:rPr>
          <w:rFonts w:ascii="Times New Roman" w:hAnsi="Times New Roman" w:cs="Times New Roman"/>
          <w:sz w:val="26"/>
          <w:szCs w:val="26"/>
        </w:rPr>
        <w:t>- об источниках образования твердых коммунальных отходов;</w:t>
      </w:r>
    </w:p>
    <w:p w:rsidR="006206E1" w:rsidRPr="006206E1" w:rsidRDefault="006206E1" w:rsidP="006206E1">
      <w:pPr>
        <w:spacing w:after="0" w:line="240" w:lineRule="auto"/>
        <w:ind w:firstLine="709"/>
        <w:jc w:val="both"/>
        <w:rPr>
          <w:rFonts w:ascii="Times New Roman" w:hAnsi="Times New Roman" w:cs="Times New Roman"/>
          <w:sz w:val="26"/>
          <w:szCs w:val="26"/>
        </w:rPr>
      </w:pPr>
      <w:r w:rsidRPr="006206E1">
        <w:rPr>
          <w:rFonts w:ascii="Times New Roman" w:hAnsi="Times New Roman" w:cs="Times New Roman"/>
          <w:sz w:val="26"/>
          <w:szCs w:val="26"/>
        </w:rPr>
        <w:t>- о местах накопления твердых коммунальных отходов, в том числе об осуществлении раздельного накопления твердых коммунальных отходов;</w:t>
      </w:r>
    </w:p>
    <w:p w:rsidR="006206E1" w:rsidRPr="006206E1" w:rsidRDefault="006206E1" w:rsidP="006206E1">
      <w:pPr>
        <w:spacing w:after="0" w:line="240" w:lineRule="auto"/>
        <w:ind w:firstLine="709"/>
        <w:jc w:val="both"/>
        <w:rPr>
          <w:rFonts w:ascii="Times New Roman" w:hAnsi="Times New Roman" w:cs="Times New Roman"/>
          <w:sz w:val="26"/>
          <w:szCs w:val="26"/>
        </w:rPr>
      </w:pPr>
      <w:r w:rsidRPr="006206E1">
        <w:rPr>
          <w:rFonts w:ascii="Times New Roman" w:hAnsi="Times New Roman" w:cs="Times New Roman"/>
          <w:sz w:val="26"/>
          <w:szCs w:val="26"/>
        </w:rPr>
        <w:t>- об объектах обработки, утилизации, обезвреживания, размещения твердых коммунальных отходов;</w:t>
      </w:r>
    </w:p>
    <w:p w:rsidR="006206E1" w:rsidRPr="006206E1" w:rsidRDefault="006206E1" w:rsidP="006206E1">
      <w:pPr>
        <w:spacing w:after="0" w:line="240" w:lineRule="auto"/>
        <w:ind w:firstLine="709"/>
        <w:jc w:val="both"/>
        <w:rPr>
          <w:rFonts w:ascii="Times New Roman" w:hAnsi="Times New Roman" w:cs="Times New Roman"/>
          <w:sz w:val="26"/>
          <w:szCs w:val="26"/>
        </w:rPr>
      </w:pPr>
      <w:r w:rsidRPr="006206E1">
        <w:rPr>
          <w:rFonts w:ascii="Times New Roman" w:hAnsi="Times New Roman" w:cs="Times New Roman"/>
          <w:sz w:val="26"/>
          <w:szCs w:val="26"/>
        </w:rPr>
        <w:t>- о балансах количественных характеристик образования, утилизации, обезвреживания, захоронения твердых коммунальных отходов на территориях субъектов РФ</w:t>
      </w:r>
    </w:p>
    <w:p w:rsidR="006206E1" w:rsidRPr="006206E1" w:rsidRDefault="006206E1" w:rsidP="006206E1">
      <w:pPr>
        <w:spacing w:after="0" w:line="240" w:lineRule="auto"/>
        <w:ind w:firstLine="709"/>
        <w:jc w:val="both"/>
        <w:rPr>
          <w:rFonts w:ascii="Times New Roman" w:hAnsi="Times New Roman" w:cs="Times New Roman"/>
          <w:sz w:val="26"/>
          <w:szCs w:val="26"/>
        </w:rPr>
      </w:pPr>
      <w:r w:rsidRPr="006206E1">
        <w:rPr>
          <w:rFonts w:ascii="Times New Roman" w:hAnsi="Times New Roman" w:cs="Times New Roman"/>
          <w:sz w:val="26"/>
          <w:szCs w:val="26"/>
        </w:rPr>
        <w:t>- и т.д.</w:t>
      </w:r>
    </w:p>
    <w:p w:rsidR="006206E1" w:rsidRPr="006206E1" w:rsidRDefault="006206E1" w:rsidP="006206E1">
      <w:pPr>
        <w:spacing w:after="0" w:line="240" w:lineRule="auto"/>
        <w:ind w:firstLine="709"/>
        <w:jc w:val="both"/>
        <w:rPr>
          <w:rFonts w:ascii="Times New Roman" w:hAnsi="Times New Roman" w:cs="Times New Roman"/>
          <w:sz w:val="26"/>
          <w:szCs w:val="26"/>
        </w:rPr>
      </w:pPr>
      <w:r w:rsidRPr="006206E1">
        <w:rPr>
          <w:rFonts w:ascii="Times New Roman" w:hAnsi="Times New Roman" w:cs="Times New Roman"/>
          <w:sz w:val="26"/>
          <w:szCs w:val="26"/>
        </w:rPr>
        <w:t xml:space="preserve">Постановление </w:t>
      </w:r>
      <w:r w:rsidRPr="006206E1">
        <w:rPr>
          <w:rFonts w:ascii="Times New Roman" w:hAnsi="Times New Roman" w:cs="Times New Roman"/>
          <w:b/>
          <w:sz w:val="26"/>
          <w:szCs w:val="26"/>
        </w:rPr>
        <w:t>вступает в силу уже с 1 июня</w:t>
      </w:r>
      <w:r w:rsidRPr="006206E1">
        <w:rPr>
          <w:rFonts w:ascii="Times New Roman" w:hAnsi="Times New Roman" w:cs="Times New Roman"/>
          <w:sz w:val="26"/>
          <w:szCs w:val="26"/>
        </w:rPr>
        <w:t xml:space="preserve"> текущего года. </w:t>
      </w:r>
    </w:p>
    <w:p w:rsidR="006206E1" w:rsidRDefault="006206E1" w:rsidP="00F16707">
      <w:pPr>
        <w:spacing w:after="0" w:line="240" w:lineRule="auto"/>
        <w:ind w:firstLine="709"/>
        <w:jc w:val="both"/>
        <w:rPr>
          <w:rFonts w:ascii="Times New Roman" w:hAnsi="Times New Roman" w:cs="Times New Roman"/>
          <w:sz w:val="26"/>
          <w:szCs w:val="26"/>
        </w:rPr>
      </w:pPr>
    </w:p>
    <w:p w:rsidR="006206E1" w:rsidRDefault="006206E1" w:rsidP="00F16707">
      <w:pPr>
        <w:spacing w:after="0" w:line="240" w:lineRule="auto"/>
        <w:ind w:firstLine="709"/>
        <w:jc w:val="both"/>
        <w:rPr>
          <w:rFonts w:ascii="Times New Roman" w:hAnsi="Times New Roman" w:cs="Times New Roman"/>
          <w:sz w:val="26"/>
          <w:szCs w:val="26"/>
        </w:rPr>
      </w:pPr>
    </w:p>
    <w:p w:rsidR="00135B54" w:rsidRPr="00135B54" w:rsidRDefault="00135B54" w:rsidP="00135B54">
      <w:pPr>
        <w:spacing w:after="0" w:line="240" w:lineRule="auto"/>
        <w:ind w:firstLine="709"/>
        <w:jc w:val="both"/>
        <w:rPr>
          <w:rFonts w:ascii="Times New Roman" w:hAnsi="Times New Roman" w:cs="Times New Roman"/>
          <w:b/>
          <w:sz w:val="26"/>
          <w:szCs w:val="26"/>
          <w:u w:val="single"/>
        </w:rPr>
      </w:pPr>
      <w:r w:rsidRPr="00135B54">
        <w:rPr>
          <w:rFonts w:ascii="Times New Roman" w:hAnsi="Times New Roman" w:cs="Times New Roman"/>
          <w:b/>
          <w:sz w:val="26"/>
          <w:szCs w:val="26"/>
          <w:u w:val="single"/>
        </w:rPr>
        <w:t>Правительство расширило возможности "Пушкинской карты"</w:t>
      </w:r>
    </w:p>
    <w:p w:rsidR="00135B54" w:rsidRPr="00135B54" w:rsidRDefault="00135B54" w:rsidP="00135B54">
      <w:pPr>
        <w:spacing w:after="0" w:line="240" w:lineRule="auto"/>
        <w:ind w:firstLine="709"/>
        <w:jc w:val="both"/>
        <w:rPr>
          <w:rFonts w:ascii="Times New Roman" w:hAnsi="Times New Roman" w:cs="Times New Roman"/>
          <w:sz w:val="26"/>
          <w:szCs w:val="26"/>
        </w:rPr>
      </w:pPr>
    </w:p>
    <w:p w:rsidR="00135B54" w:rsidRPr="00135B54" w:rsidRDefault="00135B54" w:rsidP="00135B54">
      <w:pPr>
        <w:spacing w:after="0" w:line="240" w:lineRule="auto"/>
        <w:ind w:firstLine="709"/>
        <w:jc w:val="both"/>
        <w:rPr>
          <w:rFonts w:ascii="Times New Roman" w:hAnsi="Times New Roman" w:cs="Times New Roman"/>
          <w:sz w:val="26"/>
          <w:szCs w:val="26"/>
        </w:rPr>
      </w:pPr>
      <w:r w:rsidRPr="00135B54">
        <w:rPr>
          <w:rFonts w:ascii="Times New Roman" w:hAnsi="Times New Roman" w:cs="Times New Roman"/>
          <w:sz w:val="26"/>
          <w:szCs w:val="26"/>
        </w:rPr>
        <w:t xml:space="preserve">Киноафиша программы "Пушкинская карта", в рамках которой молодые люди от 14 до 22 лет могут приобретать билеты на культурные мероприятия за государственный счёт, будет расширена. Постановление об этом подписал Председатель Правительства Михаил </w:t>
      </w:r>
      <w:proofErr w:type="spellStart"/>
      <w:r w:rsidRPr="00135B54">
        <w:rPr>
          <w:rFonts w:ascii="Times New Roman" w:hAnsi="Times New Roman" w:cs="Times New Roman"/>
          <w:sz w:val="26"/>
          <w:szCs w:val="26"/>
        </w:rPr>
        <w:t>Мишустин</w:t>
      </w:r>
      <w:proofErr w:type="spellEnd"/>
      <w:r w:rsidRPr="00135B54">
        <w:rPr>
          <w:rFonts w:ascii="Times New Roman" w:hAnsi="Times New Roman" w:cs="Times New Roman"/>
          <w:sz w:val="26"/>
          <w:szCs w:val="26"/>
        </w:rPr>
        <w:t>.</w:t>
      </w:r>
    </w:p>
    <w:p w:rsidR="00135B54" w:rsidRPr="00135B54" w:rsidRDefault="00135B54" w:rsidP="00135B54">
      <w:pPr>
        <w:spacing w:after="0" w:line="240" w:lineRule="auto"/>
        <w:ind w:firstLine="709"/>
        <w:jc w:val="both"/>
        <w:rPr>
          <w:rFonts w:ascii="Times New Roman" w:hAnsi="Times New Roman" w:cs="Times New Roman"/>
          <w:sz w:val="26"/>
          <w:szCs w:val="26"/>
        </w:rPr>
      </w:pPr>
      <w:r w:rsidRPr="00135B54">
        <w:rPr>
          <w:rFonts w:ascii="Times New Roman" w:hAnsi="Times New Roman" w:cs="Times New Roman"/>
          <w:sz w:val="26"/>
          <w:szCs w:val="26"/>
        </w:rPr>
        <w:t>Теперь программа будет охватывать все российские фильмы, в том числе созданные без государственной поддержки, после их одобрения на экспертном совете при Министерстве культуры.</w:t>
      </w:r>
    </w:p>
    <w:p w:rsidR="00135B54" w:rsidRPr="00135B54" w:rsidRDefault="00135B54" w:rsidP="00135B54">
      <w:pPr>
        <w:spacing w:after="0" w:line="240" w:lineRule="auto"/>
        <w:ind w:firstLine="709"/>
        <w:jc w:val="both"/>
        <w:rPr>
          <w:rFonts w:ascii="Times New Roman" w:hAnsi="Times New Roman" w:cs="Times New Roman"/>
          <w:sz w:val="26"/>
          <w:szCs w:val="26"/>
        </w:rPr>
      </w:pPr>
      <w:r w:rsidRPr="00135B54">
        <w:rPr>
          <w:rFonts w:ascii="Times New Roman" w:hAnsi="Times New Roman" w:cs="Times New Roman"/>
          <w:sz w:val="26"/>
          <w:szCs w:val="26"/>
        </w:rPr>
        <w:t xml:space="preserve">"Таким образом, молодые люди смогут на льготной основе ознакомиться с современными российскими кинолентами, а кинобизнес получит поддержку, которая позволит облегчить прохождение текущего периода", - отметил Михаил </w:t>
      </w:r>
      <w:proofErr w:type="spellStart"/>
      <w:r w:rsidRPr="00135B54">
        <w:rPr>
          <w:rFonts w:ascii="Times New Roman" w:hAnsi="Times New Roman" w:cs="Times New Roman"/>
          <w:sz w:val="26"/>
          <w:szCs w:val="26"/>
        </w:rPr>
        <w:t>Мишустин</w:t>
      </w:r>
      <w:proofErr w:type="spellEnd"/>
      <w:r w:rsidRPr="00135B54">
        <w:rPr>
          <w:rFonts w:ascii="Times New Roman" w:hAnsi="Times New Roman" w:cs="Times New Roman"/>
          <w:sz w:val="26"/>
          <w:szCs w:val="26"/>
        </w:rPr>
        <w:t xml:space="preserve"> на заседании президиума Правительственной комиссии по повышению </w:t>
      </w:r>
      <w:r w:rsidRPr="00135B54">
        <w:rPr>
          <w:rFonts w:ascii="Times New Roman" w:hAnsi="Times New Roman" w:cs="Times New Roman"/>
          <w:sz w:val="26"/>
          <w:szCs w:val="26"/>
        </w:rPr>
        <w:lastRenderedPageBreak/>
        <w:t>устойчивости российской экономики в условиях санкций, которое состоялось 24 мая.</w:t>
      </w:r>
    </w:p>
    <w:p w:rsidR="00135B54" w:rsidRPr="00135B54" w:rsidRDefault="00135B54" w:rsidP="00135B54">
      <w:pPr>
        <w:spacing w:after="0" w:line="240" w:lineRule="auto"/>
        <w:ind w:firstLine="709"/>
        <w:jc w:val="both"/>
        <w:rPr>
          <w:rFonts w:ascii="Times New Roman" w:hAnsi="Times New Roman" w:cs="Times New Roman"/>
          <w:sz w:val="26"/>
          <w:szCs w:val="26"/>
        </w:rPr>
      </w:pPr>
      <w:r w:rsidRPr="00135B54">
        <w:rPr>
          <w:rFonts w:ascii="Times New Roman" w:hAnsi="Times New Roman" w:cs="Times New Roman"/>
          <w:sz w:val="26"/>
          <w:szCs w:val="26"/>
        </w:rPr>
        <w:t>"Пушкинская карта" - это специальная банковская карта для молодёжи, которой можно расплачиваться только при покупке билетов в театры, музеи, концертные залы, кинотеатры. Деньги на счёт таких карт направляет государство. Эта программа была запущена в 2021 году по инициативе Президента России и стала очень востребованной. Всего за четыре месяца прошлого года в ней приняли участие около 3,7 миллиона человек, было куплено билетов более чем на 2 млрд рублей. С 1 января 2022 года номинал "Пушкинской карты" увеличен с 3 тыс. до 5 тыс. рублей в год, из которых до 2 тыс. рублей можно потратить на посещение кинотеатров.</w:t>
      </w:r>
    </w:p>
    <w:p w:rsidR="00135B54" w:rsidRPr="00135B54" w:rsidRDefault="00135B54" w:rsidP="00135B54">
      <w:pPr>
        <w:spacing w:after="0" w:line="240" w:lineRule="auto"/>
        <w:jc w:val="both"/>
        <w:rPr>
          <w:rFonts w:ascii="Times New Roman" w:hAnsi="Times New Roman" w:cs="Times New Roman"/>
          <w:b/>
          <w:sz w:val="26"/>
          <w:szCs w:val="26"/>
        </w:rPr>
      </w:pPr>
      <w:r w:rsidRPr="00135B54">
        <w:rPr>
          <w:rFonts w:ascii="Times New Roman" w:hAnsi="Times New Roman" w:cs="Times New Roman"/>
          <w:b/>
          <w:sz w:val="26"/>
          <w:szCs w:val="26"/>
        </w:rPr>
        <w:t>Дата вступления в силу - 24.05.2022</w:t>
      </w:r>
    </w:p>
    <w:p w:rsidR="006206E1" w:rsidRDefault="006206E1" w:rsidP="00F16707">
      <w:pPr>
        <w:spacing w:after="0" w:line="240" w:lineRule="auto"/>
        <w:ind w:firstLine="709"/>
        <w:jc w:val="both"/>
        <w:rPr>
          <w:rFonts w:ascii="Times New Roman" w:hAnsi="Times New Roman" w:cs="Times New Roman"/>
          <w:sz w:val="26"/>
          <w:szCs w:val="26"/>
        </w:rPr>
      </w:pPr>
    </w:p>
    <w:p w:rsidR="00135B54" w:rsidRPr="00F16707" w:rsidRDefault="00135B54" w:rsidP="00F16707">
      <w:pPr>
        <w:spacing w:after="0" w:line="240" w:lineRule="auto"/>
        <w:ind w:firstLine="709"/>
        <w:jc w:val="both"/>
        <w:rPr>
          <w:rFonts w:ascii="Times New Roman" w:hAnsi="Times New Roman" w:cs="Times New Roman"/>
          <w:sz w:val="26"/>
          <w:szCs w:val="26"/>
        </w:rPr>
      </w:pPr>
      <w:bookmarkStart w:id="0" w:name="_GoBack"/>
      <w:bookmarkEnd w:id="0"/>
    </w:p>
    <w:sectPr w:rsidR="00135B54" w:rsidRPr="00F1670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1F67"/>
    <w:rsid w:val="00135B54"/>
    <w:rsid w:val="00210B99"/>
    <w:rsid w:val="004C1F67"/>
    <w:rsid w:val="006206E1"/>
    <w:rsid w:val="00F16707"/>
    <w:rsid w:val="00F612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8249D0"/>
  <w15:chartTrackingRefBased/>
  <w15:docId w15:val="{10F14398-A4C2-46E1-BA02-A4F34F989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1670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060552">
      <w:bodyDiv w:val="1"/>
      <w:marLeft w:val="0"/>
      <w:marRight w:val="0"/>
      <w:marTop w:val="0"/>
      <w:marBottom w:val="0"/>
      <w:divBdr>
        <w:top w:val="none" w:sz="0" w:space="0" w:color="auto"/>
        <w:left w:val="none" w:sz="0" w:space="0" w:color="auto"/>
        <w:bottom w:val="none" w:sz="0" w:space="0" w:color="auto"/>
        <w:right w:val="none" w:sz="0" w:space="0" w:color="auto"/>
      </w:divBdr>
    </w:div>
    <w:div w:id="489559599">
      <w:bodyDiv w:val="1"/>
      <w:marLeft w:val="0"/>
      <w:marRight w:val="0"/>
      <w:marTop w:val="0"/>
      <w:marBottom w:val="0"/>
      <w:divBdr>
        <w:top w:val="none" w:sz="0" w:space="0" w:color="auto"/>
        <w:left w:val="none" w:sz="0" w:space="0" w:color="auto"/>
        <w:bottom w:val="none" w:sz="0" w:space="0" w:color="auto"/>
        <w:right w:val="none" w:sz="0" w:space="0" w:color="auto"/>
      </w:divBdr>
    </w:div>
    <w:div w:id="847983588">
      <w:bodyDiv w:val="1"/>
      <w:marLeft w:val="0"/>
      <w:marRight w:val="0"/>
      <w:marTop w:val="0"/>
      <w:marBottom w:val="0"/>
      <w:divBdr>
        <w:top w:val="none" w:sz="0" w:space="0" w:color="auto"/>
        <w:left w:val="none" w:sz="0" w:space="0" w:color="auto"/>
        <w:bottom w:val="none" w:sz="0" w:space="0" w:color="auto"/>
        <w:right w:val="none" w:sz="0" w:space="0" w:color="auto"/>
      </w:divBdr>
    </w:div>
    <w:div w:id="986472834">
      <w:bodyDiv w:val="1"/>
      <w:marLeft w:val="0"/>
      <w:marRight w:val="0"/>
      <w:marTop w:val="0"/>
      <w:marBottom w:val="0"/>
      <w:divBdr>
        <w:top w:val="none" w:sz="0" w:space="0" w:color="auto"/>
        <w:left w:val="none" w:sz="0" w:space="0" w:color="auto"/>
        <w:bottom w:val="none" w:sz="0" w:space="0" w:color="auto"/>
        <w:right w:val="none" w:sz="0" w:space="0" w:color="auto"/>
      </w:divBdr>
    </w:div>
    <w:div w:id="1539313779">
      <w:bodyDiv w:val="1"/>
      <w:marLeft w:val="0"/>
      <w:marRight w:val="0"/>
      <w:marTop w:val="0"/>
      <w:marBottom w:val="0"/>
      <w:divBdr>
        <w:top w:val="none" w:sz="0" w:space="0" w:color="auto"/>
        <w:left w:val="none" w:sz="0" w:space="0" w:color="auto"/>
        <w:bottom w:val="none" w:sz="0" w:space="0" w:color="auto"/>
        <w:right w:val="none" w:sz="0" w:space="0" w:color="auto"/>
      </w:divBdr>
    </w:div>
    <w:div w:id="1666786192">
      <w:bodyDiv w:val="1"/>
      <w:marLeft w:val="0"/>
      <w:marRight w:val="0"/>
      <w:marTop w:val="0"/>
      <w:marBottom w:val="0"/>
      <w:divBdr>
        <w:top w:val="none" w:sz="0" w:space="0" w:color="auto"/>
        <w:left w:val="none" w:sz="0" w:space="0" w:color="auto"/>
        <w:bottom w:val="none" w:sz="0" w:space="0" w:color="auto"/>
        <w:right w:val="none" w:sz="0" w:space="0" w:color="auto"/>
      </w:divBdr>
    </w:div>
    <w:div w:id="1899436937">
      <w:bodyDiv w:val="1"/>
      <w:marLeft w:val="0"/>
      <w:marRight w:val="0"/>
      <w:marTop w:val="0"/>
      <w:marBottom w:val="0"/>
      <w:divBdr>
        <w:top w:val="none" w:sz="0" w:space="0" w:color="auto"/>
        <w:left w:val="none" w:sz="0" w:space="0" w:color="auto"/>
        <w:bottom w:val="none" w:sz="0" w:space="0" w:color="auto"/>
        <w:right w:val="none" w:sz="0" w:space="0" w:color="auto"/>
      </w:divBdr>
    </w:div>
    <w:div w:id="1964573886">
      <w:bodyDiv w:val="1"/>
      <w:marLeft w:val="0"/>
      <w:marRight w:val="0"/>
      <w:marTop w:val="0"/>
      <w:marBottom w:val="0"/>
      <w:divBdr>
        <w:top w:val="none" w:sz="0" w:space="0" w:color="auto"/>
        <w:left w:val="none" w:sz="0" w:space="0" w:color="auto"/>
        <w:bottom w:val="none" w:sz="0" w:space="0" w:color="auto"/>
        <w:right w:val="none" w:sz="0" w:space="0" w:color="auto"/>
      </w:divBdr>
    </w:div>
    <w:div w:id="1966816181">
      <w:bodyDiv w:val="1"/>
      <w:marLeft w:val="0"/>
      <w:marRight w:val="0"/>
      <w:marTop w:val="0"/>
      <w:marBottom w:val="0"/>
      <w:divBdr>
        <w:top w:val="none" w:sz="0" w:space="0" w:color="auto"/>
        <w:left w:val="none" w:sz="0" w:space="0" w:color="auto"/>
        <w:bottom w:val="none" w:sz="0" w:space="0" w:color="auto"/>
        <w:right w:val="none" w:sz="0" w:space="0" w:color="auto"/>
      </w:divBdr>
    </w:div>
    <w:div w:id="2101632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kodeks://link/d?nd=350264200&amp;prevdoc=747400021"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kodeks://link/d?nd=901714421&amp;prevdoc=747400021&amp;point=mark=00000000000000000000000000000000000000000000000000A960NQ"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kodeks://link/d?nd=902030093&amp;prevdoc=747400021&amp;point=mark=0000000000000000000000000000000000000000000000000064U0IK" TargetMode="External"/><Relationship Id="rId11" Type="http://schemas.openxmlformats.org/officeDocument/2006/relationships/hyperlink" Target="kodeks://link/d?nd=350424107&amp;prevdoc=747400021&amp;point=mark=0000000000000000000000000000000000000000000000000064U0IK" TargetMode="External"/><Relationship Id="rId5" Type="http://schemas.openxmlformats.org/officeDocument/2006/relationships/hyperlink" Target="kodeks://link/d?nd=728254972&amp;prevdoc=747400021&amp;point=mark=000000000000000000000000000000000000000000000000006560IO" TargetMode="External"/><Relationship Id="rId10" Type="http://schemas.openxmlformats.org/officeDocument/2006/relationships/hyperlink" Target="kodeks://link/d?nd=902227764&amp;prevdoc=747400021&amp;point=mark=00000000000000000000000000000000000000000000000000A7A0N9" TargetMode="External"/><Relationship Id="rId4" Type="http://schemas.openxmlformats.org/officeDocument/2006/relationships/hyperlink" Target="kodeks://link/d?nd=728254972&amp;prevdoc=747400021" TargetMode="External"/><Relationship Id="rId9" Type="http://schemas.openxmlformats.org/officeDocument/2006/relationships/hyperlink" Target="kodeks://link/d?nd=350264200&amp;prevdoc=747400021&amp;point=mark=000000000000000000000000000000000000000000000000006560I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157</TotalTime>
  <Pages>7</Pages>
  <Words>2660</Words>
  <Characters>15168</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Шипкова Екатерина Иванова</dc:creator>
  <cp:keywords/>
  <dc:description/>
  <cp:lastModifiedBy>Шипкова Екатерина Иванова</cp:lastModifiedBy>
  <cp:revision>2</cp:revision>
  <dcterms:created xsi:type="dcterms:W3CDTF">2022-05-30T06:26:00Z</dcterms:created>
  <dcterms:modified xsi:type="dcterms:W3CDTF">2022-05-30T09:03:00Z</dcterms:modified>
</cp:coreProperties>
</file>