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DD" w:rsidRDefault="00E6140C">
      <w:pPr>
        <w:pStyle w:val="1"/>
        <w:spacing w:after="340" w:line="290" w:lineRule="auto"/>
        <w:ind w:firstLine="0"/>
        <w:jc w:val="center"/>
      </w:pPr>
      <w:r>
        <w:rPr>
          <w:b/>
          <w:bCs/>
        </w:rPr>
        <w:t>О результатах работы Межведомственной комиссии</w:t>
      </w:r>
      <w:r>
        <w:rPr>
          <w:b/>
          <w:bCs/>
        </w:rPr>
        <w:br/>
        <w:t>муниципального образования Нефтеюганский район по противодействию</w:t>
      </w:r>
      <w:r>
        <w:rPr>
          <w:b/>
          <w:bCs/>
        </w:rPr>
        <w:br/>
        <w:t>экстремистской деятельности в 2022 году</w:t>
      </w:r>
    </w:p>
    <w:p w:rsidR="008D6CDD" w:rsidRDefault="00E6140C">
      <w:pPr>
        <w:pStyle w:val="1"/>
        <w:ind w:firstLine="700"/>
        <w:jc w:val="both"/>
      </w:pPr>
      <w:r>
        <w:t xml:space="preserve">Деятельность Межведомственной комиссии муниципального образования Нефтеюганский район по </w:t>
      </w:r>
      <w:r>
        <w:t>противодействию экстремистской деятельности (далее - Комиссия) осуществлялась в соответствии с планом заседаний, сформированным на основании предложений членов Комиссии и утвержденным 16 декабря 2021 года.</w:t>
      </w:r>
    </w:p>
    <w:p w:rsidR="008D6CDD" w:rsidRDefault="00E6140C">
      <w:pPr>
        <w:pStyle w:val="1"/>
        <w:ind w:firstLine="700"/>
        <w:jc w:val="both"/>
      </w:pPr>
      <w:r>
        <w:t>В 2021 году состоялось 4 заседания Комиссии. Всего</w:t>
      </w:r>
      <w:r>
        <w:t xml:space="preserve"> рассмотрено 27 плановых вопросов (в 2021 г. - 27), дано 37 поручений (в 2021г - 34). Из них 26 поручений структурным подразделениям администрации района, 6 рекомендаций главе городского поселения </w:t>
      </w:r>
      <w:proofErr w:type="spellStart"/>
      <w:r>
        <w:t>Пойковский</w:t>
      </w:r>
      <w:proofErr w:type="spellEnd"/>
      <w:r>
        <w:t xml:space="preserve">, 3 рекомендации ОМВД России по </w:t>
      </w:r>
      <w:proofErr w:type="spellStart"/>
      <w:r>
        <w:t>Нефтеюганскому</w:t>
      </w:r>
      <w:proofErr w:type="spellEnd"/>
      <w:r>
        <w:t xml:space="preserve"> ра</w:t>
      </w:r>
      <w:r>
        <w:t>йону, 1 рекомендация национальным объединениям и религиозным организациям.</w:t>
      </w:r>
    </w:p>
    <w:p w:rsidR="008D6CDD" w:rsidRDefault="00E6140C">
      <w:pPr>
        <w:pStyle w:val="1"/>
        <w:ind w:firstLine="700"/>
        <w:jc w:val="both"/>
      </w:pPr>
      <w:r>
        <w:t>Все поручения и рекомендации выполнены в срок, за исключением тех, срок которых не истек. Решения, принимаемые членами Комиссии, носили предметный и точечный характер, были направле</w:t>
      </w:r>
      <w:r>
        <w:t>ны на реализацию конкретных мероприятий, с определением четких сроков исполнения, обеспечивался контроль за их исполнением. Протокольные поручения Межведомственной комиссии Ханты-Мансийского автономного округа - Югры по противодействию экстремистской деяте</w:t>
      </w:r>
      <w:r>
        <w:t>льности (17 поручений со сроком исполнения в 2022 году) исполнены своевременно, и в полном объеме.</w:t>
      </w:r>
    </w:p>
    <w:p w:rsidR="008D6CDD" w:rsidRDefault="00E6140C">
      <w:pPr>
        <w:pStyle w:val="1"/>
        <w:ind w:firstLine="700"/>
        <w:jc w:val="both"/>
      </w:pPr>
      <w:r>
        <w:t>Регулярно в работе Комиссии принимали участие руководители религиозных организаций.</w:t>
      </w:r>
    </w:p>
    <w:p w:rsidR="008D6CDD" w:rsidRDefault="00E6140C">
      <w:pPr>
        <w:pStyle w:val="1"/>
        <w:ind w:firstLine="700"/>
        <w:jc w:val="both"/>
      </w:pPr>
      <w:r>
        <w:t>В соответствии с поручениями и рекомендациями Комиссии в 2022 году субъек</w:t>
      </w:r>
      <w:r>
        <w:t>тами профилактики проделана следующая работа:</w:t>
      </w:r>
    </w:p>
    <w:p w:rsidR="008D6CDD" w:rsidRDefault="00E6140C">
      <w:pPr>
        <w:pStyle w:val="1"/>
        <w:ind w:firstLine="1360"/>
        <w:jc w:val="both"/>
      </w:pPr>
      <w:r>
        <w:t xml:space="preserve">осуществляется мониторинг состояния межнациональных, межконфессиональных отношений и раннего предупреждения конфликтных ситуаций в Нефтеюганском районе. В реализации Системы мониторинга в 2022 году участвовали </w:t>
      </w:r>
      <w:r>
        <w:t xml:space="preserve">десять структурных подразделений администрации района, администрация городского поселения </w:t>
      </w:r>
      <w:proofErr w:type="spellStart"/>
      <w:r>
        <w:t>Пойковский</w:t>
      </w:r>
      <w:proofErr w:type="spellEnd"/>
      <w:r>
        <w:t xml:space="preserve">, правоохранительные органы, Центр социальных выплат, </w:t>
      </w:r>
      <w:proofErr w:type="spellStart"/>
      <w:r>
        <w:t>Нефтеюганская</w:t>
      </w:r>
      <w:proofErr w:type="spellEnd"/>
      <w:r>
        <w:t xml:space="preserve"> районная больница. Исполнителями на регулярной основе </w:t>
      </w:r>
      <w:proofErr w:type="spellStart"/>
      <w:r>
        <w:t>анализирировались</w:t>
      </w:r>
      <w:proofErr w:type="spellEnd"/>
      <w:r>
        <w:t xml:space="preserve"> процессы, влияющ</w:t>
      </w:r>
      <w:r>
        <w:t xml:space="preserve">ие на ситуацию в сфере противодействия экстремизму, это и состояние социально-экономической ситуации, и деятельность религиозных и национальных организаций, миграционные процессы, состояние преступности с участием иностранных граждан, выявление материалов </w:t>
      </w:r>
      <w:r>
        <w:t xml:space="preserve">с признаками экстремизма в сети «Интернет» и многое другое. Ежеквартально полученная информация обобщалась управлением по связям с общественностью и направлялась главе Нефтеюганского района. В 2022 году, как и за весь период действия мониторинга, причин и </w:t>
      </w:r>
      <w:r>
        <w:t xml:space="preserve">факторов, способствующих проявлению межнациональных, </w:t>
      </w:r>
      <w:proofErr w:type="spellStart"/>
      <w:r>
        <w:t>этноконфессиональных</w:t>
      </w:r>
      <w:proofErr w:type="spellEnd"/>
      <w:r>
        <w:t xml:space="preserve"> конфликтов, не выявлено.</w:t>
      </w:r>
    </w:p>
    <w:p w:rsidR="008D6CDD" w:rsidRDefault="00E6140C">
      <w:pPr>
        <w:pStyle w:val="1"/>
        <w:ind w:firstLine="700"/>
        <w:jc w:val="both"/>
      </w:pPr>
      <w:r>
        <w:t>- осуществлялся мониторинг сети Интернет на предмет выявления экстремистских материалов, а также материалов, направленных на разжигание межнациональной ненав</w:t>
      </w:r>
      <w:r>
        <w:t xml:space="preserve">исти, вражды. Вся информация о выявленных материалах (с указанием ссылок) направлена в ОМВД по </w:t>
      </w:r>
      <w:proofErr w:type="spellStart"/>
      <w:r>
        <w:t>Нефтеюганскому</w:t>
      </w:r>
      <w:proofErr w:type="spellEnd"/>
      <w:r>
        <w:t xml:space="preserve"> району, в Межрайонную прокуратуру. В 2022 году управлением по связям с общественностью и специалистами городского поселения </w:t>
      </w:r>
      <w:proofErr w:type="spellStart"/>
      <w:r>
        <w:t>Пойковский</w:t>
      </w:r>
      <w:proofErr w:type="spellEnd"/>
      <w:r>
        <w:t xml:space="preserve"> выявлено 15</w:t>
      </w:r>
      <w:r>
        <w:t>0 ссылок на экстремистские материалы, состоящие в Федеральном списке, а также 69 ссылок на материалы, вызывающие ненависть (вражду) по признакам национальной принадлежности. В 2022 году работа в данном направлении продолжается сотрудником управления по свя</w:t>
      </w:r>
      <w:r>
        <w:t xml:space="preserve">зям с </w:t>
      </w:r>
      <w:r>
        <w:lastRenderedPageBreak/>
        <w:t xml:space="preserve">общественностью, специалистом администрации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Пойковский</w:t>
      </w:r>
      <w:proofErr w:type="spellEnd"/>
      <w:r>
        <w:t xml:space="preserve">, членами </w:t>
      </w:r>
      <w:proofErr w:type="spellStart"/>
      <w:r>
        <w:t>кибердружины</w:t>
      </w:r>
      <w:proofErr w:type="spellEnd"/>
      <w:r>
        <w:t>; сельские поселения полномочия в сфере профилактики экстремизма с 01.01.2021 не осуществляют.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966"/>
        </w:tabs>
        <w:ind w:firstLine="780"/>
        <w:jc w:val="both"/>
      </w:pPr>
      <w:bookmarkStart w:id="0" w:name="bookmark0"/>
      <w:bookmarkEnd w:id="0"/>
      <w:r>
        <w:t>обеспечено исправное функционирование и эффективная работа контент- фильтро</w:t>
      </w:r>
      <w:r>
        <w:t xml:space="preserve">в, установленных на автоматизированных рабочих местах в Центрах общественного доступа, имеющих доступ в информационную телекоммуникационную сеть «Интернет», с целью недопущения несовершеннолетних к сайтам экстремистской направленности и иным ресурсам сети </w:t>
      </w:r>
      <w:r>
        <w:t>Интернет, несовместимым с культурно-образовательным процессом.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1066"/>
        </w:tabs>
        <w:ind w:firstLine="780"/>
        <w:jc w:val="both"/>
      </w:pPr>
      <w:bookmarkStart w:id="1" w:name="bookmark1"/>
      <w:bookmarkEnd w:id="1"/>
      <w:r>
        <w:t>в рамках Комплексного плана мероприятий по реализации в Нефтеюганском районе Стратегии государственной национальной политики Российской Федерации в 2022 году проведено более 250 мероприятий, на</w:t>
      </w:r>
      <w:r>
        <w:t>правленных на: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205"/>
        </w:tabs>
        <w:ind w:firstLine="0"/>
        <w:jc w:val="both"/>
      </w:pPr>
      <w:bookmarkStart w:id="2" w:name="bookmark2"/>
      <w:bookmarkEnd w:id="2"/>
      <w:r>
        <w:t>совершенствование системы управления и координации муниципальных органов при реализации государственной национальной политики Российской Федерации;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205"/>
        </w:tabs>
        <w:ind w:firstLine="0"/>
        <w:jc w:val="both"/>
      </w:pPr>
      <w:bookmarkStart w:id="3" w:name="bookmark3"/>
      <w:bookmarkEnd w:id="3"/>
      <w:r>
        <w:t>противодействие проявлениям ксенофобии и укрепления межнационального согласия на территории Н</w:t>
      </w:r>
      <w:r>
        <w:t>ефтеюганского района;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205"/>
        </w:tabs>
        <w:ind w:firstLine="0"/>
        <w:jc w:val="both"/>
      </w:pPr>
      <w:bookmarkStart w:id="4" w:name="bookmark4"/>
      <w:bookmarkEnd w:id="4"/>
      <w:r>
        <w:t>укрепление гражданского единства;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205"/>
        </w:tabs>
        <w:ind w:firstLine="0"/>
        <w:jc w:val="both"/>
      </w:pPr>
      <w:bookmarkStart w:id="5" w:name="bookmark5"/>
      <w:bookmarkEnd w:id="5"/>
      <w:r>
        <w:t>сохранение и пропаганду традиционной культуры, обычаев и традиций народов, проживающих на территории Нефтеюганского района;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313"/>
        </w:tabs>
        <w:ind w:firstLine="0"/>
        <w:jc w:val="both"/>
      </w:pPr>
      <w:bookmarkStart w:id="6" w:name="bookmark6"/>
      <w:bookmarkEnd w:id="6"/>
      <w:r>
        <w:t>вовлечение социально ориентированных некоммерческих организаций в деятельнос</w:t>
      </w:r>
      <w:r>
        <w:t>ть по развитию межнационального и межконфессионального диалога органами местного самоуправления Нефтеюганского района;</w:t>
      </w:r>
    </w:p>
    <w:p w:rsidR="008D6CDD" w:rsidRDefault="00E6140C">
      <w:pPr>
        <w:pStyle w:val="1"/>
        <w:ind w:firstLine="0"/>
        <w:jc w:val="both"/>
      </w:pPr>
      <w:r>
        <w:t>Комплексный план исполнен на 100%.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966"/>
        </w:tabs>
        <w:ind w:firstLine="780"/>
        <w:jc w:val="both"/>
      </w:pPr>
      <w:bookmarkStart w:id="7" w:name="bookmark7"/>
      <w:bookmarkEnd w:id="7"/>
      <w:r>
        <w:t xml:space="preserve">с отделом по вопросам миграции ОМВД России по </w:t>
      </w:r>
      <w:proofErr w:type="spellStart"/>
      <w:r>
        <w:t>Нефтеюганскому</w:t>
      </w:r>
      <w:proofErr w:type="spellEnd"/>
      <w:r>
        <w:t xml:space="preserve"> району обеспечен обмен информацией (для с</w:t>
      </w:r>
      <w:r>
        <w:t>лужебного пользования) о количестве иностранных граждан и лиц без гражданства поставленных на миграционный учет, а также продливших срок пребывания на территории РФ, об организациях, использующих труд иностранных граждан на территории Нефтеюганского района</w:t>
      </w:r>
      <w:r>
        <w:t>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966"/>
        </w:tabs>
        <w:ind w:firstLine="780"/>
        <w:jc w:val="both"/>
      </w:pPr>
      <w:bookmarkStart w:id="8" w:name="bookmark8"/>
      <w:bookmarkEnd w:id="8"/>
      <w:r>
        <w:t>в рамках муниципальной программы по профилактике экстремизма изготовлены и распространены: буклеты «Если Вы иностранный гражданин, прибывший в Россию...».</w:t>
      </w:r>
    </w:p>
    <w:p w:rsidR="008D6CDD" w:rsidRDefault="00E6140C">
      <w:pPr>
        <w:pStyle w:val="1"/>
        <w:ind w:firstLine="780"/>
        <w:jc w:val="both"/>
      </w:pPr>
      <w:r>
        <w:t xml:space="preserve">В целях оказания информационно-правовой поддержки иностранным гражданам по профилактике </w:t>
      </w:r>
      <w:r>
        <w:t>правонарушений в миграционной сфере и в сфере экстремизма в буклетах размещена информация: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986"/>
        </w:tabs>
        <w:ind w:firstLine="780"/>
        <w:jc w:val="both"/>
      </w:pPr>
      <w:bookmarkStart w:id="9" w:name="bookmark9"/>
      <w:bookmarkEnd w:id="9"/>
      <w:r>
        <w:t>о новых требованиях по проведению обязательной государственной дактилоскопической регистрации, фотографированию и медицинскому освидетельствованию для иностранных гр</w:t>
      </w:r>
      <w:r>
        <w:t>аждан, пребывающих в Нефтеюганский район;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1066"/>
        </w:tabs>
        <w:ind w:firstLine="780"/>
        <w:jc w:val="both"/>
      </w:pPr>
      <w:bookmarkStart w:id="10" w:name="bookmark10"/>
      <w:bookmarkEnd w:id="10"/>
      <w:r>
        <w:t>полезных контактах государственных учреждений, осуществляющих деятельность в сфере здравоохранения, образования, укрепления межнациональных и межконфессиональных отношений, трудовой занятости.</w:t>
      </w:r>
    </w:p>
    <w:p w:rsidR="008D6CDD" w:rsidRDefault="00E6140C">
      <w:pPr>
        <w:pStyle w:val="1"/>
        <w:ind w:firstLine="780"/>
        <w:jc w:val="both"/>
      </w:pPr>
      <w:r>
        <w:t>Буклеты переданы в ОМ</w:t>
      </w:r>
      <w:r>
        <w:t xml:space="preserve">ВД России по </w:t>
      </w:r>
      <w:proofErr w:type="spellStart"/>
      <w:r>
        <w:t>Нефтеюганскому</w:t>
      </w:r>
      <w:proofErr w:type="spellEnd"/>
      <w:r>
        <w:t xml:space="preserve"> району и в ряд организаций, осуществляющих деятельность на территории Нефтеюганского района и использующих труд иностранных для распространения.</w:t>
      </w:r>
    </w:p>
    <w:p w:rsidR="008D6CDD" w:rsidRDefault="00E6140C">
      <w:pPr>
        <w:pStyle w:val="1"/>
        <w:ind w:firstLine="620"/>
        <w:jc w:val="both"/>
      </w:pPr>
      <w:r>
        <w:t>В общеобразовательных учреждениях Нефтеюганского района реализован целый комплекс м</w:t>
      </w:r>
      <w:r>
        <w:t xml:space="preserve">ероприятий, направленных на формирование толерантного поведения, профилактику экстремизма и ксенофобии среди обучающихся и молодежи Нефтеюганского района. В 2022 году только в общеобразовательных организациях Нефтеюганского района проведены 29 мероприятий </w:t>
      </w:r>
      <w:r>
        <w:t xml:space="preserve">в формате фестивалей, конкурсов, круглых столов с количеством вовлеченных - 5536 человек. Специалисты по работе с </w:t>
      </w:r>
      <w:r>
        <w:lastRenderedPageBreak/>
        <w:t>молодежью активно участвовали в обучающих мероприятиях, курсах повышения квалификации по направлениям.</w:t>
      </w:r>
    </w:p>
    <w:p w:rsidR="008D6CDD" w:rsidRDefault="00E6140C">
      <w:pPr>
        <w:pStyle w:val="1"/>
        <w:ind w:firstLine="780"/>
        <w:jc w:val="both"/>
      </w:pPr>
      <w:r>
        <w:t xml:space="preserve">Организовано онлайн - анкетирование по </w:t>
      </w:r>
      <w:r>
        <w:t xml:space="preserve">выявлению представителей неформальных молодёжных объединений в общеобразовательных организациях Нефтеюганского района. В рамках онлайн - анкетирования опрошено 719 учащихся общеобразовательных организаций в возрасте от 14 до 18 лет, что составило 5,6 % от </w:t>
      </w:r>
      <w:r>
        <w:t xml:space="preserve">общего числа молодёжи в Нефтеюганском районе. По итогам анализа </w:t>
      </w:r>
      <w:proofErr w:type="gramStart"/>
      <w:r>
        <w:t>ответов</w:t>
      </w:r>
      <w:proofErr w:type="gramEnd"/>
      <w:r>
        <w:t xml:space="preserve"> учащихся сформулирован вывод, что молодые люди Нефтеюганского района имеют представление о современных молодежных субкультурах и их классификации. В 2022 году среди обучающихся общеобр</w:t>
      </w:r>
      <w:r>
        <w:t>азовательных организаций Нефтеюганского района, в возрасте от 14 до 18 лет, представителей молодёжных субкультур, несущих угрозу обществу, не выявлено.</w:t>
      </w:r>
    </w:p>
    <w:p w:rsidR="008D6CDD" w:rsidRDefault="00E6140C">
      <w:pPr>
        <w:pStyle w:val="1"/>
        <w:ind w:firstLine="780"/>
        <w:jc w:val="both"/>
      </w:pPr>
      <w:r>
        <w:t xml:space="preserve">В этом году реализована практика по созданию в </w:t>
      </w:r>
      <w:proofErr w:type="spellStart"/>
      <w:r>
        <w:t>Сингапайской</w:t>
      </w:r>
      <w:proofErr w:type="spellEnd"/>
      <w:r>
        <w:t xml:space="preserve"> СОШ молодежной кросс-культурной площадки, гд</w:t>
      </w:r>
      <w:r>
        <w:t>е дети и молодежь разных национальностей могут проводить совместный досуг. Для работы площадки разработана интерактивная игра «Народная», которая позволяет участникам в игровом формате познавать особенности культуры различных народов, проживающих в России,</w:t>
      </w:r>
      <w:r>
        <w:t xml:space="preserve"> Югре и Нефтеюганском районе. В рамках организации отдыха детей в лагерях с дневным пребыванием детей, в лагерях труда и отдыха проведены мероприятия, направленные на изучение культуры и традиций народов, проживающих в Югре: тематические и познавательные, </w:t>
      </w:r>
      <w:r>
        <w:t>фольклорные, игровые, развлекательные программы, выставки, мастер-классы, викторины, информационные часы;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995"/>
        </w:tabs>
        <w:ind w:firstLine="780"/>
        <w:jc w:val="both"/>
      </w:pPr>
      <w:bookmarkStart w:id="11" w:name="bookmark11"/>
      <w:bookmarkEnd w:id="11"/>
      <w:r>
        <w:t>в социальных сетях и на интернет ресурсах, в СМИ обеспечено освещение мероприятий в сфере государственной национальной политики, профилактики экстреми</w:t>
      </w:r>
      <w:r>
        <w:t>зма. За 2022 год по указанным направлениям было подготовлено и выпущено в эфир, печать всего 1078 материалов.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995"/>
        </w:tabs>
        <w:ind w:firstLine="780"/>
        <w:jc w:val="both"/>
      </w:pPr>
      <w:bookmarkStart w:id="12" w:name="bookmark12"/>
      <w:bookmarkEnd w:id="12"/>
      <w:r>
        <w:t>в муниципальной газете «Югорское обозрение» на постоянной основе функционировали постоянные рубрики «Район - территория мира» и «Многонациональный</w:t>
      </w:r>
      <w:r>
        <w:t xml:space="preserve"> Нефтеюганский район» для опубликования информационных материалов об исторических примерах дружбы и сотрудничества народов России, выдающихся деятелях разных национальностей. Аналогичная рубрика открыта на странице газеты «Югорское обозрение» в социальной </w:t>
      </w:r>
      <w:r>
        <w:t xml:space="preserve">сети </w:t>
      </w:r>
      <w:proofErr w:type="spellStart"/>
      <w:r>
        <w:t>ВКонтакте</w:t>
      </w:r>
      <w:proofErr w:type="spellEnd"/>
      <w:r>
        <w:t>;</w:t>
      </w:r>
    </w:p>
    <w:p w:rsidR="008D6CDD" w:rsidRDefault="00E6140C">
      <w:pPr>
        <w:pStyle w:val="1"/>
        <w:spacing w:after="280"/>
        <w:ind w:firstLine="780"/>
        <w:jc w:val="both"/>
      </w:pPr>
      <w:r>
        <w:t>На комиссии обсуждались результаты окружных социологических исследований. По результатам опроса 92% опрошенных жителей Нефтеюганского района положительно оценили состояние межнациональных отношений в муниципалитете (средний показатель по ав</w:t>
      </w:r>
      <w:r>
        <w:t>тономному округу 85%), 96% - положительно оценили состояние межконфессиональных отношений (средний показатель по Югре 91%).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8"/>
        <w:gridCol w:w="2012"/>
        <w:gridCol w:w="1472"/>
      </w:tblGrid>
      <w:tr w:rsidR="008D6CDD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CDD" w:rsidRDefault="00E6140C">
            <w:pPr>
              <w:pStyle w:val="a5"/>
              <w:ind w:firstLine="0"/>
            </w:pPr>
            <w:r>
              <w:t>Наименование показателя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CDD" w:rsidRDefault="00E6140C">
            <w:pPr>
              <w:pStyle w:val="a5"/>
              <w:ind w:firstLine="0"/>
            </w:pPr>
            <w:r>
              <w:t>В</w:t>
            </w:r>
          </w:p>
          <w:p w:rsidR="008D6CDD" w:rsidRDefault="00E6140C">
            <w:pPr>
              <w:pStyle w:val="a5"/>
              <w:ind w:firstLine="0"/>
            </w:pPr>
            <w:r>
              <w:t>Нефтеюганском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CDD" w:rsidRDefault="00E6140C">
            <w:pPr>
              <w:pStyle w:val="a5"/>
              <w:ind w:firstLine="0"/>
            </w:pPr>
            <w:r>
              <w:t>В Югре</w:t>
            </w:r>
          </w:p>
        </w:tc>
      </w:tr>
    </w:tbl>
    <w:p w:rsidR="008D6CDD" w:rsidRDefault="008D6C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4"/>
        <w:gridCol w:w="2016"/>
        <w:gridCol w:w="1472"/>
      </w:tblGrid>
      <w:tr w:rsidR="008D6CDD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DD" w:rsidRDefault="008D6CD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DD" w:rsidRDefault="00E6140C">
            <w:pPr>
              <w:pStyle w:val="a5"/>
              <w:ind w:firstLine="0"/>
            </w:pPr>
            <w:r>
              <w:t>районе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DD" w:rsidRDefault="008D6CDD">
            <w:pPr>
              <w:rPr>
                <w:sz w:val="10"/>
                <w:szCs w:val="10"/>
              </w:rPr>
            </w:pPr>
          </w:p>
        </w:tc>
      </w:tr>
      <w:tr w:rsidR="008D6CDD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DD" w:rsidRDefault="00E6140C">
            <w:pPr>
              <w:pStyle w:val="a5"/>
              <w:ind w:firstLine="0"/>
            </w:pPr>
            <w:r>
              <w:t xml:space="preserve">Доля граждан, положительно оценивающих состояние межнациональных </w:t>
            </w:r>
            <w:r>
              <w:t>отношений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DD" w:rsidRDefault="00E6140C">
            <w:pPr>
              <w:pStyle w:val="a5"/>
              <w:ind w:firstLine="0"/>
              <w:jc w:val="both"/>
            </w:pPr>
            <w:r>
              <w:t>92%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DD" w:rsidRDefault="00E6140C">
            <w:pPr>
              <w:pStyle w:val="a5"/>
              <w:ind w:firstLine="0"/>
            </w:pPr>
            <w:r>
              <w:t>85%</w:t>
            </w:r>
          </w:p>
        </w:tc>
      </w:tr>
      <w:tr w:rsidR="008D6CDD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DD" w:rsidRDefault="00E6140C">
            <w:pPr>
              <w:pStyle w:val="a5"/>
              <w:ind w:firstLine="0"/>
            </w:pPr>
            <w:r>
              <w:t>Доля граждан, положительно оценивающих состояние межконфессиональных отношений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DD" w:rsidRDefault="00E6140C">
            <w:pPr>
              <w:pStyle w:val="a5"/>
              <w:ind w:firstLine="0"/>
              <w:jc w:val="both"/>
            </w:pPr>
            <w:r>
              <w:t>96%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DD" w:rsidRDefault="00E6140C">
            <w:pPr>
              <w:pStyle w:val="a5"/>
              <w:ind w:firstLine="0"/>
            </w:pPr>
            <w:r>
              <w:t>93%</w:t>
            </w:r>
          </w:p>
        </w:tc>
      </w:tr>
      <w:tr w:rsidR="008D6CDD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CDD" w:rsidRDefault="00E6140C">
            <w:pPr>
              <w:pStyle w:val="a5"/>
              <w:spacing w:line="230" w:lineRule="auto"/>
              <w:ind w:firstLine="0"/>
            </w:pPr>
            <w:r>
              <w:t>Уровень толерантного отношения к представителям другой национальности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CDD" w:rsidRDefault="00E6140C">
            <w:pPr>
              <w:pStyle w:val="a5"/>
              <w:ind w:firstLine="0"/>
              <w:jc w:val="both"/>
            </w:pPr>
            <w:r>
              <w:t>94%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CDD" w:rsidRDefault="00E6140C">
            <w:pPr>
              <w:pStyle w:val="a5"/>
              <w:ind w:firstLine="0"/>
            </w:pPr>
            <w:r>
              <w:t>91%</w:t>
            </w:r>
          </w:p>
        </w:tc>
      </w:tr>
    </w:tbl>
    <w:p w:rsidR="008D6CDD" w:rsidRDefault="008D6CDD">
      <w:pPr>
        <w:spacing w:after="279" w:line="1" w:lineRule="exact"/>
      </w:pPr>
    </w:p>
    <w:p w:rsidR="008D6CDD" w:rsidRDefault="00E6140C">
      <w:pPr>
        <w:pStyle w:val="1"/>
        <w:ind w:firstLine="800"/>
        <w:jc w:val="both"/>
      </w:pPr>
      <w:r>
        <w:lastRenderedPageBreak/>
        <w:t xml:space="preserve">В связи с этим Комплексный план мероприятий по реализации в </w:t>
      </w:r>
      <w:r>
        <w:t>Нефтеюганском районе Стратегии государственной национальной политики Российской Федерации на 2023 год дополнен рядом новых рекомендованных проектов: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1103"/>
        </w:tabs>
        <w:ind w:firstLine="860"/>
      </w:pPr>
      <w:bookmarkStart w:id="13" w:name="bookmark13"/>
      <w:bookmarkEnd w:id="13"/>
      <w:r>
        <w:t>«</w:t>
      </w:r>
      <w:proofErr w:type="spellStart"/>
      <w:r>
        <w:t>Этноволонтеры</w:t>
      </w:r>
      <w:proofErr w:type="spellEnd"/>
      <w:r>
        <w:t>»;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1043"/>
        </w:tabs>
        <w:ind w:firstLine="800"/>
      </w:pPr>
      <w:bookmarkStart w:id="14" w:name="bookmark14"/>
      <w:bookmarkEnd w:id="14"/>
      <w:r>
        <w:t>Акселерация НКО;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953"/>
        </w:tabs>
        <w:ind w:firstLine="800"/>
        <w:jc w:val="both"/>
      </w:pPr>
      <w:bookmarkStart w:id="15" w:name="bookmark15"/>
      <w:bookmarkEnd w:id="15"/>
      <w:r>
        <w:t>Положительная информационная повестка с акцентом на социальный эффект;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1040"/>
        </w:tabs>
        <w:ind w:firstLine="800"/>
        <w:jc w:val="both"/>
      </w:pPr>
      <w:bookmarkStart w:id="16" w:name="bookmark16"/>
      <w:bookmarkEnd w:id="16"/>
      <w:r>
        <w:t>Мо</w:t>
      </w:r>
      <w:r>
        <w:t>лодежные кросс-культурные досуговые площадки;</w:t>
      </w:r>
    </w:p>
    <w:p w:rsidR="008D6CDD" w:rsidRDefault="00E6140C">
      <w:pPr>
        <w:pStyle w:val="1"/>
        <w:numPr>
          <w:ilvl w:val="0"/>
          <w:numId w:val="1"/>
        </w:numPr>
        <w:tabs>
          <w:tab w:val="left" w:pos="946"/>
        </w:tabs>
        <w:ind w:firstLine="800"/>
        <w:jc w:val="both"/>
      </w:pPr>
      <w:bookmarkStart w:id="17" w:name="bookmark17"/>
      <w:bookmarkEnd w:id="17"/>
      <w:r>
        <w:t xml:space="preserve">Продвижение </w:t>
      </w:r>
      <w:proofErr w:type="spellStart"/>
      <w:r>
        <w:t>ЛОМов</w:t>
      </w:r>
      <w:proofErr w:type="spellEnd"/>
      <w:r>
        <w:t xml:space="preserve"> из числа спортсменов, пользующихся авторитетом среди молодежи;</w:t>
      </w:r>
    </w:p>
    <w:p w:rsidR="008D6CDD" w:rsidRDefault="00E6140C">
      <w:pPr>
        <w:pStyle w:val="1"/>
        <w:ind w:firstLine="1320"/>
        <w:jc w:val="both"/>
      </w:pPr>
      <w:r>
        <w:t xml:space="preserve">Повышение квалификации сотрудников органов местного самоуправления, ответственных за реализацию мероприятий по социальной и </w:t>
      </w:r>
      <w:r>
        <w:t>культурной адаптации иностранных граждан.</w:t>
      </w:r>
    </w:p>
    <w:p w:rsidR="008D6CDD" w:rsidRDefault="00E6140C">
      <w:pPr>
        <w:pStyle w:val="1"/>
        <w:ind w:firstLine="800"/>
        <w:jc w:val="both"/>
      </w:pPr>
      <w:r>
        <w:t>Информация о результатах работы Комиссии своевременно размещалась на официальном сайте органов местного самоуправления Нефтеюганского района - страница «Межведомственная комиссия по противодействию экстремистской д</w:t>
      </w:r>
      <w:r>
        <w:t>еятельности», поддерживается в актуальном состоянии.</w:t>
      </w:r>
    </w:p>
    <w:p w:rsidR="008D6CDD" w:rsidRDefault="00E6140C">
      <w:pPr>
        <w:pStyle w:val="1"/>
        <w:ind w:firstLine="800"/>
        <w:jc w:val="both"/>
      </w:pPr>
      <w:r>
        <w:t>План заседаний Комиссии на 2022 год исполнен в полном объёме.</w:t>
      </w:r>
    </w:p>
    <w:p w:rsidR="008D6CDD" w:rsidRDefault="00E6140C">
      <w:pPr>
        <w:pStyle w:val="1"/>
        <w:spacing w:after="880"/>
        <w:ind w:firstLine="800"/>
        <w:jc w:val="both"/>
      </w:pPr>
      <w:r>
        <w:t>На заседании Комиссии 16 декабря 2022 года утверждён План работы на 2023 год.</w:t>
      </w:r>
    </w:p>
    <w:p w:rsidR="008D6CDD" w:rsidRDefault="008D6CDD">
      <w:pPr>
        <w:pStyle w:val="1"/>
        <w:spacing w:after="140"/>
        <w:ind w:firstLine="800"/>
        <w:jc w:val="both"/>
      </w:pPr>
      <w:bookmarkStart w:id="18" w:name="_GoBack"/>
      <w:bookmarkEnd w:id="18"/>
    </w:p>
    <w:sectPr w:rsidR="008D6CDD">
      <w:headerReference w:type="default" r:id="rId7"/>
      <w:headerReference w:type="first" r:id="rId8"/>
      <w:pgSz w:w="11900" w:h="16840"/>
      <w:pgMar w:top="1024" w:right="789" w:bottom="858" w:left="139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0C" w:rsidRDefault="00E6140C">
      <w:r>
        <w:separator/>
      </w:r>
    </w:p>
  </w:endnote>
  <w:endnote w:type="continuationSeparator" w:id="0">
    <w:p w:rsidR="00E6140C" w:rsidRDefault="00E6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0C" w:rsidRDefault="00E6140C"/>
  </w:footnote>
  <w:footnote w:type="continuationSeparator" w:id="0">
    <w:p w:rsidR="00E6140C" w:rsidRDefault="00E614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DD" w:rsidRDefault="00E6140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479425</wp:posOffset>
              </wp:positionV>
              <wp:extent cx="64135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CDD" w:rsidRDefault="00E6140C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406B" w:rsidRPr="00D9406B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2.3pt;margin-top:37.75pt;width:5.0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C/lAEAACADAAAOAAAAZHJzL2Uyb0RvYy54bWysUsFOwzAMvSPxD1HurC0D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" filled="f" stroked="f">
              <v:textbox style="mso-fit-shape-to-text:t" inset="0,0,0,0">
                <w:txbxContent>
                  <w:p w:rsidR="008D6CDD" w:rsidRDefault="00E6140C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406B" w:rsidRPr="00D9406B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DD" w:rsidRDefault="008D6CD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D57BB"/>
    <w:multiLevelType w:val="multilevel"/>
    <w:tmpl w:val="D69A5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DD"/>
    <w:rsid w:val="008D6CDD"/>
    <w:rsid w:val="00D9406B"/>
    <w:rsid w:val="00E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01E1-C9B4-4CBD-B0DF-A98D3C7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Колпащикова Екатерина Александровна</cp:lastModifiedBy>
  <cp:revision>2</cp:revision>
  <dcterms:created xsi:type="dcterms:W3CDTF">2023-05-16T07:29:00Z</dcterms:created>
  <dcterms:modified xsi:type="dcterms:W3CDTF">2023-05-16T07:30:00Z</dcterms:modified>
</cp:coreProperties>
</file>