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2"/>
        <w:ind w:firstLine="709"/>
        <w:jc w:val="right"/>
        <w:rPr>
          <w:rFonts w:ascii="Times New Roman" w:hAnsi="Times New Roman" w:cs="Times New Roman"/>
          <w:szCs w:val="26"/>
        </w:rPr>
        <w:outlineLvl w:val="0"/>
      </w:pPr>
      <w:r>
        <w:rPr>
          <w:rFonts w:ascii="Times New Roman" w:hAnsi="Times New Roman" w:eastAsia="Times New Roman" w:cs="Times New Roman"/>
          <w:szCs w:val="26"/>
        </w:rPr>
        <w:t xml:space="preserve">Приложение</w:t>
      </w:r>
      <w:r>
        <w:rPr>
          <w:rFonts w:ascii="Times New Roman" w:hAnsi="Times New Roman" w:cs="Times New Roman"/>
          <w:szCs w:val="26"/>
        </w:rPr>
      </w:r>
      <w:r/>
    </w:p>
    <w:p>
      <w:pPr>
        <w:pStyle w:val="842"/>
        <w:ind w:firstLine="709"/>
        <w:jc w:val="righ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Cs w:val="26"/>
        </w:rPr>
        <w:t xml:space="preserve">к приказу Департамента финансов</w:t>
      </w:r>
      <w:r>
        <w:rPr>
          <w:rFonts w:ascii="Times New Roman" w:hAnsi="Times New Roman" w:cs="Times New Roman"/>
          <w:szCs w:val="26"/>
        </w:rPr>
      </w:r>
      <w:r/>
    </w:p>
    <w:p>
      <w:pPr>
        <w:pStyle w:val="842"/>
        <w:ind w:firstLine="709"/>
        <w:jc w:val="righ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Cs w:val="26"/>
        </w:rPr>
        <w:t xml:space="preserve">Нефтеюганского района</w:t>
      </w:r>
      <w:r>
        <w:rPr>
          <w:rFonts w:ascii="Times New Roman" w:hAnsi="Times New Roman" w:cs="Times New Roman"/>
          <w:szCs w:val="26"/>
        </w:rPr>
      </w:r>
      <w:r/>
    </w:p>
    <w:p>
      <w:pPr>
        <w:pStyle w:val="842"/>
        <w:ind w:firstLine="709"/>
        <w:jc w:val="righ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Cs w:val="26"/>
        </w:rPr>
        <w:t xml:space="preserve">от 18.04.2025 № 17-п                                   </w:t>
      </w:r>
      <w:r>
        <w:rPr>
          <w:rFonts w:ascii="Times New Roman" w:hAnsi="Times New Roman" w:cs="Times New Roman"/>
          <w:szCs w:val="26"/>
        </w:rPr>
      </w:r>
      <w:r/>
    </w:p>
    <w:p>
      <w:pPr>
        <w:pStyle w:val="842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4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/>
      <w:bookmarkStart w:id="0" w:name="undefined"/>
      <w:r/>
      <w:bookmarkEnd w:id="0"/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4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ПОРЯДОК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4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САНКЦИОНИРОВАНИЯ ОПЛАТЫ ДЕНЕЖНЫХ ОБЯЗАТЕЛЬСТВ ПОЛУЧАТЕЛЕЙ СРЕДСТВ БЮДЖЕТА НЕФТЕЮГАНСКОГО РАЙОНА </w:t>
      </w:r>
      <w:r>
        <w:rPr>
          <w:rFonts w:ascii="Times New Roman" w:hAnsi="Times New Roman" w:eastAsia="Times New Roman" w:cs="Times New Roman"/>
          <w:bCs/>
          <w:sz w:val="26"/>
          <w:szCs w:val="26"/>
        </w:rPr>
        <w:t xml:space="preserve">И ГЛАВНЫХ АДМИНИСТРАТОРОВ ИСТОЧНИКОВ ФИНАНСИРОВАНИЯ ДЕФИЦИТА БЮДЖЕТА НЕФТЕЮГАНСКОГО РАЙОНА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pStyle w:val="842"/>
        <w:spacing w:after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pStyle w:val="8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pStyle w:val="842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1. Настоя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щий Порядок разработан в соответствии со статьями 219 и 219.2 Бюджетного кодекса Российской Федерации и устанавливает порядок санкционирования Департаментом финансов Нефтеюганского района (далее - Департамент финансов) оплаты за счет средств бюджета Нефтею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ганского района денежных обязательств получателей средств бюджета Нефтеюганского района и главных администраторов источников финансирования дефицита бюджета Нефтеюганского района, лицевые счета которым открыты в Департаменте финансов Нефтеюганского района.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2. Для оплаты денежных обязательств получ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атель средств бюджета Нефтеюганского района (главный администратор источников финансирования дефицита бюджета Нефтеюганского района) представляет в Департамент финансов Нефтеюганского района следующие расчетные документы на осуществление кассового расхода: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платежное поручение (код по ОКУД 0401060) (далее - платежное поручение).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3. При наличии электронного документооборота между получателем средств бюджета Нефтеюганского района (главн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ым администратором источников финансирования дефицита бюджета Нефтеюганского района) и Департаментом финансов Нефтеюганского района заявка на платежное поручение представляется в электронном виде с применением электронной подписи (далее - электронный вид).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При отсутствии электронного документооборота с применением электронной подписи платежное поручение представляется на бумажном носителе с одновременным представлением на машинном носителе (далее - бумажный носитель).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Платежное поручение подписывается руководителем и главным бухгалтером (иными уполномоченными руко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водителем лицами) получателя средств бюджета Нефтеюганского района (главного администратора источников финансирования дефицита бюджета Нефтеюганского района). Платежное поручение, представленное на бумажном носителе, должно иметь оттиск печати организации.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/>
      <w:bookmarkStart w:id="1" w:name="P57"/>
      <w:r/>
      <w:bookmarkEnd w:id="1"/>
      <w:r>
        <w:rPr>
          <w:rFonts w:ascii="Times New Roman" w:hAnsi="Times New Roman" w:eastAsia="Times New Roman" w:cs="Times New Roman"/>
          <w:sz w:val="26"/>
          <w:szCs w:val="26"/>
        </w:rPr>
        <w:t xml:space="preserve">4. Департамент финансов Нефтеюганского района не позднее рабочего дня, следующего за днем представления получателем средств бюджета Нефтеюганского района (главным администратором источников финансирования дефицита бюджета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Нефтеюганского района) платежного поручения в Департамент финансов Нефтеюганского района, проверяет их на соответствие устано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вленной форме, наличие в них реквизитов и показателей, предусмотренных пунктом 5 настоящего Порядка, на соответствие требованиям, установленным пунктами 7, 9 и 10 настоящего Порядка, а также наличие документов, предусмотренных пунктом 8 настоящего Порядка.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/>
      <w:bookmarkStart w:id="2" w:name="P58"/>
      <w:r/>
      <w:bookmarkEnd w:id="2"/>
      <w:r>
        <w:rPr>
          <w:rFonts w:ascii="Times New Roman" w:hAnsi="Times New Roman" w:eastAsia="Times New Roman" w:cs="Times New Roman"/>
          <w:sz w:val="26"/>
          <w:szCs w:val="26"/>
        </w:rPr>
        <w:t xml:space="preserve">5. Платежное поручение проверяется на наличие в них следующих реквизитов и показателей: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1) кодов классификации расходов бюджета Нефтеюганского района (классификации источников финансирования дефицитов бюджета Нефтеюганского района), по которым необходимо произвести кассовый расход (кассовую выплату), а также текстового назначения платежа;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2) суммы кассового расхода (кассовой выплаты) в валюте Российской Федерации, в рублевом эквиваленте, исчисленном на дату оформления платежного поручения;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3) наименования, банковских реквизитов, идентификационного номера налогоплательщика (ИНН) и кода причины постановки на учет (КПП) получателя денежных средств по платежному поручению;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4) номера учтенного в Департаменте финансов Нефтеюганского района бюджетного обязательства и номера денежного обязательства получателя средств бюджета Нефтеюганского района (при наличии);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5) данных для осуществления налоговых и иных обязательных платежей в бюджеты бюджетной системы Российской Федерации (при необходимости);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/>
      <w:bookmarkStart w:id="3" w:name="P65"/>
      <w:r/>
      <w:bookmarkEnd w:id="3"/>
      <w:r>
        <w:rPr>
          <w:rFonts w:ascii="Times New Roman" w:hAnsi="Times New Roman" w:eastAsia="Times New Roman" w:cs="Times New Roman"/>
          <w:sz w:val="26"/>
          <w:szCs w:val="26"/>
        </w:rPr>
        <w:t xml:space="preserve">6) реквизитов (номер, дата) документов (предмет муниципального контракта (договора) на поставку товаров, выполнение работ, оказание услуг для муниципальных нужд (далее - муниципальный контракт (договор), соглашения) (при наличии), предусмотренных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графой 2 Перечня документов,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на основании которых возникают бюджетные обязательства получателей средств бюджета Нефтеюганского района, и документов, подтверждающих возникновение денежных обязательств получателей средств бюджета Нефтеюганского района (далее -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Перечень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) &lt;1&gt;.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--------------------------------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  <w:t xml:space="preserve">&lt;1&gt; Приложение 5 к Порядку учета бюджетных и денежных обязательств получателей средств бюджета Нефтеюганского района, утвержденному приказом Департамента финансов Нефтеюганского района от 17.04.2024 № 24-п.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7) реквизитов (тип, номер, дата) документа, подтверждающего возникновение денежного обязательства при поставке товаров (накладная, акт приемки-передачи, счет-фактура), выполнении работ, оказании ус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луг (акт о приемке выполненных работ (оказанных услуг), счет, счет-фактура), номер и дата исполнительного документа (исполнительный лист, судебный приказ), иных документов, подтверждающих возникновение соответствующих денежных обязательств, предусмотренных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графой 3 Перечня (далее - документы, подтверждающие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возникновение денежных обязательств), за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исключением реквизитов документов, подтверждающих возникновение денежных обязательств в случае осуществления авансовых платежей в соответствии с условиями муниципального контракта (договора), внесе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ния арендной платы по муниципальному контракту (договору), если условиями таких муниципальных контрактов (договоров) не предусмотрено предоставление документов для оплаты денежных обязательств при осуществлении авансовых платежей (внесении арендной платы).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В случае предоставления платежного поручения на бумажном носителе Департамент финансов Нефтеюганского района проверяет на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наличие подписей, соответствующих имеющимся образцам, представленным получателем средств бюджета Нефтеюганского района (главных администратором источников финансирования дефицита бюджета Нефтеюганского района) для открытия соответствующего лицевого счета.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6. В одном платежном поручении может содержаться несколько сумм кассовых расходов (кассовых выплат) по разным кодам классификации расходов бюджета Нефтеюганского района (классификации источников финансир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ования дефицитов бюджета Нефтеюганского района) по денежным обязательствам в рамках одного бюджетного обязательства получателя средств бюджета Нефтеюганского района (главного администратора источников финансирования дефицита бюджета Нефтеюганского района).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Для оплаты денежных обязательств в случаях, когда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заключение муниципальных контрактов (договоров), соглашений действующим законодательством Российской Федерации не предусмотрено, в платежном поручении указываются реквизиты соответствующего документа, подтверждающего возникновение денежного обязательства.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Требования подпункта 6 пункта 5 настоящего Порядка не применяются в отношении платежного поручения, если действующим законодательством Российской Федерации заключение муниципального контракта (договора), соглашения не предусмотрено.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Для оплаты денежного обязательства получатель средств бюджета Нефтеюганского района формирует в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автоматизированной системе «УРМ» платежное поручение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на основании поставленного на учет денежного обязательства.</w:t>
      </w:r>
      <w:r>
        <w:rPr>
          <w:rFonts w:ascii="Times New Roman" w:hAnsi="Times New Roman" w:cs="Times New Roman"/>
          <w:sz w:val="26"/>
          <w:szCs w:val="26"/>
          <w:highlight w:val="white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Получатель средств бюджета Нефтеюганского района представляет в Департамент финансов Нефтеюганского района документ, под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тверждающий возникновение денежного обязательства, в форме электронной копии бумажного документа, созданной посредством его сканирования, или копии электронного документа (далее - электронная копия документа) за исключением случаев, предусмотренных пунктом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12 графы 3 Перечня.</w:t>
      </w:r>
      <w:r>
        <w:rPr>
          <w:rFonts w:ascii="Times New Roman" w:hAnsi="Times New Roman" w:cs="Times New Roman"/>
          <w:sz w:val="26"/>
          <w:szCs w:val="26"/>
          <w:highlight w:val="white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В случае если документ, подтверждающий возникновение денежного обязательства, представлен на бумажном носителе, после проверки документ подлежит возврату получателю средств бюджета Нефтеюганского района.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/>
      <w:bookmarkStart w:id="4" w:name="P78"/>
      <w:r/>
      <w:bookmarkEnd w:id="4"/>
      <w:r>
        <w:rPr>
          <w:rFonts w:ascii="Times New Roman" w:hAnsi="Times New Roman" w:eastAsia="Times New Roman" w:cs="Times New Roman"/>
          <w:sz w:val="26"/>
          <w:szCs w:val="26"/>
        </w:rPr>
        <w:t xml:space="preserve">7. При санкционировании оплаты денежных обязательств по расходам (за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исключением оплаты по бюджетным обязательствам, возникающим по документам, указанным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в пунктах 4, 5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, 6,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9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 и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12 графы 2 Перечня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(далее - не контрактуемые бюджетные обязательства) осуществляется проверка платежного поручения по следующим направлениям: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1) соответствие указанных в платежном поручении кодов классификации расходов бюджета Нефтеюганского района кодам классификации расходов бюджета Нефтеюганского района, действующим в текущем финансовом году на момент представления платежного поручения;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2) соответствие содержания операции, исходя из денежного обязательства, содержанию текста назначения платежа, указанному в платежном поручении;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3) соответствие указанных в платежном поручении кодов видов расходов классификации расходов бюджета Нефтеюганского района текстовому назначению платежа;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4) не превышение сумм в платежном поручении остатков соответствующих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предельных объемов финансирования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&lt;2&gt;, учтенных на соответствующем лицевом счете;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--------------------------------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jc w:val="both"/>
        <w:spacing w:before="220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  <w:t xml:space="preserve">&lt;2&gt; В случае использования предельных объемов финансирования при организации исполнения бюджета Нефтеюганского района.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42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</w:r>
      <w:r>
        <w:rPr>
          <w:rFonts w:ascii="Times New Roman" w:hAnsi="Times New Roman" w:cs="Times New Roman"/>
          <w:sz w:val="26"/>
          <w:szCs w:val="26"/>
          <w:highlight w:val="white"/>
        </w:rPr>
      </w:r>
      <w:r/>
    </w:p>
    <w:p>
      <w:pPr>
        <w:pStyle w:val="842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5) соответствие наименования, ИНН, КПП, банковских реквизи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тов получателя денежных средств, указанных в платежном поручении, наименованию, ИНН, КПП, банковским реквизитам получателя денежных средств, указанным в бюджетном обязательстве;</w:t>
      </w:r>
      <w:r>
        <w:rPr>
          <w:rFonts w:ascii="Times New Roman" w:hAnsi="Times New Roman" w:eastAsia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6) соответствие реквиз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итов платежного поручения требованиям бюджетного законодательства Российской Федерации о перечислении средств бюджета Нефтеюганского района на счета, открытые финансовому органу муниципального образования в территориальном органе Федерального казначейства;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7) идентичность кода (кодов) классификации расходов бюджета Нефтеюганского района по денежному обязательству и платежу;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8) не превышение суммы платежного поручения над суммой неисполненного денежного обязательства;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9) не превышение размера авансового платежа, указанного в платежном поручении, над суммой авансового платежа по бюджетному (денежному) обязательству с учетом ранее осуществленных авансовых платежей;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10) соответствие уникального номера ре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естровой записи в реестре контрактов, указанном в пункте 1 графы 2 Перечня (далее - реестр контрактов), муниципальному контракту (договору), подлежащему включению в реестр контрактов и содержащему сведения, составляющие государственную тайну, указанному в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платежном поручении.</w:t>
      </w:r>
      <w:r>
        <w:rPr>
          <w:rFonts w:ascii="Times New Roman" w:hAnsi="Times New Roman" w:cs="Times New Roman"/>
          <w:sz w:val="26"/>
          <w:szCs w:val="26"/>
          <w:highlight w:val="white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Проверка, установленная настоящим подпунктом, не производится при представлении платежного поручения для осуществления первого авансового платежа по муниципальному контракту (договору), содержащему сведения, составляющие государственную тайну;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11) соответствие предмета бюджетного обязательства содержанию текста назначения платежа.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Санкционирование оплаты денежного обязательства по платежному поручению, в которой не указана ссылка на номер ранее учтенного бюджетного обязательства, возникающего по документу, указанному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в пункте 12 графы 2 Перечня, осуществляется в соответствии с Порядком учета Департаментом финансов Нефтеюганского района бюджетных и ден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ежных обязательств получателей средств бюджета Нефтеюганского района, утвержденным приказом Департамента финансов Нефтеюганского района от 17.04.2024 № 24-п.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/>
      <w:bookmarkStart w:id="5" w:name="P98"/>
      <w:r/>
      <w:bookmarkEnd w:id="5"/>
      <w:r>
        <w:rPr>
          <w:rFonts w:ascii="Times New Roman" w:hAnsi="Times New Roman" w:eastAsia="Times New Roman" w:cs="Times New Roman"/>
          <w:sz w:val="26"/>
          <w:szCs w:val="26"/>
        </w:rPr>
        <w:t xml:space="preserve">8. Для подтверждения денежного обязательства, возникшего по бюджетному обязательству, обусловленному муницип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альным контрактом (договором), предусматривающим обязанность получателя средств бюджета Нефтеюганского района - муниципального заказчика по перечислению суммы неустойки (штрафа, пеней) за нарушение законодательства Российской Федерации о контрактной систем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е в сфере закупок товаров, работ, услуг для обеспечения государственных и муниципальных нужд в доход бюджета Нефтеюганского района, получатель средств бюджета Нефтеюганского района представляет в Департамент финансов Нефтеюганского района не позднее предст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авления расчетных документов на оплату денежного обязательства по муниципальному контракту (договору), платежное поручение на перечисление в доход бюджета Нефтеюганского района суммы неустойки (штрафа, пеней) по данному муниципальному контракту (договору).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/>
      <w:bookmarkStart w:id="6" w:name="P99"/>
      <w:r/>
      <w:bookmarkEnd w:id="6"/>
      <w:r>
        <w:rPr>
          <w:rFonts w:ascii="Times New Roman" w:hAnsi="Times New Roman" w:eastAsia="Times New Roman" w:cs="Times New Roman"/>
          <w:sz w:val="26"/>
          <w:szCs w:val="26"/>
        </w:rPr>
        <w:t xml:space="preserve">9. При санкционировании оплаты денежных обязательств по расходам по не контрактуемым бюджетным обязательствам осуществляется проверка платежного поручения по следующим направлениям: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1) соответствие указанных платежном поручении кодов классификации расходов бюджета Нефтеюганского района кодам классификации расходов бюджета Нефтеюганского района, действующим в текущем финансовом году на момент представления платежного поручения;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2) соо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тветствие указанных в платежном поручении кодов видов расходов классификации расходов бюджета Нефтеюганского района 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3) не превышение сумм, указанных в платежном поручении, над остатками соответствующих бюджетных ассигнований, лимитов бюджетных обязательств, предельных объемов финансирования (при наличии), учтенных на лицевом счете получателя бюджетных средств.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/>
      <w:bookmarkStart w:id="7" w:name="P103"/>
      <w:r/>
      <w:bookmarkEnd w:id="7"/>
      <w:r>
        <w:rPr>
          <w:rFonts w:ascii="Times New Roman" w:hAnsi="Times New Roman" w:eastAsia="Times New Roman" w:cs="Times New Roman"/>
          <w:sz w:val="26"/>
          <w:szCs w:val="26"/>
        </w:rPr>
        <w:t xml:space="preserve">10. При санкционировании оплаты денежных обязательств по выплатам по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источникам финансирования дефицита бюджета Нефтеюганского района осуществляется проверка платежного поручения по следующим направлениям: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1) соответствие указанных в пл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атежном поручении кодов классификации источников финансирования дефицита бюджета Нефтеюганского района кодам бюджетной классификации расходов бюджета Нефтеюганского района, действующим в текущем финансовом году на момент представления платежного поручения;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2) соо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тветствие указанных в платежном поручении кодов аналитической группы вида источника финансирования дефицита бюджета 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3) не превышение сумм, указанных в платежном поручении, остаткам соответствующих бюджетных ассигнований, лимитов бюджетных обязательств, учтенных на лицевом счете главного администратора источников финансирования дефицита бюджета Нефтеюганского района.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11. В случае предоставления платежного поручения в электронном виде, Департамент финансов Нефтеюганского района при отрицательном результате проверки отклоняет платежное поручение, с указанием причины неисполнения, в электронном виде.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случае предоставления платежного поручения на бумажном носителе, Департамент финансов Нефтеюганского района отклоняет платежное поручение на бумажном носителе с указанием причины неисполнения и не позднее срока, установленного пунктом 4 настоящего Порядка.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12. При положительном результате проверки в соответствии с требованиями, установленными настоящим Порядком, платежное поручение, представленное в электронном виде, включается Департаментом финансов Нефтеюганского р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айона в реестр на финансирование. В платежном поручении, представленном на бумажном носителе, проставляется отметка, подтверждающая санкционирование оплаты денежных обязательств получателя средств бюджета Нефтеюганского района (главного администратора исто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чников финансирования дефицита бюджета Нефтеюганского района) с указанием даты, подписи, расшифровки подписи, содержащей фамилию, инициалы ответственного исполнителя Департамента финансов Нефтеюганского района. Платежное поручение принимается к исполнению.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13. Для санкционирования денежных обязательств по предоставлению межбюджетных трансфертов из бюджета Нефтеюганского района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финансов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ый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орган муниципального образования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, входящ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ий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в состав Нефтеюганс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кого района,  предоставляет в Департамент финансов Нефтеюганского района одновременно платежное поручение и Реестр платежных поручений для оплаты денежных обязательств по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расходам получателей средств местного бюджета, источником финансового обеспечения которых являются межбюджетные трансферты (в размере фактической потребности) (далее также - Реестр платежных поручений) по форме согласно приложению 1  к настоящему Порядку,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нформацию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к расчетным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документам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на перечисление межбюджетных трансфертов в форме субсидий, иных межбюджетных трансфертов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по форме согласно приложению 2 к настоящему Порядку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(далее – Информация).</w:t>
      </w:r>
      <w:r>
        <w:rPr>
          <w:rFonts w:ascii="Times New Roman" w:hAnsi="Times New Roman" w:cs="Times New Roman"/>
          <w:sz w:val="26"/>
          <w:szCs w:val="26"/>
          <w:highlight w:val="white"/>
        </w:rPr>
      </w:r>
      <w:r/>
    </w:p>
    <w:p>
      <w:pPr>
        <w:pStyle w:val="842"/>
        <w:ind w:firstLine="540"/>
        <w:jc w:val="both"/>
        <w:spacing w:before="0" w:beforeAutospacing="0" w:after="0" w:afterAutospacing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Перечисление межбюджетных трансфертов осуществляется Департаментом финансов Нефтеюганского района на лицевой счет,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открытый финансовому органу муниципального образования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, входящему в состав Нефтеюганского район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а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,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в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территориальном органе Федерального казначейства, еже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дневно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межбюджетные трансферты (в размере фактической потребности), определяемой на основе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Информации и Реестра платежных поручений, в предела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х бюджетных ассигнований, лимитов бюджетных обязательств, предельных объемов финансирования (при наличии).</w:t>
      </w:r>
      <w:r>
        <w:rPr>
          <w:rFonts w:ascii="Times New Roman" w:hAnsi="Times New Roman" w:eastAsia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0" w:beforeAutospacing="0" w:after="0" w:afterAutospacing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  <w:r/>
    </w:p>
    <w:p>
      <w:pPr>
        <w:numPr>
          <w:ilvl w:val="0"/>
          <w:numId w:val="1"/>
        </w:numPr>
        <w:ind w:left="0" w:firstLine="720"/>
        <w:jc w:val="both"/>
        <w:spacing w:before="0" w:beforeAutospacing="0" w:after="0" w:afterAutospacing="0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Для осуществления перечислений за счет целевых средств,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получ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атель средств бюджета Нефтеюганского района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представляет в Департамент финансов Нефтеюганского района платежные поручения и подтверждающие документы в электронном виде с применением ЭП.</w:t>
      </w:r>
      <w:r>
        <w:rPr>
          <w:rFonts w:ascii="Times New Roman" w:hAnsi="Times New Roman" w:cs="Times New Roman"/>
          <w:sz w:val="26"/>
          <w:szCs w:val="26"/>
          <w:highlight w:val="white"/>
        </w:rPr>
      </w:r>
      <w:r/>
    </w:p>
    <w:p>
      <w:pPr>
        <w:numPr>
          <w:ilvl w:val="0"/>
          <w:numId w:val="1"/>
        </w:numPr>
        <w:ind w:left="0" w:firstLine="720"/>
        <w:jc w:val="both"/>
        <w:spacing w:after="240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Департамент финансов Нефтеюганского района осуществляет проверку расчетных документов, представленных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получ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ателем средств бюджета Нефтеюганского района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. Расчетные документы проверяются на пре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дмет наличия достаточного остатка лимитов бюджетных ассигнований, остатка лимитов бюджетных обязательств, остатка по конкретному бюджетному обязательству, соблюдения установленных правил расчетов и правильности, указанных в расчетных документах реквизитов.</w:t>
      </w:r>
      <w:r>
        <w:rPr>
          <w:rFonts w:ascii="Times New Roman" w:hAnsi="Times New Roman" w:cs="Times New Roman"/>
          <w:sz w:val="26"/>
          <w:szCs w:val="26"/>
          <w:highlight w:val="white"/>
        </w:rPr>
      </w:r>
      <w:r/>
    </w:p>
    <w:p>
      <w:pPr>
        <w:pStyle w:val="842"/>
        <w:numPr>
          <w:ilvl w:val="0"/>
          <w:numId w:val="1"/>
        </w:numPr>
        <w:ind w:left="0" w:firstLine="720"/>
        <w:jc w:val="both"/>
        <w:spacing w:after="240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Департамент финансов формирует и предоставляет получателю бюджетных средств, передающему межбюджетные трансферты, одновременно заявку на перечисление (платеж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ное поручение) и Реестр заявок на кассовый расход (платежных поручений) на перечисление межбюджетных трансфертов из бюджета автономного округа в бюджет муниципального образования под фактическую потребность (далее также - Реестр заявок) по форме, согласно </w:t>
      </w:r>
      <w:hyperlink r:id="rId9" w:tooltip="consultantplus://offline/ref=A5C60638CBCCC5073EC3206F9DB566CE0C91FFA96E1673017210562EFEC41F85C44B79462C93E98A52294B2E43911591910FE9DB4E8DC3BD747A2115X4V2K" w:history="1">
        <w:r>
          <w:rPr>
            <w:rFonts w:ascii="Times New Roman" w:hAnsi="Times New Roman" w:eastAsia="Times New Roman" w:cs="Times New Roman"/>
            <w:sz w:val="26"/>
            <w:szCs w:val="26"/>
            <w:highlight w:val="white"/>
          </w:rPr>
          <w:t xml:space="preserve">приложениям 3</w:t>
        </w:r>
      </w:hyperlink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, </w:t>
      </w:r>
      <w:hyperlink r:id="rId10" w:tooltip="consultantplus://offline/ref=A5C60638CBCCC5073EC3206F9DB566CE0C91FFA96E1673017210562EFEC41F85C44B79462C93E98A52294B2A41911591910FE9DB4E8DC3BD747A2115X4V2K" w:history="1">
        <w:r>
          <w:rPr>
            <w:rFonts w:ascii="Times New Roman" w:hAnsi="Times New Roman" w:eastAsia="Times New Roman" w:cs="Times New Roman"/>
            <w:sz w:val="26"/>
            <w:szCs w:val="26"/>
            <w:highlight w:val="white"/>
          </w:rPr>
          <w:t xml:space="preserve">4</w:t>
        </w:r>
      </w:hyperlink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, </w:t>
      </w:r>
      <w:hyperlink r:id="rId11" w:tooltip="consultantplus://offline/ref=A5C60638CBCCC5073EC3206F9DB566CE0C91FFA96E1673017210562EFEC41F85C44B79462C93E98A5229482C47911591910FE9DB4E8DC3BD747A2115X4V2K" w:history="1">
        <w:r>
          <w:rPr>
            <w:rFonts w:ascii="Times New Roman" w:hAnsi="Times New Roman" w:eastAsia="Times New Roman" w:cs="Times New Roman"/>
            <w:sz w:val="26"/>
            <w:szCs w:val="26"/>
            <w:highlight w:val="white"/>
          </w:rPr>
          <w:t xml:space="preserve">5</w:t>
        </w:r>
      </w:hyperlink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к Порядку санкционирования оплаты денежных обязательств получателе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й средств бюджета Ханты-Мансийского автономного округа – Югры и главных администраторов источников финансирования дефицита бюджета Ханты-Мансийского автономного округа – Югры, утвержденного Приказом Департамента финансов Ханты-Мансийского автономного округ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а – Югры от 16.01.2018 № 4-нп (далее – Порядок санкционирования получателей средств бюджета ХМАО), заверенных электронной подписью Департамента финансов  (уполномоченного лица) и начальника управления отчетности и исполнения бюджета (уполномоченного лица).</w:t>
      </w:r>
      <w:r>
        <w:rPr>
          <w:rFonts w:ascii="Times New Roman" w:hAnsi="Times New Roman" w:cs="Times New Roman"/>
          <w:sz w:val="26"/>
          <w:szCs w:val="26"/>
          <w:highlight w:val="white"/>
        </w:rPr>
      </w:r>
      <w:r/>
    </w:p>
    <w:p>
      <w:pPr>
        <w:ind w:firstLine="540"/>
        <w:jc w:val="both"/>
        <w:spacing w:before="220" w:after="240"/>
        <w:widowControl w:val="off"/>
        <w:rPr>
          <w:rFonts w:ascii="Times New Roman" w:hAnsi="Times New Roman" w:cs="Times New Roman"/>
          <w:sz w:val="26"/>
          <w:szCs w:val="26"/>
          <w:highlight w:val="white"/>
        </w:rPr>
      </w:pPr>
      <w:r/>
      <w:hyperlink r:id="rId12" w:tooltip="consultantplus://offline/ref=A5C60638CBCCC5073EC3206F9DB566CE0C91FFA96E1673017210562EFEC41F85C44B79462C93E98A52294B2A41911591910FE9DB4E8DC3BD747A2115X4V2K" w:history="1">
        <w:r>
          <w:rPr>
            <w:rFonts w:ascii="Times New Roman" w:hAnsi="Times New Roman" w:eastAsia="Times New Roman" w:cs="Times New Roman"/>
            <w:sz w:val="26"/>
            <w:szCs w:val="26"/>
            <w:highlight w:val="white"/>
          </w:rPr>
          <w:t xml:space="preserve">Приложения 3, 4</w:t>
        </w:r>
      </w:hyperlink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, </w:t>
      </w:r>
      <w:hyperlink r:id="rId13" w:tooltip="consultantplus://offline/ref=A5C60638CBCCC5073EC3206F9DB566CE0C91FFA96E1673017210562EFEC41F85C44B79462C93E98A5229482C47911591910FE9DB4E8DC3BD747A2115X4V2K" w:history="1">
        <w:r>
          <w:rPr>
            <w:rFonts w:ascii="Times New Roman" w:hAnsi="Times New Roman" w:eastAsia="Times New Roman" w:cs="Times New Roman"/>
            <w:sz w:val="26"/>
            <w:szCs w:val="26"/>
            <w:highlight w:val="white"/>
          </w:rPr>
          <w:t xml:space="preserve">5</w:t>
        </w:r>
      </w:hyperlink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к Порядку санкционирования получателей средств бюджета ХМАО формируются при наличии технической возможности перечисления межбюджетных трансфертов из бюджета автономного округа в бюджет муниципального образования под фактическую потребность.</w:t>
      </w:r>
      <w:r>
        <w:rPr>
          <w:rFonts w:ascii="Times New Roman" w:hAnsi="Times New Roman" w:cs="Times New Roman"/>
          <w:sz w:val="26"/>
          <w:szCs w:val="26"/>
          <w:highlight w:val="white"/>
        </w:rPr>
      </w:r>
      <w:r/>
    </w:p>
    <w:p>
      <w:pPr>
        <w:numPr>
          <w:ilvl w:val="0"/>
          <w:numId w:val="1"/>
        </w:numPr>
        <w:ind w:left="0" w:firstLine="720"/>
        <w:jc w:val="both"/>
        <w:spacing w:after="240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Уполномоченное лицо Департамента финансов формирует в Программном компле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ксе «Региональный электронный бюджет. Исполнение бюджета» заявку на перечисление (платежное поручение), которое вместе с прикрепленным сканированным Реестром с применением ЭП направляется в Департамент финансов Ханты-Мансийского автономного округа – Югры. </w:t>
      </w:r>
      <w:r>
        <w:rPr>
          <w:rFonts w:ascii="Times New Roman" w:hAnsi="Times New Roman" w:cs="Times New Roman"/>
          <w:sz w:val="26"/>
          <w:szCs w:val="26"/>
          <w:highlight w:val="white"/>
        </w:rPr>
      </w:r>
      <w:r/>
    </w:p>
    <w:p>
      <w:pPr>
        <w:ind w:firstLine="540"/>
        <w:jc w:val="both"/>
        <w:spacing w:before="220" w:after="240"/>
        <w:widowControl w:val="off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Д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ля перечисления отдельных субсидий, в том числе на софинансирование капитальных вложений в объекты муниципальной собственности, перечень которых определяется Департаментом финансов Ханты-Мансийского автономного округа – Югры,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получ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атель средств бюджета Нефтеюганского района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предоставляет в Департа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мент финансов информацию к заявке на кассовый расход (платежных поручений) на перечисление межбюджетных трансфертов в форме субсидий  по примерной форме согласно приложению 6 к Порядку санкционирования получателей средств бюджета ХМАО (далее – Информация).</w:t>
      </w:r>
      <w:r>
        <w:rPr>
          <w:rFonts w:ascii="Times New Roman" w:hAnsi="Times New Roman" w:cs="Times New Roman"/>
          <w:sz w:val="26"/>
          <w:szCs w:val="26"/>
          <w:highlight w:val="white"/>
        </w:rPr>
      </w:r>
      <w:r/>
    </w:p>
    <w:p>
      <w:pPr>
        <w:ind w:firstLine="540"/>
        <w:jc w:val="both"/>
        <w:spacing w:after="240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Уполномоченный работник Департамента финансов осуществляет проверку документов, подтверждающих факт выполненных работ, представленную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получ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ателем средств бюджета Нефтеюганского района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на бумажном носителе одновременно с Информацией.</w:t>
      </w:r>
      <w:r>
        <w:rPr>
          <w:rFonts w:ascii="Times New Roman" w:hAnsi="Times New Roman" w:cs="Times New Roman"/>
          <w:sz w:val="26"/>
          <w:szCs w:val="26"/>
          <w:highlight w:val="white"/>
        </w:rPr>
      </w:r>
      <w:r/>
    </w:p>
    <w:p>
      <w:pPr>
        <w:ind w:firstLine="540"/>
        <w:jc w:val="both"/>
        <w:spacing w:after="240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После заверше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ния проверки Информация согласовывается с директором Департамента финансов (уполномоченным лицом) и возвращается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получ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ателю средств бюджета Нефтеюганского района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для последующего согласования с отраслевым Департаментом Ханты-Мансийского автономного округа – Югры (далее – Департамент ХМАО - Югры).</w:t>
      </w:r>
      <w:r>
        <w:rPr>
          <w:rFonts w:ascii="Times New Roman" w:hAnsi="Times New Roman" w:cs="Times New Roman"/>
          <w:sz w:val="26"/>
          <w:szCs w:val="26"/>
          <w:highlight w:val="white"/>
        </w:rPr>
      </w:r>
      <w:r/>
    </w:p>
    <w:p>
      <w:pPr>
        <w:pStyle w:val="850"/>
        <w:ind w:firstLine="540"/>
        <w:spacing w:after="240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 xml:space="preserve">В дальнейшем,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получ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атель средств бюджета Нефтеюганского района</w:t>
      </w:r>
      <w:r>
        <w:rPr>
          <w:sz w:val="26"/>
          <w:szCs w:val="26"/>
          <w:highlight w:val="white"/>
        </w:rPr>
        <w:t xml:space="preserve"> для оплаты денежных обязательств по к</w:t>
      </w:r>
      <w:r>
        <w:rPr>
          <w:sz w:val="26"/>
          <w:szCs w:val="26"/>
          <w:highlight w:val="white"/>
        </w:rPr>
        <w:t xml:space="preserve">апитальным вложениям, одновременно с платежными поручениями предоставляет Информацию, подписанную заместителем Главы муниципального образования (уполномоченным лицом), согласованную с директором Департамента финансов и отраслевым Департаментом ХМАО - Югры.</w:t>
      </w:r>
      <w:r>
        <w:rPr>
          <w:sz w:val="26"/>
          <w:szCs w:val="26"/>
          <w:highlight w:val="white"/>
        </w:rPr>
      </w:r>
      <w:r/>
    </w:p>
    <w:p>
      <w:pPr>
        <w:pStyle w:val="850"/>
        <w:numPr>
          <w:ilvl w:val="0"/>
          <w:numId w:val="1"/>
        </w:numPr>
        <w:ind w:left="0" w:firstLine="720"/>
        <w:spacing w:after="240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 xml:space="preserve">После поступления целевых средств на Единый счет бюджета, расчетные документы, ранее представленные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получ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ателем средств бюджета Нефтеюганского района</w:t>
      </w:r>
      <w:r>
        <w:rPr>
          <w:sz w:val="26"/>
          <w:szCs w:val="26"/>
          <w:highlight w:val="white"/>
        </w:rPr>
        <w:t xml:space="preserve">, включаются в Реестр на финансирование и передаются по электронным каналам связи в Федеральное казначейство.</w:t>
      </w:r>
      <w:r>
        <w:rPr>
          <w:sz w:val="26"/>
          <w:szCs w:val="26"/>
          <w:highlight w:val="white"/>
        </w:rPr>
      </w:r>
      <w:r/>
    </w:p>
    <w:p>
      <w:pPr>
        <w:pStyle w:val="850"/>
        <w:numPr>
          <w:ilvl w:val="0"/>
          <w:numId w:val="1"/>
        </w:numPr>
        <w:ind w:left="0" w:firstLine="720"/>
        <w:spacing w:after="240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 xml:space="preserve">П</w:t>
      </w:r>
      <w:r>
        <w:rPr>
          <w:sz w:val="26"/>
          <w:szCs w:val="26"/>
          <w:highlight w:val="white"/>
        </w:rPr>
        <w:t xml:space="preserve">еречисление целевых средств по представленным платежным документам осуществляется Департаментом финансов с лицевого счета, открытому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получ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ателю средств бюджета Нефтеюганского района</w:t>
      </w:r>
      <w:r>
        <w:rPr>
          <w:sz w:val="26"/>
          <w:szCs w:val="26"/>
          <w:highlight w:val="white"/>
        </w:rPr>
        <w:t xml:space="preserve"> в финансовом органе, ежедневно в пределах суммы, необходимой для оплаты денежных обязательств по расходам получател</w:t>
      </w:r>
      <w:r>
        <w:rPr>
          <w:sz w:val="26"/>
          <w:szCs w:val="26"/>
          <w:highlight w:val="white"/>
        </w:rPr>
        <w:t xml:space="preserve">ей средств бюджета, источником финансового обеспечения которых являются целевые средства (в размере фактической потребности), определяемой на основе платежного поручения и Реестра заявок, в пределах бюджетных ассигнований и лимитов бюджетных обязательств. </w:t>
      </w:r>
      <w:r>
        <w:rPr>
          <w:sz w:val="26"/>
          <w:szCs w:val="26"/>
          <w:highlight w:val="white"/>
        </w:rPr>
      </w:r>
      <w:r/>
    </w:p>
    <w:p>
      <w:pPr>
        <w:pStyle w:val="850"/>
        <w:ind w:firstLine="540"/>
        <w:spacing w:after="240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 xml:space="preserve">Платежные поручения, поступившие до 13-00 часов подлежат исполнению в течение следующего рабочего дня. Платежные документы, предоставленные в Департамент финансов на оплату денежных обязательств, подлежат исполнению:</w:t>
      </w:r>
      <w:r>
        <w:rPr>
          <w:sz w:val="26"/>
          <w:szCs w:val="26"/>
          <w:highlight w:val="white"/>
        </w:rPr>
      </w:r>
      <w:r/>
    </w:p>
    <w:p>
      <w:pPr>
        <w:pStyle w:val="850"/>
        <w:ind w:firstLine="540"/>
        <w:spacing w:after="240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 xml:space="preserve">- казенного учреждения на 4 (четвертый) рабочий день после исполнения Департаментом финансов Ханты-Мансийского автономного округа – Югры заявки на кассовый расход и Реестра;</w:t>
      </w:r>
      <w:r>
        <w:rPr>
          <w:sz w:val="26"/>
          <w:szCs w:val="26"/>
          <w:highlight w:val="white"/>
        </w:rPr>
      </w:r>
      <w:r/>
    </w:p>
    <w:p>
      <w:pPr>
        <w:pStyle w:val="850"/>
        <w:ind w:firstLine="540"/>
        <w:spacing w:after="240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 xml:space="preserve">- бюджетного и автономного учреждения на 5 (пятый) рабочий день после исполнения Департаментом финансов Ханты-Мансийского автономного округа – Югры заявки на кассовый расход и Реестра;</w:t>
      </w:r>
      <w:r>
        <w:rPr>
          <w:sz w:val="26"/>
          <w:szCs w:val="26"/>
          <w:highlight w:val="white"/>
        </w:rPr>
      </w:r>
      <w:r/>
    </w:p>
    <w:p>
      <w:pPr>
        <w:pStyle w:val="850"/>
        <w:ind w:firstLine="540"/>
        <w:spacing w:after="240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 xml:space="preserve">- городского и сельского поселения на 7 (седьмой) рабочий день после исполнения Департаментом финансов Ханты-Мансийского автономного округа – Югры заявки на кассовый расход и Реестра.</w:t>
      </w:r>
      <w:r>
        <w:rPr>
          <w:sz w:val="26"/>
          <w:szCs w:val="26"/>
          <w:highlight w:val="white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20. Представление и хранение платежных поручений для санкционирования оплаты денежных обязательств получателей средств бюджета Нефтеюганского района (главных администраторов источни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ков финансирования дефицита бюджета Нефтеюганского района), содержащей сведения, составляющие государственную тайну, осуществляется в соответствии с настоящим Порядком с соблюдением норм законодательства Российской Федерации о защите государственной тайны.</w:t>
      </w:r>
      <w:r>
        <w:rPr>
          <w:rFonts w:ascii="Times New Roman" w:hAnsi="Times New Roman" w:eastAsia="Times New Roman" w:cs="Times New Roman"/>
          <w:sz w:val="26"/>
          <w:szCs w:val="26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21. В случае необходимости Департамент финансов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Нефтеюганского района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оставляет за собой право запросить у получателей средств бюджета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Нефтеюганского района </w:t>
      </w:r>
      <w:r>
        <w:rPr>
          <w:rFonts w:ascii="Times New Roman" w:hAnsi="Times New Roman" w:eastAsia="Times New Roman" w:cs="Times New Roman"/>
          <w:bCs/>
          <w:color w:val="000000" w:themeColor="text1"/>
          <w:sz w:val="26"/>
          <w:szCs w:val="26"/>
          <w:highlight w:val="white"/>
        </w:rPr>
        <w:t xml:space="preserve">(главных администраторов источников финансирования дефицита бюджета Нефтеюганского района)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иные документы для санкционирования оплаты денежных обязательств.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r>
      <w:r/>
    </w:p>
    <w:p>
      <w:pPr>
        <w:pStyle w:val="842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22. Ответственность за правильность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 оформления и своевременность представления расчетных документов, за достоверность представленных документов, подтверждающих возникновение денежного обязательства и банковских реквизитов, указанных в расчетном документе, несут получатели бюджетных средств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Нефтеюганского района </w:t>
      </w:r>
      <w:r>
        <w:rPr>
          <w:rFonts w:ascii="Times New Roman" w:hAnsi="Times New Roman" w:eastAsia="Times New Roman" w:cs="Times New Roman"/>
          <w:bCs/>
          <w:color w:val="000000" w:themeColor="text1"/>
          <w:sz w:val="26"/>
          <w:szCs w:val="26"/>
          <w:highlight w:val="white"/>
        </w:rPr>
        <w:t xml:space="preserve">(главные администраторы источников финансирования дефицита бюджета Нефтеюганского района)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</w:r>
      <w:r/>
    </w:p>
    <w:sectPr>
      <w:footnotePr/>
      <w:endnotePr/>
      <w:type w:val="nextPage"/>
      <w:pgSz w:w="11905" w:h="16838" w:orient="portrait"/>
      <w:pgMar w:top="1134" w:right="850" w:bottom="1134" w:left="1701" w:header="0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1740" w:hanging="1020"/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6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1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1740" w:hanging="1020"/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6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2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1740" w:hanging="1020"/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6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3">
    <w:multiLevelType w:val="hybridMultilevel"/>
    <w:lvl w:ilvl="0">
      <w:start w:val="1"/>
      <w:numFmt w:val="upperRoman"/>
      <w:isLgl w:val="false"/>
      <w:suff w:val="tab"/>
      <w:lvlText w:val="%1.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2">
    <w:name w:val="Heading 1 Char"/>
    <w:basedOn w:val="670"/>
    <w:link w:val="661"/>
    <w:uiPriority w:val="9"/>
    <w:rPr>
      <w:rFonts w:ascii="Arial" w:hAnsi="Arial" w:eastAsia="Arial" w:cs="Arial"/>
      <w:sz w:val="40"/>
      <w:szCs w:val="40"/>
    </w:rPr>
  </w:style>
  <w:style w:type="character" w:styleId="643">
    <w:name w:val="Heading 2 Char"/>
    <w:basedOn w:val="670"/>
    <w:link w:val="662"/>
    <w:uiPriority w:val="9"/>
    <w:rPr>
      <w:rFonts w:ascii="Arial" w:hAnsi="Arial" w:eastAsia="Arial" w:cs="Arial"/>
      <w:sz w:val="34"/>
    </w:rPr>
  </w:style>
  <w:style w:type="character" w:styleId="644">
    <w:name w:val="Heading 3 Char"/>
    <w:basedOn w:val="670"/>
    <w:link w:val="663"/>
    <w:uiPriority w:val="9"/>
    <w:rPr>
      <w:rFonts w:ascii="Arial" w:hAnsi="Arial" w:eastAsia="Arial" w:cs="Arial"/>
      <w:sz w:val="30"/>
      <w:szCs w:val="30"/>
    </w:rPr>
  </w:style>
  <w:style w:type="character" w:styleId="645">
    <w:name w:val="Heading 4 Char"/>
    <w:basedOn w:val="670"/>
    <w:link w:val="664"/>
    <w:uiPriority w:val="9"/>
    <w:rPr>
      <w:rFonts w:ascii="Arial" w:hAnsi="Arial" w:eastAsia="Arial" w:cs="Arial"/>
      <w:b/>
      <w:bCs/>
      <w:sz w:val="26"/>
      <w:szCs w:val="26"/>
    </w:rPr>
  </w:style>
  <w:style w:type="character" w:styleId="646">
    <w:name w:val="Heading 5 Char"/>
    <w:basedOn w:val="670"/>
    <w:link w:val="665"/>
    <w:uiPriority w:val="9"/>
    <w:rPr>
      <w:rFonts w:ascii="Arial" w:hAnsi="Arial" w:eastAsia="Arial" w:cs="Arial"/>
      <w:b/>
      <w:bCs/>
      <w:sz w:val="24"/>
      <w:szCs w:val="24"/>
    </w:rPr>
  </w:style>
  <w:style w:type="character" w:styleId="647">
    <w:name w:val="Heading 6 Char"/>
    <w:basedOn w:val="670"/>
    <w:link w:val="666"/>
    <w:uiPriority w:val="9"/>
    <w:rPr>
      <w:rFonts w:ascii="Arial" w:hAnsi="Arial" w:eastAsia="Arial" w:cs="Arial"/>
      <w:b/>
      <w:bCs/>
      <w:sz w:val="22"/>
      <w:szCs w:val="22"/>
    </w:rPr>
  </w:style>
  <w:style w:type="character" w:styleId="648">
    <w:name w:val="Heading 7 Char"/>
    <w:basedOn w:val="670"/>
    <w:link w:val="6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8 Char"/>
    <w:basedOn w:val="67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character" w:styleId="650">
    <w:name w:val="Heading 9 Char"/>
    <w:basedOn w:val="670"/>
    <w:link w:val="669"/>
    <w:uiPriority w:val="9"/>
    <w:rPr>
      <w:rFonts w:ascii="Arial" w:hAnsi="Arial" w:eastAsia="Arial" w:cs="Arial"/>
      <w:i/>
      <w:iCs/>
      <w:sz w:val="21"/>
      <w:szCs w:val="21"/>
    </w:rPr>
  </w:style>
  <w:style w:type="character" w:styleId="651">
    <w:name w:val="Title Char"/>
    <w:basedOn w:val="670"/>
    <w:link w:val="684"/>
    <w:uiPriority w:val="10"/>
    <w:rPr>
      <w:sz w:val="48"/>
      <w:szCs w:val="48"/>
    </w:rPr>
  </w:style>
  <w:style w:type="character" w:styleId="652">
    <w:name w:val="Subtitle Char"/>
    <w:basedOn w:val="670"/>
    <w:link w:val="686"/>
    <w:uiPriority w:val="11"/>
    <w:rPr>
      <w:sz w:val="24"/>
      <w:szCs w:val="24"/>
    </w:rPr>
  </w:style>
  <w:style w:type="character" w:styleId="653">
    <w:name w:val="Quote Char"/>
    <w:link w:val="688"/>
    <w:uiPriority w:val="29"/>
    <w:rPr>
      <w:i/>
    </w:rPr>
  </w:style>
  <w:style w:type="character" w:styleId="654">
    <w:name w:val="Intense Quote Char"/>
    <w:link w:val="690"/>
    <w:uiPriority w:val="30"/>
    <w:rPr>
      <w:i/>
    </w:rPr>
  </w:style>
  <w:style w:type="character" w:styleId="655">
    <w:name w:val="Header Char"/>
    <w:basedOn w:val="670"/>
    <w:link w:val="692"/>
    <w:uiPriority w:val="99"/>
  </w:style>
  <w:style w:type="character" w:styleId="656">
    <w:name w:val="Footer Char"/>
    <w:basedOn w:val="670"/>
    <w:link w:val="694"/>
    <w:uiPriority w:val="99"/>
  </w:style>
  <w:style w:type="character" w:styleId="657">
    <w:name w:val="Caption Char"/>
    <w:basedOn w:val="670"/>
    <w:link w:val="696"/>
    <w:uiPriority w:val="35"/>
    <w:rPr>
      <w:b/>
      <w:bCs/>
      <w:color w:val="4f81bd" w:themeColor="accent1"/>
      <w:sz w:val="18"/>
      <w:szCs w:val="18"/>
    </w:rPr>
  </w:style>
  <w:style w:type="character" w:styleId="658">
    <w:name w:val="Footnote Text Char"/>
    <w:link w:val="825"/>
    <w:uiPriority w:val="99"/>
    <w:rPr>
      <w:sz w:val="18"/>
    </w:rPr>
  </w:style>
  <w:style w:type="character" w:styleId="659">
    <w:name w:val="Endnote Text Char"/>
    <w:link w:val="828"/>
    <w:uiPriority w:val="99"/>
    <w:rPr>
      <w:sz w:val="20"/>
    </w:rPr>
  </w:style>
  <w:style w:type="paragraph" w:styleId="660" w:default="1">
    <w:name w:val="Normal"/>
    <w:qFormat/>
  </w:style>
  <w:style w:type="paragraph" w:styleId="661">
    <w:name w:val="Heading 1"/>
    <w:basedOn w:val="660"/>
    <w:next w:val="660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62">
    <w:name w:val="Heading 2"/>
    <w:basedOn w:val="660"/>
    <w:next w:val="660"/>
    <w:link w:val="6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63">
    <w:name w:val="Heading 3"/>
    <w:basedOn w:val="660"/>
    <w:next w:val="660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64">
    <w:name w:val="Heading 4"/>
    <w:basedOn w:val="660"/>
    <w:next w:val="660"/>
    <w:link w:val="6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5">
    <w:name w:val="Heading 5"/>
    <w:basedOn w:val="660"/>
    <w:next w:val="660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660"/>
    <w:next w:val="660"/>
    <w:link w:val="67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67">
    <w:name w:val="Heading 7"/>
    <w:basedOn w:val="660"/>
    <w:next w:val="660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68">
    <w:name w:val="Heading 8"/>
    <w:basedOn w:val="660"/>
    <w:next w:val="660"/>
    <w:link w:val="6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69">
    <w:name w:val="Heading 9"/>
    <w:basedOn w:val="660"/>
    <w:next w:val="660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0" w:default="1">
    <w:name w:val="Default Paragraph Font"/>
    <w:uiPriority w:val="1"/>
    <w:semiHidden/>
    <w:unhideWhenUsed/>
  </w:style>
  <w:style w:type="table" w:styleId="67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2" w:default="1">
    <w:name w:val="No List"/>
    <w:uiPriority w:val="99"/>
    <w:semiHidden/>
    <w:unhideWhenUsed/>
  </w:style>
  <w:style w:type="character" w:styleId="673" w:customStyle="1">
    <w:name w:val="Заголовок 1 Знак"/>
    <w:basedOn w:val="670"/>
    <w:link w:val="661"/>
    <w:uiPriority w:val="9"/>
    <w:rPr>
      <w:rFonts w:ascii="Arial" w:hAnsi="Arial" w:eastAsia="Arial" w:cs="Arial"/>
      <w:sz w:val="40"/>
      <w:szCs w:val="40"/>
    </w:rPr>
  </w:style>
  <w:style w:type="character" w:styleId="674" w:customStyle="1">
    <w:name w:val="Заголовок 2 Знак"/>
    <w:basedOn w:val="670"/>
    <w:link w:val="662"/>
    <w:uiPriority w:val="9"/>
    <w:rPr>
      <w:rFonts w:ascii="Arial" w:hAnsi="Arial" w:eastAsia="Arial" w:cs="Arial"/>
      <w:sz w:val="34"/>
    </w:rPr>
  </w:style>
  <w:style w:type="character" w:styleId="675" w:customStyle="1">
    <w:name w:val="Заголовок 3 Знак"/>
    <w:basedOn w:val="670"/>
    <w:link w:val="663"/>
    <w:uiPriority w:val="9"/>
    <w:rPr>
      <w:rFonts w:ascii="Arial" w:hAnsi="Arial" w:eastAsia="Arial" w:cs="Arial"/>
      <w:sz w:val="30"/>
      <w:szCs w:val="30"/>
    </w:rPr>
  </w:style>
  <w:style w:type="character" w:styleId="676" w:customStyle="1">
    <w:name w:val="Заголовок 4 Знак"/>
    <w:basedOn w:val="670"/>
    <w:link w:val="664"/>
    <w:uiPriority w:val="9"/>
    <w:rPr>
      <w:rFonts w:ascii="Arial" w:hAnsi="Arial" w:eastAsia="Arial" w:cs="Arial"/>
      <w:b/>
      <w:bCs/>
      <w:sz w:val="26"/>
      <w:szCs w:val="26"/>
    </w:rPr>
  </w:style>
  <w:style w:type="character" w:styleId="677" w:customStyle="1">
    <w:name w:val="Заголовок 5 Знак"/>
    <w:basedOn w:val="670"/>
    <w:link w:val="665"/>
    <w:uiPriority w:val="9"/>
    <w:rPr>
      <w:rFonts w:ascii="Arial" w:hAnsi="Arial" w:eastAsia="Arial" w:cs="Arial"/>
      <w:b/>
      <w:bCs/>
      <w:sz w:val="24"/>
      <w:szCs w:val="24"/>
    </w:rPr>
  </w:style>
  <w:style w:type="character" w:styleId="678" w:customStyle="1">
    <w:name w:val="Заголовок 6 Знак"/>
    <w:basedOn w:val="670"/>
    <w:link w:val="666"/>
    <w:uiPriority w:val="9"/>
    <w:rPr>
      <w:rFonts w:ascii="Arial" w:hAnsi="Arial" w:eastAsia="Arial" w:cs="Arial"/>
      <w:b/>
      <w:bCs/>
      <w:sz w:val="22"/>
      <w:szCs w:val="22"/>
    </w:rPr>
  </w:style>
  <w:style w:type="character" w:styleId="679" w:customStyle="1">
    <w:name w:val="Заголовок 7 Знак"/>
    <w:basedOn w:val="670"/>
    <w:link w:val="6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0" w:customStyle="1">
    <w:name w:val="Заголовок 8 Знак"/>
    <w:basedOn w:val="67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character" w:styleId="681" w:customStyle="1">
    <w:name w:val="Заголовок 9 Знак"/>
    <w:basedOn w:val="670"/>
    <w:link w:val="669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List Paragraph"/>
    <w:basedOn w:val="660"/>
    <w:uiPriority w:val="34"/>
    <w:qFormat/>
    <w:pPr>
      <w:contextualSpacing/>
      <w:ind w:left="720"/>
    </w:pPr>
  </w:style>
  <w:style w:type="paragraph" w:styleId="683">
    <w:name w:val="No Spacing"/>
    <w:uiPriority w:val="1"/>
    <w:qFormat/>
    <w:pPr>
      <w:spacing w:after="0" w:line="240" w:lineRule="auto"/>
    </w:pPr>
  </w:style>
  <w:style w:type="paragraph" w:styleId="684">
    <w:name w:val="Title"/>
    <w:basedOn w:val="660"/>
    <w:next w:val="660"/>
    <w:link w:val="6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5" w:customStyle="1">
    <w:name w:val="Заголовок Знак"/>
    <w:basedOn w:val="670"/>
    <w:link w:val="684"/>
    <w:uiPriority w:val="10"/>
    <w:rPr>
      <w:sz w:val="48"/>
      <w:szCs w:val="48"/>
    </w:rPr>
  </w:style>
  <w:style w:type="paragraph" w:styleId="686">
    <w:name w:val="Subtitle"/>
    <w:basedOn w:val="660"/>
    <w:next w:val="660"/>
    <w:link w:val="687"/>
    <w:uiPriority w:val="11"/>
    <w:qFormat/>
    <w:pPr>
      <w:spacing w:before="200" w:after="200"/>
    </w:pPr>
    <w:rPr>
      <w:sz w:val="24"/>
      <w:szCs w:val="24"/>
    </w:rPr>
  </w:style>
  <w:style w:type="character" w:styleId="687" w:customStyle="1">
    <w:name w:val="Подзаголовок Знак"/>
    <w:basedOn w:val="670"/>
    <w:link w:val="686"/>
    <w:uiPriority w:val="11"/>
    <w:rPr>
      <w:sz w:val="24"/>
      <w:szCs w:val="24"/>
    </w:rPr>
  </w:style>
  <w:style w:type="paragraph" w:styleId="688">
    <w:name w:val="Quote"/>
    <w:basedOn w:val="660"/>
    <w:next w:val="660"/>
    <w:link w:val="689"/>
    <w:uiPriority w:val="29"/>
    <w:qFormat/>
    <w:pPr>
      <w:ind w:left="720" w:right="720"/>
    </w:pPr>
    <w:rPr>
      <w:i/>
    </w:rPr>
  </w:style>
  <w:style w:type="character" w:styleId="689" w:customStyle="1">
    <w:name w:val="Цитата 2 Знак"/>
    <w:link w:val="688"/>
    <w:uiPriority w:val="29"/>
    <w:rPr>
      <w:i/>
    </w:rPr>
  </w:style>
  <w:style w:type="paragraph" w:styleId="690">
    <w:name w:val="Intense Quote"/>
    <w:basedOn w:val="660"/>
    <w:next w:val="660"/>
    <w:link w:val="69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 w:customStyle="1">
    <w:name w:val="Выделенная цитата Знак"/>
    <w:link w:val="690"/>
    <w:uiPriority w:val="30"/>
    <w:rPr>
      <w:i/>
    </w:rPr>
  </w:style>
  <w:style w:type="paragraph" w:styleId="692">
    <w:name w:val="Header"/>
    <w:basedOn w:val="660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 w:customStyle="1">
    <w:name w:val="Верхний колонтитул Знак"/>
    <w:basedOn w:val="670"/>
    <w:link w:val="692"/>
    <w:uiPriority w:val="99"/>
  </w:style>
  <w:style w:type="paragraph" w:styleId="694">
    <w:name w:val="Footer"/>
    <w:basedOn w:val="660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 w:customStyle="1">
    <w:name w:val="Нижний колонтитул Знак"/>
    <w:basedOn w:val="670"/>
    <w:link w:val="694"/>
    <w:uiPriority w:val="99"/>
  </w:style>
  <w:style w:type="paragraph" w:styleId="696">
    <w:name w:val="Caption"/>
    <w:basedOn w:val="660"/>
    <w:next w:val="660"/>
    <w:link w:val="697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697" w:customStyle="1">
    <w:name w:val="Название объекта Знак"/>
    <w:basedOn w:val="670"/>
    <w:link w:val="696"/>
    <w:uiPriority w:val="35"/>
    <w:rPr>
      <w:b/>
      <w:bCs/>
      <w:color w:val="5b9bd5" w:themeColor="accent1"/>
      <w:sz w:val="18"/>
      <w:szCs w:val="18"/>
    </w:rPr>
  </w:style>
  <w:style w:type="table" w:styleId="698">
    <w:name w:val="Table Grid"/>
    <w:basedOn w:val="67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99" w:customStyle="1">
    <w:name w:val="Table Grid Light"/>
    <w:basedOn w:val="67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0">
    <w:name w:val="Plain Table 1"/>
    <w:basedOn w:val="67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2"/>
    <w:basedOn w:val="67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3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>
    <w:name w:val="Plain Table 4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Plain Table 5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>
    <w:name w:val="Grid Table 1 Light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Grid Table 1 Light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2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2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2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2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2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2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3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3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3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3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3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3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4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 w:customStyle="1">
    <w:name w:val="Grid Table 4 - Accent 1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28" w:customStyle="1">
    <w:name w:val="Grid Table 4 - Accent 2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9" w:customStyle="1">
    <w:name w:val="Grid Table 4 - Accent 3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30" w:customStyle="1">
    <w:name w:val="Grid Table 4 - Accent 4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31" w:customStyle="1">
    <w:name w:val="Grid Table 4 - Accent 5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32" w:customStyle="1">
    <w:name w:val="Grid Table 4 - Accent 6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33">
    <w:name w:val="Grid Table 5 Dark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4" w:customStyle="1">
    <w:name w:val="Grid Table 5 Dark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35" w:customStyle="1">
    <w:name w:val="Grid Table 5 Dark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36" w:customStyle="1">
    <w:name w:val="Grid Table 5 Dark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37" w:customStyle="1">
    <w:name w:val="Grid Table 5 Dark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8" w:customStyle="1">
    <w:name w:val="Grid Table 5 Dark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39" w:customStyle="1">
    <w:name w:val="Grid Table 5 Dark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40">
    <w:name w:val="Grid Table 6 Colorful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1" w:customStyle="1">
    <w:name w:val="Grid Table 6 Colorful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42" w:customStyle="1">
    <w:name w:val="Grid Table 6 Colorful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43" w:customStyle="1">
    <w:name w:val="Grid Table 6 Colorful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44" w:customStyle="1">
    <w:name w:val="Grid Table 6 Colorful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45" w:customStyle="1">
    <w:name w:val="Grid Table 6 Colorful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6" w:customStyle="1">
    <w:name w:val="Grid Table 6 Colorful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7">
    <w:name w:val="Grid Table 7 Colorful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7 Colorful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7 Colorful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7 Colorful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7 Colorful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7 Colorful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7 Colorful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1 Light - Accent 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List Table 1 Light - Accent 2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List Table 1 Light - Accent 3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List Table 1 Light - Accent 4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List Table 1 Light - Accent 5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List Table 1 Light - Accent 6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2" w:customStyle="1">
    <w:name w:val="List Table 2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63" w:customStyle="1">
    <w:name w:val="List Table 2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64" w:customStyle="1">
    <w:name w:val="List Table 2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65" w:customStyle="1">
    <w:name w:val="List Table 2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66" w:customStyle="1">
    <w:name w:val="List Table 2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67" w:customStyle="1">
    <w:name w:val="List Table 2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8">
    <w:name w:val="List Table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3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5 Dark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3" w:customStyle="1">
    <w:name w:val="List Table 5 Dark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>
    <w:name w:val="List Table 6 Colorful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0" w:customStyle="1">
    <w:name w:val="List Table 6 Colorful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91" w:customStyle="1">
    <w:name w:val="List Table 6 Colorful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92" w:customStyle="1">
    <w:name w:val="List Table 6 Colorful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93" w:customStyle="1">
    <w:name w:val="List Table 6 Colorful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94" w:customStyle="1">
    <w:name w:val="List Table 6 Colorful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95" w:customStyle="1">
    <w:name w:val="List Table 6 Colorful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96">
    <w:name w:val="List Table 7 Colorful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7 Colorful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7 Colorful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7 Colorful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7 Colorful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7 Colorful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7 Colorful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ned - Accent"/>
    <w:basedOn w:val="6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4" w:customStyle="1">
    <w:name w:val="Lined - Accent 1"/>
    <w:basedOn w:val="6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5" w:customStyle="1">
    <w:name w:val="Lined - Accent 2"/>
    <w:basedOn w:val="6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6" w:customStyle="1">
    <w:name w:val="Lined - Accent 3"/>
    <w:basedOn w:val="6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7" w:customStyle="1">
    <w:name w:val="Lined - Accent 4"/>
    <w:basedOn w:val="6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8" w:customStyle="1">
    <w:name w:val="Lined - Accent 5"/>
    <w:basedOn w:val="6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9" w:customStyle="1">
    <w:name w:val="Lined - Accent 6"/>
    <w:basedOn w:val="6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0" w:customStyle="1">
    <w:name w:val="Bordered &amp; Lined - Accent"/>
    <w:basedOn w:val="6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1" w:customStyle="1">
    <w:name w:val="Bordered &amp; Lined - Accent 1"/>
    <w:basedOn w:val="6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2" w:customStyle="1">
    <w:name w:val="Bordered &amp; Lined - Accent 2"/>
    <w:basedOn w:val="6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3" w:customStyle="1">
    <w:name w:val="Bordered &amp; Lined - Accent 3"/>
    <w:basedOn w:val="6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4" w:customStyle="1">
    <w:name w:val="Bordered &amp; Lined - Accent 4"/>
    <w:basedOn w:val="6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5" w:customStyle="1">
    <w:name w:val="Bordered &amp; Lined - Accent 5"/>
    <w:basedOn w:val="6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6" w:customStyle="1">
    <w:name w:val="Bordered &amp; Lined - Accent 6"/>
    <w:basedOn w:val="6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7" w:customStyle="1">
    <w:name w:val="Bordered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8" w:customStyle="1">
    <w:name w:val="Bordered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19" w:customStyle="1">
    <w:name w:val="Bordered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20" w:customStyle="1">
    <w:name w:val="Bordered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21" w:customStyle="1">
    <w:name w:val="Bordered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22" w:customStyle="1">
    <w:name w:val="Bordered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23" w:customStyle="1">
    <w:name w:val="Bordered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24">
    <w:name w:val="Hyperlink"/>
    <w:uiPriority w:val="99"/>
    <w:unhideWhenUsed/>
    <w:rPr>
      <w:color w:val="0563c1" w:themeColor="hyperlink"/>
      <w:u w:val="single"/>
    </w:rPr>
  </w:style>
  <w:style w:type="paragraph" w:styleId="825">
    <w:name w:val="footnote text"/>
    <w:basedOn w:val="660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 w:customStyle="1">
    <w:name w:val="Текст сноски Знак"/>
    <w:link w:val="825"/>
    <w:uiPriority w:val="99"/>
    <w:rPr>
      <w:sz w:val="18"/>
    </w:rPr>
  </w:style>
  <w:style w:type="character" w:styleId="827">
    <w:name w:val="footnote reference"/>
    <w:basedOn w:val="670"/>
    <w:uiPriority w:val="99"/>
    <w:unhideWhenUsed/>
    <w:rPr>
      <w:vertAlign w:val="superscript"/>
    </w:rPr>
  </w:style>
  <w:style w:type="paragraph" w:styleId="828">
    <w:name w:val="endnote text"/>
    <w:basedOn w:val="660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 w:customStyle="1">
    <w:name w:val="Текст концевой сноски Знак"/>
    <w:link w:val="828"/>
    <w:uiPriority w:val="99"/>
    <w:rPr>
      <w:sz w:val="20"/>
    </w:rPr>
  </w:style>
  <w:style w:type="character" w:styleId="830">
    <w:name w:val="endnote reference"/>
    <w:basedOn w:val="670"/>
    <w:uiPriority w:val="99"/>
    <w:semiHidden/>
    <w:unhideWhenUsed/>
    <w:rPr>
      <w:vertAlign w:val="superscript"/>
    </w:rPr>
  </w:style>
  <w:style w:type="paragraph" w:styleId="831">
    <w:name w:val="toc 1"/>
    <w:basedOn w:val="660"/>
    <w:next w:val="660"/>
    <w:uiPriority w:val="39"/>
    <w:unhideWhenUsed/>
    <w:pPr>
      <w:spacing w:after="57"/>
    </w:pPr>
  </w:style>
  <w:style w:type="paragraph" w:styleId="832">
    <w:name w:val="toc 2"/>
    <w:basedOn w:val="660"/>
    <w:next w:val="660"/>
    <w:uiPriority w:val="39"/>
    <w:unhideWhenUsed/>
    <w:pPr>
      <w:ind w:left="283"/>
      <w:spacing w:after="57"/>
    </w:pPr>
  </w:style>
  <w:style w:type="paragraph" w:styleId="833">
    <w:name w:val="toc 3"/>
    <w:basedOn w:val="660"/>
    <w:next w:val="660"/>
    <w:uiPriority w:val="39"/>
    <w:unhideWhenUsed/>
    <w:pPr>
      <w:ind w:left="567"/>
      <w:spacing w:after="57"/>
    </w:pPr>
  </w:style>
  <w:style w:type="paragraph" w:styleId="834">
    <w:name w:val="toc 4"/>
    <w:basedOn w:val="660"/>
    <w:next w:val="660"/>
    <w:uiPriority w:val="39"/>
    <w:unhideWhenUsed/>
    <w:pPr>
      <w:ind w:left="850"/>
      <w:spacing w:after="57"/>
    </w:pPr>
  </w:style>
  <w:style w:type="paragraph" w:styleId="835">
    <w:name w:val="toc 5"/>
    <w:basedOn w:val="660"/>
    <w:next w:val="660"/>
    <w:uiPriority w:val="39"/>
    <w:unhideWhenUsed/>
    <w:pPr>
      <w:ind w:left="1134"/>
      <w:spacing w:after="57"/>
    </w:pPr>
  </w:style>
  <w:style w:type="paragraph" w:styleId="836">
    <w:name w:val="toc 6"/>
    <w:basedOn w:val="660"/>
    <w:next w:val="660"/>
    <w:uiPriority w:val="39"/>
    <w:unhideWhenUsed/>
    <w:pPr>
      <w:ind w:left="1417"/>
      <w:spacing w:after="57"/>
    </w:pPr>
  </w:style>
  <w:style w:type="paragraph" w:styleId="837">
    <w:name w:val="toc 7"/>
    <w:basedOn w:val="660"/>
    <w:next w:val="660"/>
    <w:uiPriority w:val="39"/>
    <w:unhideWhenUsed/>
    <w:pPr>
      <w:ind w:left="1701"/>
      <w:spacing w:after="57"/>
    </w:pPr>
  </w:style>
  <w:style w:type="paragraph" w:styleId="838">
    <w:name w:val="toc 8"/>
    <w:basedOn w:val="660"/>
    <w:next w:val="660"/>
    <w:uiPriority w:val="39"/>
    <w:unhideWhenUsed/>
    <w:pPr>
      <w:ind w:left="1984"/>
      <w:spacing w:after="57"/>
    </w:pPr>
  </w:style>
  <w:style w:type="paragraph" w:styleId="839">
    <w:name w:val="toc 9"/>
    <w:basedOn w:val="660"/>
    <w:next w:val="660"/>
    <w:uiPriority w:val="39"/>
    <w:unhideWhenUsed/>
    <w:pPr>
      <w:ind w:left="2268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basedOn w:val="660"/>
    <w:next w:val="660"/>
    <w:uiPriority w:val="99"/>
    <w:unhideWhenUsed/>
    <w:pPr>
      <w:spacing w:after="0"/>
    </w:pPr>
  </w:style>
  <w:style w:type="paragraph" w:styleId="842" w:customStyle="1">
    <w:name w:val="ConsPlusNormal"/>
    <w:pPr>
      <w:spacing w:after="0" w:line="240" w:lineRule="auto"/>
      <w:widowControl w:val="off"/>
    </w:pPr>
    <w:rPr>
      <w:rFonts w:ascii="Calibri" w:hAnsi="Calibri" w:cs="Calibri" w:eastAsiaTheme="minorEastAsia"/>
      <w:lang w:eastAsia="ru-RU"/>
    </w:rPr>
  </w:style>
  <w:style w:type="paragraph" w:styleId="843" w:customStyle="1">
    <w:name w:val="ConsPlusNonformat"/>
    <w:pPr>
      <w:spacing w:after="0" w:line="240" w:lineRule="auto"/>
      <w:widowControl w:val="off"/>
    </w:pPr>
    <w:rPr>
      <w:rFonts w:ascii="Courier New" w:hAnsi="Courier New" w:cs="Courier New" w:eastAsiaTheme="minorEastAsia"/>
      <w:sz w:val="20"/>
      <w:lang w:eastAsia="ru-RU"/>
    </w:rPr>
  </w:style>
  <w:style w:type="paragraph" w:styleId="844" w:customStyle="1">
    <w:name w:val="ConsPlusTitle"/>
    <w:pPr>
      <w:spacing w:after="0" w:line="240" w:lineRule="auto"/>
      <w:widowControl w:val="off"/>
    </w:pPr>
    <w:rPr>
      <w:rFonts w:ascii="Calibri" w:hAnsi="Calibri" w:cs="Calibri" w:eastAsiaTheme="minorEastAsia"/>
      <w:b/>
      <w:lang w:eastAsia="ru-RU"/>
    </w:rPr>
  </w:style>
  <w:style w:type="paragraph" w:styleId="845" w:customStyle="1">
    <w:name w:val="ConsPlusCell"/>
    <w:pPr>
      <w:spacing w:after="0" w:line="240" w:lineRule="auto"/>
      <w:widowControl w:val="off"/>
    </w:pPr>
    <w:rPr>
      <w:rFonts w:ascii="Courier New" w:hAnsi="Courier New" w:cs="Courier New" w:eastAsiaTheme="minorEastAsia"/>
      <w:sz w:val="20"/>
      <w:lang w:eastAsia="ru-RU"/>
    </w:rPr>
  </w:style>
  <w:style w:type="paragraph" w:styleId="846" w:customStyle="1">
    <w:name w:val="ConsPlusDocList"/>
    <w:pPr>
      <w:spacing w:after="0" w:line="240" w:lineRule="auto"/>
      <w:widowControl w:val="off"/>
    </w:pPr>
    <w:rPr>
      <w:rFonts w:ascii="Calibri" w:hAnsi="Calibri" w:cs="Calibri" w:eastAsiaTheme="minorEastAsia"/>
      <w:lang w:eastAsia="ru-RU"/>
    </w:rPr>
  </w:style>
  <w:style w:type="paragraph" w:styleId="847" w:customStyle="1">
    <w:name w:val="ConsPlusTitlePage"/>
    <w:pPr>
      <w:spacing w:after="0" w:line="240" w:lineRule="auto"/>
      <w:widowControl w:val="off"/>
    </w:pPr>
    <w:rPr>
      <w:rFonts w:ascii="Tahoma" w:hAnsi="Tahoma" w:cs="Tahoma" w:eastAsiaTheme="minorEastAsia"/>
      <w:sz w:val="20"/>
      <w:lang w:eastAsia="ru-RU"/>
    </w:rPr>
  </w:style>
  <w:style w:type="paragraph" w:styleId="848" w:customStyle="1">
    <w:name w:val="ConsPlusJurTerm"/>
    <w:pPr>
      <w:spacing w:after="0" w:line="240" w:lineRule="auto"/>
      <w:widowControl w:val="off"/>
    </w:pPr>
    <w:rPr>
      <w:rFonts w:ascii="Tahoma" w:hAnsi="Tahoma" w:cs="Tahoma" w:eastAsiaTheme="minorEastAsia"/>
      <w:sz w:val="26"/>
      <w:lang w:eastAsia="ru-RU"/>
    </w:rPr>
  </w:style>
  <w:style w:type="paragraph" w:styleId="849" w:customStyle="1">
    <w:name w:val="ConsPlusTextList"/>
    <w:pPr>
      <w:spacing w:after="0" w:line="240" w:lineRule="auto"/>
      <w:widowControl w:val="off"/>
    </w:pPr>
    <w:rPr>
      <w:rFonts w:ascii="Arial" w:hAnsi="Arial" w:cs="Arial" w:eastAsiaTheme="minorEastAsia"/>
      <w:sz w:val="20"/>
      <w:lang w:eastAsia="ru-RU"/>
    </w:rPr>
  </w:style>
  <w:style w:type="paragraph" w:styleId="850" w:customStyle="1">
    <w:name w:val="Основной текст с отступом1"/>
    <w:pPr>
      <w:ind w:firstLine="720"/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consultantplus://offline/ref=A5C60638CBCCC5073EC3206F9DB566CE0C91FFA96E1673017210562EFEC41F85C44B79462C93E98A52294B2E43911591910FE9DB4E8DC3BD747A2115X4V2K" TargetMode="External"/><Relationship Id="rId10" Type="http://schemas.openxmlformats.org/officeDocument/2006/relationships/hyperlink" Target="consultantplus://offline/ref=A5C60638CBCCC5073EC3206F9DB566CE0C91FFA96E1673017210562EFEC41F85C44B79462C93E98A52294B2A41911591910FE9DB4E8DC3BD747A2115X4V2K" TargetMode="External"/><Relationship Id="rId11" Type="http://schemas.openxmlformats.org/officeDocument/2006/relationships/hyperlink" Target="consultantplus://offline/ref=A5C60638CBCCC5073EC3206F9DB566CE0C91FFA96E1673017210562EFEC41F85C44B79462C93E98A5229482C47911591910FE9DB4E8DC3BD747A2115X4V2K" TargetMode="External"/><Relationship Id="rId12" Type="http://schemas.openxmlformats.org/officeDocument/2006/relationships/hyperlink" Target="consultantplus://offline/ref=A5C60638CBCCC5073EC3206F9DB566CE0C91FFA96E1673017210562EFEC41F85C44B79462C93E98A52294B2A41911591910FE9DB4E8DC3BD747A2115X4V2K" TargetMode="External"/><Relationship Id="rId13" Type="http://schemas.openxmlformats.org/officeDocument/2006/relationships/hyperlink" Target="consultantplus://offline/ref=A5C60638CBCCC5073EC3206F9DB566CE0C91FFA96E1673017210562EFEC41F85C44B79462C93E98A5229482C47911591910FE9DB4E8DC3BD747A2115X4V2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Хадиева Олеся Сергеевна</dc:creator>
  <cp:keywords/>
  <dc:description/>
  <cp:revision>12</cp:revision>
  <dcterms:created xsi:type="dcterms:W3CDTF">2025-04-17T11:56:00Z</dcterms:created>
  <dcterms:modified xsi:type="dcterms:W3CDTF">2025-05-05T11:45:13Z</dcterms:modified>
</cp:coreProperties>
</file>