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76"/>
        <w:ind w:firstLine="540"/>
        <w:jc w:val="center"/>
        <w:spacing w:before="0" w:beforeAutospacing="0" w:after="0" w:afterAutospacing="0"/>
        <w:shd w:val="clear" w:color="auto" w:fill="ffffff"/>
        <w:tabs>
          <w:tab w:val="left" w:pos="999" w:leader="none"/>
        </w:tabs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  <w:highlight w:val="none"/>
        </w:rPr>
      </w:r>
      <w:r>
        <w:rPr>
          <w:b w:val="0"/>
          <w:bCs w:val="0"/>
          <w:sz w:val="28"/>
          <w:szCs w:val="28"/>
          <w:highlight w:val="none"/>
        </w:rPr>
      </w:r>
      <w:r/>
    </w:p>
    <w:p>
      <w:pPr>
        <w:pStyle w:val="876"/>
        <w:ind w:firstLine="540"/>
        <w:jc w:val="right"/>
        <w:spacing w:before="0" w:beforeAutospacing="0" w:after="0" w:afterAutospacing="0"/>
        <w:shd w:val="clear" w:color="auto" w:fill="ffffff"/>
        <w:tabs>
          <w:tab w:val="left" w:pos="999" w:leader="none"/>
        </w:tabs>
        <w:rPr>
          <w:b w:val="0"/>
          <w:bCs w:val="0"/>
          <w:sz w:val="28"/>
          <w:szCs w:val="28"/>
          <w:highlight w:val="none"/>
        </w:rPr>
      </w:pPr>
      <w:r>
        <w:rPr>
          <w:b w:val="0"/>
          <w:bCs w:val="0"/>
          <w:sz w:val="28"/>
          <w:szCs w:val="28"/>
          <w:highlight w:val="none"/>
        </w:rPr>
        <w:t xml:space="preserve">Приложение </w:t>
      </w:r>
      <w:r>
        <w:rPr>
          <w:b w:val="0"/>
          <w:bCs w:val="0"/>
          <w:sz w:val="28"/>
          <w:szCs w:val="28"/>
          <w:highlight w:val="none"/>
        </w:rPr>
      </w:r>
      <w:r/>
    </w:p>
    <w:p>
      <w:pPr>
        <w:pStyle w:val="876"/>
        <w:ind w:firstLine="540"/>
        <w:jc w:val="right"/>
        <w:spacing w:before="0" w:beforeAutospacing="0" w:after="0" w:afterAutospacing="0"/>
        <w:shd w:val="clear" w:color="auto" w:fill="ffffff"/>
        <w:tabs>
          <w:tab w:val="left" w:pos="999" w:leader="none"/>
        </w:tabs>
        <w:rPr>
          <w:b w:val="0"/>
          <w:bCs w:val="0"/>
          <w:sz w:val="28"/>
          <w:szCs w:val="28"/>
          <w:highlight w:val="none"/>
        </w:rPr>
      </w:pPr>
      <w:r>
        <w:rPr>
          <w:b w:val="0"/>
          <w:bCs w:val="0"/>
          <w:sz w:val="28"/>
          <w:szCs w:val="28"/>
          <w:highlight w:val="none"/>
        </w:rPr>
        <w:t xml:space="preserve">к письму</w:t>
      </w:r>
      <w:r>
        <w:rPr>
          <w:b w:val="0"/>
          <w:bCs w:val="0"/>
          <w:sz w:val="28"/>
          <w:szCs w:val="28"/>
          <w:highlight w:val="none"/>
        </w:rPr>
        <w:t xml:space="preserve"> Депсоцразвития Югры</w:t>
      </w:r>
      <w:r/>
    </w:p>
    <w:p>
      <w:pPr>
        <w:pStyle w:val="876"/>
        <w:ind w:firstLine="540"/>
        <w:jc w:val="right"/>
        <w:spacing w:before="0" w:beforeAutospacing="0" w:after="0" w:afterAutospacing="0"/>
        <w:shd w:val="clear" w:color="auto" w:fill="ffffff"/>
        <w:tabs>
          <w:tab w:val="left" w:pos="999" w:leader="none"/>
        </w:tabs>
        <w:rPr>
          <w:b w:val="0"/>
          <w:bCs w:val="0"/>
          <w:sz w:val="28"/>
          <w:szCs w:val="28"/>
          <w:highlight w:val="none"/>
        </w:rPr>
      </w:pPr>
      <w:r>
        <w:rPr>
          <w:b w:val="0"/>
          <w:bCs w:val="0"/>
          <w:sz w:val="28"/>
          <w:szCs w:val="28"/>
          <w:highlight w:val="none"/>
        </w:rPr>
        <w:t xml:space="preserve">от____________№____________</w:t>
      </w:r>
      <w:r>
        <w:rPr>
          <w:b w:val="0"/>
          <w:bCs w:val="0"/>
          <w:sz w:val="28"/>
          <w:szCs w:val="28"/>
          <w:highlight w:val="none"/>
        </w:rPr>
      </w:r>
      <w:r/>
    </w:p>
    <w:p>
      <w:pPr>
        <w:pStyle w:val="876"/>
        <w:ind w:firstLine="540"/>
        <w:jc w:val="center"/>
        <w:spacing w:before="0" w:beforeAutospacing="0" w:after="0" w:afterAutospacing="0"/>
        <w:shd w:val="clear" w:color="auto" w:fill="ffffff"/>
        <w:tabs>
          <w:tab w:val="left" w:pos="999" w:leader="none"/>
        </w:tabs>
        <w:rPr>
          <w:b w:val="0"/>
          <w:bCs w:val="0"/>
          <w:sz w:val="28"/>
          <w:szCs w:val="28"/>
          <w:highlight w:val="none"/>
        </w:rPr>
      </w:pPr>
      <w:r>
        <w:rPr>
          <w:b w:val="0"/>
          <w:bCs w:val="0"/>
          <w:sz w:val="28"/>
          <w:szCs w:val="28"/>
          <w:highlight w:val="none"/>
        </w:rPr>
      </w:r>
      <w:r>
        <w:rPr>
          <w:b w:val="0"/>
          <w:bCs w:val="0"/>
          <w:sz w:val="28"/>
          <w:szCs w:val="28"/>
          <w:highlight w:val="none"/>
        </w:rPr>
      </w:r>
      <w:r/>
    </w:p>
    <w:p>
      <w:pPr>
        <w:pStyle w:val="876"/>
        <w:ind w:firstLine="540"/>
        <w:jc w:val="center"/>
        <w:spacing w:before="0" w:beforeAutospacing="0" w:after="0" w:afterAutospacing="0"/>
        <w:shd w:val="clear" w:color="auto" w:fill="ffffff"/>
        <w:tabs>
          <w:tab w:val="left" w:pos="999" w:leader="none"/>
        </w:tabs>
        <w:rPr>
          <w:b w:val="0"/>
          <w:bCs w:val="0"/>
          <w:sz w:val="28"/>
          <w:szCs w:val="28"/>
          <w:highlight w:val="none"/>
        </w:rPr>
      </w:pPr>
      <w:r>
        <w:rPr>
          <w:b w:val="0"/>
          <w:bCs w:val="0"/>
          <w:sz w:val="28"/>
          <w:szCs w:val="28"/>
        </w:rPr>
      </w:r>
      <w:r>
        <w:rPr>
          <w:b w:val="0"/>
          <w:bCs w:val="0"/>
          <w:sz w:val="28"/>
          <w:szCs w:val="28"/>
        </w:rPr>
        <w:t xml:space="preserve">Положение о проведении окружного конкурса </w:t>
      </w:r>
      <w:r>
        <w:rPr>
          <w:b w:val="0"/>
          <w:bCs w:val="0"/>
          <w:sz w:val="28"/>
          <w:szCs w:val="28"/>
        </w:rPr>
      </w:r>
      <w:r/>
    </w:p>
    <w:p>
      <w:pPr>
        <w:pStyle w:val="876"/>
        <w:ind w:firstLine="540"/>
        <w:jc w:val="center"/>
        <w:spacing w:before="0" w:beforeAutospacing="0" w:after="0" w:afterAutospacing="0"/>
        <w:shd w:val="clear" w:color="auto" w:fill="ffffff"/>
        <w:tabs>
          <w:tab w:val="left" w:pos="999" w:leader="none"/>
        </w:tabs>
      </w:pPr>
      <w:r>
        <w:rPr>
          <w:b w:val="0"/>
          <w:bCs w:val="0"/>
          <w:sz w:val="28"/>
          <w:szCs w:val="28"/>
        </w:rPr>
        <w:t xml:space="preserve">«Семья – основа государства» в 2025 году</w:t>
      </w:r>
      <w:r>
        <w:rPr>
          <w:b w:val="0"/>
          <w:bCs w:val="0"/>
          <w:highlight w:val="none"/>
        </w:rPr>
      </w:r>
      <w:r/>
    </w:p>
    <w:p>
      <w:pPr>
        <w:pStyle w:val="876"/>
        <w:ind w:firstLine="540"/>
        <w:jc w:val="center"/>
        <w:spacing w:before="0" w:beforeAutospacing="0" w:after="0" w:afterAutospacing="0"/>
        <w:shd w:val="clear" w:color="auto" w:fill="ffffff"/>
        <w:tabs>
          <w:tab w:val="left" w:pos="999" w:leader="none"/>
        </w:tabs>
      </w:pPr>
      <w:r>
        <w:rPr>
          <w:sz w:val="28"/>
          <w:szCs w:val="28"/>
          <w:highlight w:val="none"/>
        </w:rPr>
        <w:t xml:space="preserve">(далее – Положение)</w:t>
      </w:r>
      <w:r>
        <w:rPr>
          <w:sz w:val="28"/>
          <w:szCs w:val="28"/>
          <w:highlight w:val="none"/>
        </w:rPr>
      </w:r>
      <w:r/>
    </w:p>
    <w:p>
      <w:pPr>
        <w:pStyle w:val="876"/>
        <w:ind w:firstLine="540"/>
        <w:jc w:val="center"/>
        <w:spacing w:before="0" w:beforeAutospacing="0" w:after="0" w:afterAutospacing="0"/>
        <w:shd w:val="clear" w:color="auto" w:fill="ffffff"/>
        <w:tabs>
          <w:tab w:val="left" w:pos="999" w:leader="none"/>
        </w:tabs>
      </w:pP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  <w:r/>
    </w:p>
    <w:p>
      <w:pPr>
        <w:numPr>
          <w:ilvl w:val="0"/>
          <w:numId w:val="1"/>
        </w:numPr>
        <w:contextualSpacing/>
        <w:ind w:left="0" w:firstLine="0"/>
        <w:jc w:val="center"/>
        <w:spacing w:after="0" w:line="240" w:lineRule="auto"/>
      </w:pP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Общие положения</w:t>
      </w:r>
      <w:r/>
    </w:p>
    <w:p>
      <w:pPr>
        <w:contextualSpacing/>
        <w:spacing w:after="0" w:line="240" w:lineRule="auto"/>
      </w:pP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1.1. Настоящее Положение определяет условия и порядок проведения окружного конкурса «Семья – основа государства» в 202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5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году (далее – Конкурс).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1.2.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Целью Конкурса является укрепление и развитие института семьи, формирование в обществе ценностей семьи,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ребенка,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ответственного родительства, выявление и общественное признание социально успешных и активных семей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1.3. Задачи Конкурса: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пропаганда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традиционных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семейных ценностей, преемственности поколений, культуры семейных отношений, здорового образа жизни;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распространение положительного опыта семейного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патриотического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воспитания;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формирование общественного мнения, направленного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  <w:t xml:space="preserve">на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сохранение традиций и исторического наследия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;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создание условий для развития социальной активности семей;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выявление и поддержка успешных и активных семей.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1.4. На Конкурс предоставляются работы, отражающие значимость 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  <w:lang w:eastAsia="ru-RU"/>
        </w:rPr>
        <w:t xml:space="preserve">семейного уклада жизни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  <w:lang w:eastAsia="ru-RU"/>
        </w:rPr>
        <w:t xml:space="preserve">,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  <w:t xml:space="preserve">бе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режного отношения к семейным ценностям </w:t>
        <w:br/>
        <w:t xml:space="preserve">и традициям,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положи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тельного опыта семейного патриотического воспитания,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 одной из номинаций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 учетом объявленных </w:t>
        <w:br/>
        <w:t xml:space="preserve">в Российской Федерации Года защитника Отечества и Года исторического наследия в Ханты-Мансийском автономном округе – Югре: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line="240" w:lineRule="auto"/>
        <w:tabs>
          <w:tab w:val="left" w:pos="993" w:leader="none"/>
        </w:tabs>
        <w:suppressLineNumbers w:val="0"/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1.4.1.</w:t>
      </w:r>
      <w:r>
        <w:rPr>
          <w:rFonts w:ascii="Times New Roman" w:hAnsi="Times New Roman" w:cs="Times New Roman"/>
          <w:b/>
          <w:sz w:val="28"/>
          <w:szCs w:val="28"/>
        </w:rPr>
        <w:t xml:space="preserve"> «Сила семьи»</w:t>
      </w:r>
      <w:r>
        <w:rPr>
          <w:rFonts w:ascii="Times New Roman" w:hAnsi="Times New Roman" w:cs="Times New Roman"/>
          <w:sz w:val="28"/>
          <w:szCs w:val="28"/>
        </w:rPr>
        <w:t xml:space="preserve"> – принимают участие семьи, имеющие опыт совместного преодоления трудностей и взаимной поддержки в период участия члена семьи в специальной военной операции;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line="240" w:lineRule="auto"/>
        <w:tabs>
          <w:tab w:val="left" w:pos="993" w:leader="none"/>
        </w:tabs>
        <w:suppressLineNumbers w:val="0"/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1.4.2.</w:t>
      </w:r>
      <w:r>
        <w:rPr>
          <w:rFonts w:ascii="Times New Roman" w:hAnsi="Times New Roman" w:cs="Times New Roman"/>
          <w:b/>
          <w:sz w:val="28"/>
          <w:szCs w:val="28"/>
        </w:rPr>
        <w:t xml:space="preserve"> «Наследие поколений»</w:t>
      </w:r>
      <w:r>
        <w:rPr>
          <w:rFonts w:ascii="Times New Roman" w:hAnsi="Times New Roman" w:cs="Times New Roman"/>
          <w:sz w:val="28"/>
          <w:szCs w:val="28"/>
        </w:rPr>
        <w:t xml:space="preserve"> – принимают участие семьи, сохраняющие память о подвигах воинов (героев), сражавшихся в разные исторические периоды за Родину;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line="240" w:lineRule="auto"/>
        <w:tabs>
          <w:tab w:val="left" w:pos="993" w:leader="none"/>
        </w:tabs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1.4.3.  </w:t>
      </w:r>
      <w:r>
        <w:rPr>
          <w:rFonts w:ascii="Times New Roman" w:hAnsi="Times New Roman" w:cs="Times New Roman"/>
          <w:b/>
          <w:sz w:val="28"/>
          <w:szCs w:val="28"/>
        </w:rPr>
        <w:t xml:space="preserve">«Добрая семья»</w:t>
      </w:r>
      <w:r>
        <w:rPr>
          <w:rFonts w:ascii="Times New Roman" w:hAnsi="Times New Roman" w:cs="Times New Roman"/>
          <w:sz w:val="28"/>
          <w:szCs w:val="28"/>
        </w:rPr>
        <w:t xml:space="preserve"> – принимают участие семьи, участвующие </w:t>
        <w:br/>
        <w:t xml:space="preserve">в добровольческом (волонтерском) движении, являющиеся примером формирования в семье активной социальной позиции;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line="240" w:lineRule="auto"/>
        <w:tabs>
          <w:tab w:val="left" w:pos="993" w:leader="none"/>
        </w:tabs>
        <w:suppressLineNumbers w:val="0"/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1.4.4. </w:t>
      </w:r>
      <w:r>
        <w:rPr>
          <w:rFonts w:ascii="Times New Roman" w:hAnsi="Times New Roman" w:cs="Times New Roman"/>
          <w:b/>
          <w:sz w:val="28"/>
          <w:szCs w:val="28"/>
        </w:rPr>
        <w:t xml:space="preserve">«Большая семья – будущее Югры»</w:t>
      </w:r>
      <w:r>
        <w:rPr>
          <w:rFonts w:ascii="Times New Roman" w:hAnsi="Times New Roman" w:cs="Times New Roman"/>
          <w:sz w:val="28"/>
          <w:szCs w:val="28"/>
        </w:rPr>
        <w:t xml:space="preserve"> – принимают участие многодетные семьи, воспитывающие детей на основе традиционных ценност</w:t>
      </w:r>
      <w:r>
        <w:rPr>
          <w:rFonts w:ascii="Times New Roman" w:hAnsi="Times New Roman" w:cs="Times New Roman"/>
          <w:sz w:val="28"/>
          <w:szCs w:val="28"/>
        </w:rPr>
        <w:t xml:space="preserve">ей</w:t>
      </w:r>
      <w:r>
        <w:rPr>
          <w:rFonts w:ascii="Times New Roman" w:hAnsi="Times New Roman" w:cs="Times New Roman"/>
          <w:sz w:val="28"/>
          <w:szCs w:val="28"/>
        </w:rPr>
        <w:t xml:space="preserve"> и проявляющие активную гражданскую позицию, являющиеся инициаторами и участниками социальных, творческих, исторических </w:t>
        <w:br/>
        <w:t xml:space="preserve">и иных проектов;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line="240" w:lineRule="auto"/>
        <w:tabs>
          <w:tab w:val="left" w:pos="993" w:leader="none"/>
        </w:tabs>
        <w:suppressLineNumbers w:val="0"/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1.4.5. </w:t>
      </w:r>
      <w:r>
        <w:rPr>
          <w:rFonts w:ascii="Times New Roman" w:hAnsi="Times New Roman" w:cs="Times New Roman"/>
          <w:b/>
          <w:sz w:val="28"/>
          <w:szCs w:val="28"/>
        </w:rPr>
        <w:t xml:space="preserve">«Единство семьи – единство народа»</w:t>
      </w:r>
      <w:r>
        <w:rPr>
          <w:rFonts w:ascii="Times New Roman" w:hAnsi="Times New Roman" w:cs="Times New Roman"/>
          <w:sz w:val="28"/>
          <w:szCs w:val="28"/>
        </w:rPr>
        <w:t xml:space="preserve"> – принимают участие многонациональные семьи, соблюдающие и сохраняющие традиции </w:t>
        <w:br/>
        <w:t xml:space="preserve">и ценности, объединяющие семью;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line="240" w:lineRule="auto"/>
        <w:tabs>
          <w:tab w:val="left" w:pos="993" w:leader="none"/>
        </w:tabs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1.4.6. </w:t>
      </w:r>
      <w:r>
        <w:rPr>
          <w:rFonts w:ascii="Times New Roman" w:hAnsi="Times New Roman" w:cs="Times New Roman"/>
          <w:b/>
          <w:sz w:val="28"/>
          <w:szCs w:val="28"/>
        </w:rPr>
        <w:t xml:space="preserve">«Родники семейных традиций»</w:t>
      </w:r>
      <w:r>
        <w:rPr>
          <w:rFonts w:ascii="Times New Roman" w:hAnsi="Times New Roman" w:cs="Times New Roman"/>
          <w:sz w:val="28"/>
          <w:szCs w:val="28"/>
        </w:rPr>
        <w:t xml:space="preserve"> – принимают участие семьи, имеющие семейные традиции, которыми они занимаются всей семьей профессионально или любительски.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line="240" w:lineRule="auto"/>
        <w:tabs>
          <w:tab w:val="left" w:pos="993" w:leader="none"/>
        </w:tabs>
        <w:suppressLineNumbers w:val="0"/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1.5. Организатором Конкурса является Департамент социального развития Ханты-Мансийского автономного округа – Югры </w:t>
        <w:br/>
        <w:t xml:space="preserve">(далее – Организатор Конкурса).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line="240" w:lineRule="auto"/>
        <w:tabs>
          <w:tab w:val="left" w:pos="993" w:leader="none"/>
        </w:tabs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1.6. Организационно-информационное сопровождение Конкурса осуществляет б</w:t>
      </w:r>
      <w:r>
        <w:rPr>
          <w:rFonts w:ascii="Times New Roman" w:hAnsi="Times New Roman" w:cs="Times New Roman"/>
          <w:iCs/>
          <w:sz w:val="28"/>
          <w:szCs w:val="28"/>
        </w:rPr>
        <w:t xml:space="preserve">юджетное учреждение Ханты-Мансийского автономного округа – Югры «Ресурсный центр развития социального обслуживания»</w:t>
      </w:r>
      <w:r>
        <w:rPr>
          <w:rFonts w:ascii="Times New Roman" w:hAnsi="Times New Roman" w:cs="Times New Roman"/>
          <w:sz w:val="28"/>
          <w:szCs w:val="28"/>
        </w:rPr>
        <w:t xml:space="preserve"> (далее – Оператор Конкурса).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line="240" w:lineRule="auto"/>
        <w:tabs>
          <w:tab w:val="left" w:pos="993" w:leader="none"/>
        </w:tabs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1.7. Участниками Конкурса являются семьи, воспитывающие </w:t>
        <w:br/>
        <w:t xml:space="preserve">(или воспитавшие) детей, проживающие на территории </w:t>
        <w:br/>
        <w:t xml:space="preserve">Ханты-Мансийского автономного округа – Югры (далее – участники </w:t>
      </w:r>
      <w:r>
        <w:rPr>
          <w:rFonts w:ascii="Times New Roman" w:hAnsi="Times New Roman" w:cs="Times New Roman"/>
          <w:sz w:val="28"/>
          <w:szCs w:val="28"/>
        </w:rPr>
        <w:t xml:space="preserve">Конкурса).</w:t>
      </w:r>
      <w:r>
        <w:rPr>
          <w:rFonts w:ascii="Times New Roman" w:hAnsi="Times New Roman" w:cs="Times New Roman"/>
        </w:rPr>
      </w:r>
      <w:r/>
    </w:p>
    <w:p>
      <w:pPr>
        <w:numPr>
          <w:ilvl w:val="0"/>
          <w:numId w:val="1"/>
        </w:numPr>
        <w:contextualSpacing/>
        <w:ind w:left="0" w:firstLine="0"/>
        <w:jc w:val="center"/>
        <w:spacing w:after="0" w:line="240" w:lineRule="auto"/>
      </w:pP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Сроки и организация проведения Конкурса</w:t>
      </w:r>
      <w:r>
        <w:rPr>
          <w:rFonts w:ascii="Times New Roman" w:hAnsi="Times New Roman" w:cs="Times New Roman"/>
        </w:rPr>
      </w:r>
      <w:r/>
    </w:p>
    <w:p>
      <w:pPr>
        <w:contextualSpacing/>
        <w:jc w:val="both"/>
        <w:spacing w:after="0" w:line="240" w:lineRule="auto"/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after="0" w:afterAutospacing="0" w:line="240" w:lineRule="auto"/>
        <w:tabs>
          <w:tab w:val="left" w:pos="1276" w:leader="none"/>
        </w:tabs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2.1. Конкурсный отбор проводится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в заочном формате</w:t>
      </w:r>
      <w:r>
        <w:rPr>
          <w:rFonts w:ascii="Times New Roman" w:hAnsi="Times New Roman" w:cs="Times New Roman"/>
          <w:sz w:val="28"/>
          <w:szCs w:val="28"/>
        </w:rPr>
        <w:br/>
        <w:t xml:space="preserve">по номинациям на основании представленных материалов, оформленных в соответствии с предъявленными требованиями.</w:t>
      </w:r>
      <w:r>
        <w:rPr>
          <w:rFonts w:ascii="Times New Roman" w:hAnsi="Times New Roman" w:cs="Times New Roman"/>
        </w:rPr>
      </w:r>
      <w:r/>
    </w:p>
    <w:p>
      <w:pPr>
        <w:ind w:left="0" w:firstLine="709"/>
        <w:jc w:val="both"/>
        <w:spacing w:after="0" w:afterAutospacing="0" w:line="240" w:lineRule="auto"/>
        <w:tabs>
          <w:tab w:val="left" w:pos="1276" w:leader="none"/>
        </w:tabs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2.2.Конкурс проводится в три этапа:</w:t>
      </w:r>
      <w:r>
        <w:rPr>
          <w:rFonts w:ascii="Times New Roman" w:hAnsi="Times New Roman" w:cs="Times New Roman"/>
        </w:rPr>
      </w:r>
      <w:r/>
    </w:p>
    <w:p>
      <w:pPr>
        <w:contextualSpacing/>
        <w:ind w:firstLine="709"/>
        <w:jc w:val="both"/>
        <w:spacing w:after="0" w:afterAutospacing="0" w:line="240" w:lineRule="auto"/>
        <w:tabs>
          <w:tab w:val="left" w:pos="851" w:leader="none"/>
        </w:tabs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 этап (заявительный) – 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с 17 февраля по 31 марта 2025 года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прием документов и материалов, указанных в пункте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настоящего Положения;</w:t>
      </w:r>
      <w:r>
        <w:rPr>
          <w:rFonts w:ascii="Times New Roman" w:hAnsi="Times New Roman" w:cs="Times New Roman"/>
        </w:rPr>
      </w:r>
      <w:r/>
    </w:p>
    <w:p>
      <w:pPr>
        <w:contextualSpacing/>
        <w:ind w:firstLine="709"/>
        <w:jc w:val="both"/>
        <w:spacing w:after="0" w:afterAutospacing="0" w:line="240" w:lineRule="auto"/>
        <w:tabs>
          <w:tab w:val="left" w:pos="851" w:leader="none"/>
        </w:tabs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 этап (оценочный) – 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с 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7 апреля по 18 апреля 2025 года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экспертиза представленных материалов конкурсной комиссией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и определение победителей и призеров Конкурса в соответствии с установленными настоящим Положением критериями оценки;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8"/>
        </w:numPr>
        <w:ind w:left="0" w:firstLine="709"/>
        <w:jc w:val="both"/>
        <w:spacing w:after="0" w:afterAutospacing="0" w:line="240" w:lineRule="auto"/>
        <w:tabs>
          <w:tab w:val="left" w:pos="851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 этап (заключительный) – </w:t>
      </w:r>
      <w:r>
        <w:rPr>
          <w:rFonts w:ascii="Times New Roman" w:hAnsi="Times New Roman" w:cs="Times New Roman"/>
          <w:b/>
          <w:sz w:val="28"/>
          <w:szCs w:val="28"/>
        </w:rPr>
        <w:t xml:space="preserve">с 15 мая</w:t>
      </w:r>
      <w:r>
        <w:rPr>
          <w:rFonts w:ascii="Times New Roman" w:hAnsi="Times New Roman" w:cs="Times New Roman"/>
          <w:b/>
          <w:sz w:val="28"/>
          <w:szCs w:val="28"/>
        </w:rPr>
        <w:t xml:space="preserve"> по</w:t>
      </w:r>
      <w:r>
        <w:rPr>
          <w:rFonts w:ascii="Times New Roman" w:hAnsi="Times New Roman" w:cs="Times New Roman"/>
          <w:b/>
          <w:strike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trike w:val="0"/>
          <w:sz w:val="28"/>
          <w:szCs w:val="28"/>
          <w:highlight w:val="none"/>
        </w:rPr>
        <w:t xml:space="preserve">30 </w:t>
      </w:r>
      <w:r>
        <w:rPr>
          <w:rFonts w:ascii="Times New Roman" w:hAnsi="Times New Roman" w:cs="Times New Roman"/>
          <w:b/>
          <w:strike w:val="0"/>
          <w:sz w:val="28"/>
          <w:szCs w:val="28"/>
        </w:rPr>
        <w:t xml:space="preserve">м</w:t>
      </w:r>
      <w:r>
        <w:rPr>
          <w:rFonts w:ascii="Times New Roman" w:hAnsi="Times New Roman" w:cs="Times New Roman"/>
          <w:b/>
          <w:sz w:val="28"/>
          <w:szCs w:val="28"/>
        </w:rPr>
        <w:t xml:space="preserve">ая 2025 года</w:t>
      </w:r>
      <w:r>
        <w:rPr>
          <w:rFonts w:ascii="Times New Roman" w:hAnsi="Times New Roman" w:cs="Times New Roman"/>
          <w:sz w:val="28"/>
          <w:szCs w:val="28"/>
        </w:rPr>
        <w:t xml:space="preserve">: награждение победителей и призеров Конкурса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ind w:left="0" w:firstLine="709"/>
        <w:jc w:val="both"/>
        <w:spacing w:after="0" w:afterAutospacing="0" w:line="240" w:lineRule="auto"/>
        <w:tabs>
          <w:tab w:val="left" w:pos="851" w:leader="none"/>
        </w:tabs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2.3. Для участия в Конкурсе необходимо не </w:t>
      </w:r>
      <w:r>
        <w:rPr>
          <w:rFonts w:ascii="Times New Roman" w:hAnsi="Times New Roman" w:cs="Times New Roman"/>
          <w:sz w:val="28"/>
          <w:szCs w:val="28"/>
        </w:rPr>
        <w:t xml:space="preserve">позднее </w:t>
      </w:r>
      <w:r>
        <w:rPr>
          <w:rFonts w:ascii="Times New Roman" w:hAnsi="Times New Roman" w:cs="Times New Roman"/>
          <w:b/>
          <w:sz w:val="28"/>
          <w:szCs w:val="28"/>
        </w:rPr>
        <w:t xml:space="preserve">31 марта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br/>
        <w:t xml:space="preserve">2025 года</w:t>
      </w:r>
      <w:r>
        <w:rPr>
          <w:rFonts w:ascii="Times New Roman" w:hAnsi="Times New Roman" w:cs="Times New Roman"/>
          <w:sz w:val="28"/>
          <w:szCs w:val="28"/>
        </w:rPr>
        <w:t xml:space="preserve"> представить </w:t>
      </w:r>
      <w:r>
        <w:rPr>
          <w:rFonts w:ascii="Times New Roman" w:hAnsi="Times New Roman" w:cs="Times New Roman"/>
          <w:sz w:val="28"/>
          <w:szCs w:val="28"/>
        </w:rPr>
        <w:t xml:space="preserve">в адрес Оператора Конкурса следующие конкурсные материалы:</w:t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contextualSpacing/>
        <w:ind w:firstLine="709"/>
        <w:jc w:val="both"/>
        <w:spacing w:after="0" w:line="240" w:lineRule="auto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заявку на участие в окружном конкурсе «Семья – основа государства» в 2025 году по форме согласно приложению 1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к настоящему Положению;</w:t>
      </w:r>
      <w:r>
        <w:rPr>
          <w:rFonts w:ascii="Times New Roman" w:hAnsi="Times New Roman" w:cs="Times New Roman"/>
        </w:rPr>
      </w:r>
      <w:r/>
    </w:p>
    <w:p>
      <w:pPr>
        <w:contextualSpacing/>
        <w:ind w:firstLine="709"/>
        <w:jc w:val="both"/>
        <w:spacing w:after="0" w:line="240" w:lineRule="auto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конкурсную работу по одной из номинаций, указанных в пунктах </w:t>
        <w:br/>
        <w:t xml:space="preserve">1.4.1. – 1.4.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6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 настоящего Положения;</w:t>
      </w:r>
      <w:r>
        <w:rPr>
          <w:rFonts w:ascii="Times New Roman" w:hAnsi="Times New Roman" w:cs="Times New Roman"/>
        </w:rPr>
      </w:r>
      <w:r/>
    </w:p>
    <w:p>
      <w:pPr>
        <w:pStyle w:val="874"/>
        <w:ind w:left="0" w:firstLine="709"/>
        <w:jc w:val="both"/>
        <w:spacing w:line="240" w:lineRule="auto"/>
        <w:tabs>
          <w:tab w:val="left" w:pos="993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мультимедийную презентацию либо видеоролик (при желании);</w:t>
      </w:r>
      <w:r>
        <w:rPr>
          <w:rFonts w:ascii="Times New Roman" w:hAnsi="Times New Roman" w:cs="Times New Roman"/>
        </w:rPr>
      </w:r>
      <w:r/>
    </w:p>
    <w:p>
      <w:pPr>
        <w:pStyle w:val="874"/>
        <w:ind w:left="0" w:firstLine="709"/>
        <w:jc w:val="both"/>
        <w:spacing w:line="240" w:lineRule="auto"/>
        <w:tabs>
          <w:tab w:val="left" w:pos="993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дополнительные материалы (при наличии).</w:t>
      </w:r>
      <w:r>
        <w:rPr>
          <w:rFonts w:ascii="Times New Roman" w:hAnsi="Times New Roman" w:cs="Times New Roman"/>
        </w:rPr>
      </w:r>
      <w:r/>
    </w:p>
    <w:p>
      <w:pPr>
        <w:ind w:left="0" w:firstLine="709"/>
        <w:jc w:val="both"/>
        <w:spacing w:line="240" w:lineRule="auto"/>
        <w:shd w:val="clear" w:color="auto" w:fill="ffffff"/>
        <w:tabs>
          <w:tab w:val="left" w:pos="1276" w:leader="none"/>
        </w:tabs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2.4. Каждый участник может подать не более одной заявки.</w:t>
      </w:r>
      <w:r>
        <w:rPr>
          <w:rFonts w:ascii="Times New Roman" w:hAnsi="Times New Roman" w:cs="Times New Roman"/>
        </w:rPr>
      </w:r>
      <w:r/>
    </w:p>
    <w:p>
      <w:pPr>
        <w:ind w:left="0" w:firstLine="709"/>
        <w:jc w:val="both"/>
        <w:spacing w:line="240" w:lineRule="auto"/>
        <w:shd w:val="clear" w:color="auto" w:fill="ffffff"/>
        <w:tabs>
          <w:tab w:val="left" w:pos="1276" w:leader="none"/>
        </w:tabs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2.5. Заявка считается принятой после получения уведомления </w:t>
        <w:br/>
        <w:t xml:space="preserve">на адрес электронный почты отправителя (участника) о подтверждении участия в Конкурсе.</w:t>
      </w:r>
      <w:r>
        <w:rPr>
          <w:rFonts w:ascii="Times New Roman" w:hAnsi="Times New Roman" w:cs="Times New Roman"/>
        </w:rPr>
      </w:r>
      <w:r/>
    </w:p>
    <w:p>
      <w:pPr>
        <w:ind w:left="0" w:firstLine="709"/>
        <w:jc w:val="both"/>
        <w:spacing w:line="240" w:lineRule="auto"/>
        <w:shd w:val="clear" w:color="auto" w:fill="ffffff"/>
        <w:tabs>
          <w:tab w:val="left" w:pos="1276" w:leader="none"/>
        </w:tabs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2.6. Подача заявки на участие в Конкурсе будет рассматриваться как сог</w:t>
      </w:r>
      <w:r>
        <w:rPr>
          <w:rFonts w:ascii="Times New Roman" w:hAnsi="Times New Roman" w:cs="Times New Roman"/>
          <w:sz w:val="28"/>
          <w:szCs w:val="28"/>
        </w:rPr>
        <w:t xml:space="preserve">л</w:t>
      </w:r>
      <w:r>
        <w:rPr>
          <w:rFonts w:ascii="Times New Roman" w:hAnsi="Times New Roman" w:cs="Times New Roman"/>
          <w:sz w:val="28"/>
          <w:szCs w:val="28"/>
        </w:rPr>
        <w:t xml:space="preserve">асие автора (авторов) на использование персональных данных при проведении Конкурса и подведении его итогов, публикацию отдельных материалов в средствах массовой информации, сети Интернет, </w:t>
        <w:br/>
        <w:t xml:space="preserve">на выставках, презентациях и др., официальных сайтов Организатора (</w:t>
      </w:r>
      <w:hyperlink r:id="rId12" w:tooltip="http://depsr.admhmao.ru/" w:history="1">
        <w:r>
          <w:rPr>
            <w:rStyle w:val="852"/>
            <w:rFonts w:ascii="Times New Roman" w:hAnsi="Times New Roman" w:eastAsia="Calibri" w:cs="Times New Roman"/>
            <w:sz w:val="28"/>
            <w:szCs w:val="28"/>
          </w:rPr>
          <w:t xml:space="preserve">http://</w:t>
        </w:r>
        <w:r>
          <w:rPr>
            <w:rStyle w:val="852"/>
            <w:rFonts w:ascii="Times New Roman" w:hAnsi="Times New Roman" w:eastAsia="Calibri" w:cs="Times New Roman"/>
            <w:sz w:val="28"/>
            <w:szCs w:val="28"/>
            <w:lang w:val="en-US"/>
          </w:rPr>
          <w:t xml:space="preserve">depsr</w:t>
        </w:r>
        <w:r>
          <w:rPr>
            <w:rStyle w:val="852"/>
            <w:rFonts w:ascii="Times New Roman" w:hAnsi="Times New Roman" w:eastAsia="Calibri" w:cs="Times New Roman"/>
            <w:sz w:val="28"/>
            <w:szCs w:val="28"/>
          </w:rPr>
          <w:t xml:space="preserve">.</w:t>
        </w:r>
        <w:r>
          <w:rPr>
            <w:rStyle w:val="852"/>
            <w:rFonts w:ascii="Times New Roman" w:hAnsi="Times New Roman" w:eastAsia="Calibri" w:cs="Times New Roman"/>
            <w:sz w:val="28"/>
            <w:szCs w:val="28"/>
            <w:lang w:val="en-US"/>
          </w:rPr>
          <w:t xml:space="preserve">admhmao</w:t>
        </w:r>
        <w:r>
          <w:rPr>
            <w:rStyle w:val="852"/>
            <w:rFonts w:ascii="Times New Roman" w:hAnsi="Times New Roman" w:eastAsia="Calibri" w:cs="Times New Roman"/>
            <w:sz w:val="28"/>
            <w:szCs w:val="28"/>
          </w:rPr>
          <w:t xml:space="preserve">.</w:t>
        </w:r>
        <w:r>
          <w:rPr>
            <w:rStyle w:val="852"/>
            <w:rFonts w:ascii="Times New Roman" w:hAnsi="Times New Roman" w:eastAsia="Calibri" w:cs="Times New Roman"/>
            <w:sz w:val="28"/>
            <w:szCs w:val="28"/>
            <w:lang w:val="en-US"/>
          </w:rPr>
          <w:t xml:space="preserve">ru</w:t>
        </w:r>
        <w:r>
          <w:rPr>
            <w:rStyle w:val="852"/>
            <w:rFonts w:ascii="Times New Roman" w:hAnsi="Times New Roman" w:eastAsia="Calibri" w:cs="Times New Roman"/>
            <w:sz w:val="28"/>
            <w:szCs w:val="28"/>
          </w:rPr>
          <w:t xml:space="preserve">/</w:t>
        </w:r>
      </w:hyperlink>
      <w:r>
        <w:rPr>
          <w:rFonts w:ascii="Times New Roman" w:hAnsi="Times New Roman" w:cs="Times New Roman"/>
          <w:sz w:val="28"/>
          <w:szCs w:val="28"/>
        </w:rPr>
        <w:t xml:space="preserve">)</w:t>
      </w:r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  <w:t xml:space="preserve"> Оператора Конкурса (</w:t>
      </w:r>
      <w:hyperlink r:id="rId13" w:tooltip="http://rcsur.ru/" w:history="1">
        <w:r>
          <w:rPr>
            <w:rStyle w:val="852"/>
            <w:rFonts w:ascii="Times New Roman" w:hAnsi="Times New Roman" w:eastAsia="Calibri" w:cs="Times New Roman"/>
            <w:sz w:val="28"/>
            <w:szCs w:val="28"/>
          </w:rPr>
          <w:t xml:space="preserve">http://rcsur.ru/</w:t>
        </w:r>
      </w:hyperlink>
      <w:r>
        <w:rPr>
          <w:rFonts w:ascii="Times New Roman" w:hAnsi="Times New Roman" w:cs="Times New Roman"/>
          <w:color w:val="0000ff"/>
          <w:sz w:val="28"/>
          <w:szCs w:val="28"/>
          <w:u w:val="single"/>
        </w:rPr>
        <w:t xml:space="preserve">)</w:t>
      </w:r>
      <w:r>
        <w:rPr>
          <w:rFonts w:ascii="Times New Roman" w:hAnsi="Times New Roman" w:cs="Times New Roman"/>
          <w:sz w:val="28"/>
          <w:szCs w:val="28"/>
        </w:rPr>
        <w:t xml:space="preserve"> </w:t>
        <w:br/>
        <w:t xml:space="preserve">с соблюдением авторских прав.</w:t>
      </w:r>
      <w:r>
        <w:rPr>
          <w:rFonts w:ascii="Times New Roman" w:hAnsi="Times New Roman" w:cs="Times New Roman"/>
        </w:rPr>
      </w:r>
      <w:r/>
    </w:p>
    <w:p>
      <w:pPr>
        <w:ind w:left="0" w:firstLine="709"/>
        <w:jc w:val="both"/>
        <w:spacing w:line="240" w:lineRule="auto"/>
        <w:shd w:val="clear" w:color="auto" w:fill="ffffff"/>
        <w:tabs>
          <w:tab w:val="left" w:pos="1276" w:leader="none"/>
        </w:tabs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2.7. На Конкурс не принимаются конкурсные работы, объявленные победителями и призерами Конкурсов предыдущих 3 лет.</w:t>
      </w:r>
      <w:r>
        <w:rPr>
          <w:rFonts w:ascii="Times New Roman" w:hAnsi="Times New Roman" w:cs="Times New Roman"/>
        </w:rPr>
      </w:r>
      <w:r/>
    </w:p>
    <w:p>
      <w:pPr>
        <w:ind w:left="0" w:firstLine="709"/>
        <w:jc w:val="both"/>
        <w:spacing w:after="0" w:afterAutospacing="0" w:line="240" w:lineRule="auto"/>
        <w:shd w:val="clear" w:color="auto" w:fill="ffffff"/>
        <w:tabs>
          <w:tab w:val="left" w:pos="1276" w:leader="none"/>
        </w:tabs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2.8. Заявка и конкурсные материалы направляются в сроки, указанные в пунктах 2.2. – 2.3. настоящего Положения, на адрес электронной почты Оператора Конкурса </w:t>
      </w:r>
      <w:hyperlink r:id="rId14" w:tooltip="mailto:concurs86@mail.ru" w:history="1">
        <w:r>
          <w:rPr>
            <w:rStyle w:val="852"/>
            <w:rFonts w:ascii="Times New Roman" w:hAnsi="Times New Roman" w:eastAsia="Calibri" w:cs="Times New Roman"/>
            <w:sz w:val="28"/>
            <w:szCs w:val="28"/>
          </w:rPr>
          <w:t xml:space="preserve">concurs86@mail.ru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с пометкой «Семья – основа государства» 202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5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или лично участником </w:t>
        <w:br/>
        <w:t xml:space="preserve">на электронном носителе по адресу: город Сургут, улица Лермонтова</w:t>
      </w:r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</w:rPr>
        <w:br/>
        <w:t xml:space="preserve">дом 3/1, кабинет 305, телефон 8 (3462) 55-05-58 (191)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</w:rPr>
      </w:r>
      <w:r/>
    </w:p>
    <w:p>
      <w:pPr>
        <w:ind w:left="0" w:firstLine="0"/>
        <w:jc w:val="both"/>
        <w:spacing w:line="240" w:lineRule="auto"/>
        <w:shd w:val="clear" w:color="auto" w:fill="ffffff"/>
        <w:tabs>
          <w:tab w:val="left" w:pos="1276" w:leader="none"/>
        </w:tabs>
      </w:pP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pStyle w:val="874"/>
        <w:numPr>
          <w:ilvl w:val="0"/>
          <w:numId w:val="1"/>
        </w:numPr>
        <w:ind w:left="0" w:firstLine="0"/>
        <w:jc w:val="center"/>
        <w:spacing w:after="0" w:afterAutospacing="0" w:line="240" w:lineRule="auto"/>
        <w:shd w:val="clear" w:color="auto" w:fill="ffffff"/>
      </w:pPr>
      <w:r>
        <w:rPr>
          <w:rFonts w:ascii="Times New Roman" w:hAnsi="Times New Roman" w:cs="Times New Roman"/>
          <w:bCs/>
          <w:sz w:val="28"/>
          <w:szCs w:val="28"/>
        </w:rPr>
        <w:t xml:space="preserve">Требования к конкурсным материалам.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after="0" w:line="240" w:lineRule="auto"/>
        <w:shd w:val="clear" w:color="auto" w:fill="ffffff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after="0" w:afterAutospacing="0" w:line="240" w:lineRule="auto"/>
        <w:shd w:val="clear" w:color="auto" w:fill="ffffff"/>
        <w:tabs>
          <w:tab w:val="left" w:pos="1276" w:leader="none"/>
        </w:tabs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3.1. Конкурсные материалы должны быть представлены </w:t>
        <w:br/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none"/>
        </w:rPr>
        <w:t xml:space="preserve">в </w:t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none"/>
        </w:rPr>
        <w:t xml:space="preserve">с</w:t>
      </w:r>
      <w:r>
        <w:rPr>
          <w:rFonts w:ascii="Times New Roman" w:hAnsi="Times New Roman" w:cs="Times New Roman"/>
          <w:sz w:val="28"/>
          <w:szCs w:val="28"/>
        </w:rPr>
        <w:t xml:space="preserve">оответствии с требованиями к оформлению </w:t>
        <w:br/>
        <w:t xml:space="preserve">(приложение 2 к настоящему Положению).</w:t>
      </w:r>
      <w:r>
        <w:rPr>
          <w:rFonts w:ascii="Times New Roman" w:hAnsi="Times New Roman" w:cs="Times New Roman"/>
        </w:rPr>
      </w:r>
      <w:r/>
    </w:p>
    <w:p>
      <w:pPr>
        <w:ind w:left="0" w:firstLine="709"/>
        <w:jc w:val="both"/>
        <w:spacing w:after="0" w:afterAutospacing="0" w:line="240" w:lineRule="auto"/>
        <w:shd w:val="clear" w:color="auto" w:fill="ffffff"/>
        <w:tabs>
          <w:tab w:val="left" w:pos="1276" w:leader="none"/>
        </w:tabs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3.2. Конкурсные материалы должны быть на русском языке, соответствовать тематике Конкурса.</w:t>
      </w:r>
      <w:r>
        <w:rPr>
          <w:rFonts w:ascii="Times New Roman" w:hAnsi="Times New Roman" w:cs="Times New Roman"/>
        </w:rPr>
      </w:r>
      <w:r/>
    </w:p>
    <w:p>
      <w:pPr>
        <w:ind w:left="0" w:firstLine="709"/>
        <w:jc w:val="both"/>
        <w:spacing w:after="0" w:afterAutospacing="0" w:line="240" w:lineRule="auto"/>
        <w:shd w:val="clear" w:color="auto" w:fill="ffffff"/>
        <w:tabs>
          <w:tab w:val="left" w:pos="1276" w:leader="none"/>
        </w:tabs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3.3. Заявка и материалы на Конкурс направляются в электронном виде.</w:t>
      </w:r>
      <w:r>
        <w:rPr>
          <w:rFonts w:ascii="Times New Roman" w:hAnsi="Times New Roman" w:cs="Times New Roman"/>
        </w:rPr>
      </w:r>
      <w:r/>
    </w:p>
    <w:p>
      <w:pPr>
        <w:ind w:left="0" w:firstLine="709"/>
        <w:jc w:val="both"/>
        <w:spacing w:after="0" w:afterAutospacing="0" w:line="240" w:lineRule="auto"/>
        <w:shd w:val="clear" w:color="auto" w:fill="ffffff"/>
        <w:tabs>
          <w:tab w:val="left" w:pos="1276" w:leader="none"/>
        </w:tabs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3.4. Материалы, представленные на Конкурс, не рецензируются </w:t>
      </w:r>
      <w:r>
        <w:rPr>
          <w:rFonts w:ascii="Times New Roman" w:hAnsi="Times New Roman" w:cs="Times New Roman"/>
          <w:sz w:val="28"/>
          <w:szCs w:val="28"/>
        </w:rPr>
        <w:br/>
        <w:t xml:space="preserve">и не возвращаются. </w:t>
      </w:r>
      <w:r>
        <w:rPr>
          <w:rFonts w:ascii="Times New Roman" w:hAnsi="Times New Roman" w:cs="Times New Roman"/>
        </w:rPr>
      </w:r>
      <w:r/>
    </w:p>
    <w:p>
      <w:pPr>
        <w:ind w:left="0" w:firstLine="709"/>
        <w:jc w:val="both"/>
        <w:spacing w:after="0" w:afterAutospacing="0" w:line="240" w:lineRule="auto"/>
        <w:shd w:val="clear" w:color="auto" w:fill="ffffff"/>
        <w:tabs>
          <w:tab w:val="left" w:pos="1276" w:leader="none"/>
        </w:tabs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3.5. Материалы, подготовленные с </w:t>
      </w:r>
      <w:r>
        <w:rPr>
          <w:rFonts w:ascii="Times New Roman" w:hAnsi="Times New Roman" w:cs="Times New Roman"/>
          <w:sz w:val="28"/>
          <w:szCs w:val="28"/>
        </w:rPr>
        <w:t xml:space="preserve">нарушением </w:t>
      </w:r>
      <w:r>
        <w:rPr>
          <w:rFonts w:ascii="Times New Roman" w:hAnsi="Times New Roman" w:cs="Times New Roman"/>
          <w:sz w:val="28"/>
          <w:szCs w:val="28"/>
        </w:rPr>
        <w:t xml:space="preserve">требований к их оформлению, а также поступившие с нарушением срока, не подлежат рассмотрению.</w:t>
      </w:r>
      <w:r>
        <w:rPr>
          <w:rFonts w:ascii="Times New Roman" w:hAnsi="Times New Roman" w:cs="Times New Roman"/>
        </w:rPr>
      </w:r>
      <w:r/>
    </w:p>
    <w:p>
      <w:pPr>
        <w:ind w:left="709" w:firstLine="0"/>
        <w:jc w:val="both"/>
        <w:spacing w:after="0" w:afterAutospacing="0" w:line="240" w:lineRule="auto"/>
        <w:shd w:val="clear" w:color="auto" w:fill="ffffff"/>
        <w:tabs>
          <w:tab w:val="left" w:pos="1276" w:leader="none"/>
        </w:tabs>
      </w:pP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pStyle w:val="874"/>
        <w:numPr>
          <w:ilvl w:val="0"/>
          <w:numId w:val="1"/>
        </w:numPr>
        <w:ind w:left="0" w:firstLine="0"/>
        <w:jc w:val="center"/>
        <w:spacing w:after="0" w:afterAutospacing="0" w:line="240" w:lineRule="auto"/>
      </w:pPr>
      <w:r>
        <w:rPr>
          <w:rFonts w:ascii="Times New Roman" w:hAnsi="Times New Roman" w:cs="Times New Roman"/>
          <w:bCs/>
          <w:sz w:val="28"/>
          <w:szCs w:val="28"/>
        </w:rPr>
        <w:t xml:space="preserve">Критерии и порядок оценивания конкурсных материалов</w:t>
      </w:r>
      <w:r>
        <w:rPr>
          <w:rFonts w:ascii="Times New Roman" w:hAnsi="Times New Roman" w:cs="Times New Roman"/>
        </w:rPr>
      </w:r>
      <w:r/>
    </w:p>
    <w:p>
      <w:pPr>
        <w:jc w:val="both"/>
        <w:spacing w:after="0" w:line="240" w:lineRule="auto"/>
        <w:tabs>
          <w:tab w:val="left" w:pos="1276" w:leader="none"/>
        </w:tabs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cs="Times New Roman"/>
        </w:rPr>
      </w:r>
      <w:r/>
    </w:p>
    <w:p>
      <w:pPr>
        <w:ind w:left="0" w:firstLine="709"/>
        <w:jc w:val="both"/>
        <w:spacing w:after="0" w:afterAutospacing="0" w:line="240" w:lineRule="auto"/>
        <w:tabs>
          <w:tab w:val="left" w:pos="1276" w:leader="none"/>
        </w:tabs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4.1. Работы, допущенные к участию в Конкурсе, оцениваются </w:t>
      </w:r>
      <w:r>
        <w:rPr>
          <w:rFonts w:ascii="Times New Roman" w:hAnsi="Times New Roman" w:cs="Times New Roman"/>
          <w:sz w:val="28"/>
          <w:szCs w:val="28"/>
        </w:rPr>
        <w:br/>
        <w:t xml:space="preserve">по 10 – балльной системе отдельно по каждому критерию </w:t>
        <w:br/>
        <w:t xml:space="preserve">(приложение 3 </w:t>
      </w:r>
      <w:r>
        <w:rPr>
          <w:rFonts w:ascii="Times New Roman" w:hAnsi="Times New Roman" w:cs="Times New Roman"/>
          <w:sz w:val="28"/>
          <w:szCs w:val="28"/>
        </w:rPr>
        <w:t xml:space="preserve">к настоящему Положению).</w:t>
      </w:r>
      <w:r>
        <w:rPr>
          <w:rFonts w:ascii="Times New Roman" w:hAnsi="Times New Roman" w:cs="Times New Roman"/>
        </w:rPr>
      </w:r>
      <w:r/>
    </w:p>
    <w:p>
      <w:pPr>
        <w:ind w:left="0" w:firstLine="709"/>
        <w:jc w:val="both"/>
        <w:spacing w:after="0" w:afterAutospacing="0" w:line="240" w:lineRule="auto"/>
        <w:tabs>
          <w:tab w:val="left" w:pos="1276" w:leader="none"/>
        </w:tabs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4.2. Оценка по каждому критерию производится по следующей шкале: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after="0" w:line="240" w:lineRule="auto"/>
        <w:tabs>
          <w:tab w:val="left" w:pos="1276" w:leader="none"/>
        </w:tabs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9–10 баллов – критерий полностью выполнен;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after="0" w:line="240" w:lineRule="auto"/>
        <w:tabs>
          <w:tab w:val="left" w:pos="1276" w:leader="none"/>
        </w:tabs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7–8 баллов – критерий скорее выполнен;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after="0" w:line="240" w:lineRule="auto"/>
        <w:tabs>
          <w:tab w:val="left" w:pos="1276" w:leader="none"/>
        </w:tabs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5–6 баллов – критерий частично выполнен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after="0" w:line="240" w:lineRule="auto"/>
        <w:tabs>
          <w:tab w:val="left" w:pos="1276" w:leader="none"/>
        </w:tabs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3–4 баллов – критерий скорее не выполнен;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after="0" w:line="240" w:lineRule="auto"/>
        <w:tabs>
          <w:tab w:val="left" w:pos="1276" w:leader="none"/>
        </w:tabs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1–2 баллов – критерий полностью не выполнен.</w:t>
      </w:r>
      <w:r>
        <w:rPr>
          <w:rFonts w:ascii="Times New Roman" w:hAnsi="Times New Roman" w:cs="Times New Roman"/>
        </w:rPr>
      </w:r>
      <w:r/>
    </w:p>
    <w:p>
      <w:pPr>
        <w:ind w:left="0" w:firstLine="709"/>
        <w:jc w:val="both"/>
        <w:spacing w:after="0" w:afterAutospacing="0" w:line="240" w:lineRule="auto"/>
        <w:tabs>
          <w:tab w:val="left" w:pos="1276" w:leader="none"/>
        </w:tabs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4.3. Результаты заносятся в итоговую таблицу по каждой номинации (приложение 4 к настоящему Положению), представляющую собой ранжированный список участников, расположенных по мере убывания набранных ими баллов.</w:t>
      </w:r>
      <w:r>
        <w:rPr>
          <w:rFonts w:ascii="Times New Roman" w:hAnsi="Times New Roman" w:cs="Times New Roman"/>
        </w:rPr>
      </w:r>
      <w:r/>
    </w:p>
    <w:p>
      <w:pPr>
        <w:jc w:val="both"/>
        <w:spacing w:after="0" w:line="240" w:lineRule="auto"/>
        <w:tabs>
          <w:tab w:val="left" w:pos="1276" w:leader="none"/>
        </w:tabs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1"/>
        </w:numPr>
        <w:ind w:left="0" w:firstLine="0"/>
        <w:jc w:val="center"/>
        <w:spacing w:after="0" w:afterAutospacing="0" w:line="240" w:lineRule="auto"/>
      </w:pPr>
      <w:r>
        <w:rPr>
          <w:rFonts w:ascii="Times New Roman" w:hAnsi="Times New Roman" w:cs="Times New Roman"/>
          <w:bCs/>
          <w:sz w:val="28"/>
          <w:szCs w:val="28"/>
        </w:rPr>
        <w:t xml:space="preserve">Определение победителей и подведение итогов Конкурса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after="0" w:line="240" w:lineRule="auto"/>
        <w:tabs>
          <w:tab w:val="left" w:pos="851" w:leader="none"/>
        </w:tabs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cs="Times New Roman"/>
        </w:rPr>
      </w:r>
      <w:r/>
    </w:p>
    <w:p>
      <w:pPr>
        <w:ind w:left="0" w:firstLine="709"/>
        <w:jc w:val="both"/>
        <w:spacing w:after="0" w:afterAutospacing="0" w:line="240" w:lineRule="auto"/>
        <w:tabs>
          <w:tab w:val="left" w:pos="1134" w:leader="none"/>
        </w:tabs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5.1. Победители определяются конкурсной комиссией по итогам экспертизы представленных материалов. 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after="0" w:afterAutospacing="0" w:line="240" w:lineRule="auto"/>
        <w:tabs>
          <w:tab w:val="left" w:pos="851" w:leader="none"/>
        </w:tabs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Конкурсная комиссия состоит из председателя, заместителя председателя, секретаря, членов комиссии. Состав и регламент работы конкурсной комиссии утверждается приказом Оператора Конкурса.</w:t>
      </w:r>
      <w:r>
        <w:rPr>
          <w:rFonts w:ascii="Times New Roman" w:hAnsi="Times New Roman" w:cs="Times New Roman"/>
        </w:rPr>
      </w:r>
      <w:r/>
    </w:p>
    <w:p>
      <w:pPr>
        <w:ind w:left="0" w:firstLine="709"/>
        <w:jc w:val="both"/>
        <w:spacing w:after="0" w:afterAutospacing="0" w:line="240" w:lineRule="auto"/>
        <w:tabs>
          <w:tab w:val="left" w:pos="851" w:leader="none"/>
        </w:tabs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5.2. Члены конкурсной комиссии не обязаны публично комментировать свои решения.</w:t>
      </w:r>
      <w:r>
        <w:rPr>
          <w:rFonts w:ascii="Times New Roman" w:hAnsi="Times New Roman" w:cs="Times New Roman"/>
        </w:rPr>
      </w:r>
      <w:r/>
    </w:p>
    <w:p>
      <w:pPr>
        <w:ind w:left="0" w:firstLine="709"/>
        <w:jc w:val="both"/>
        <w:spacing w:after="0" w:afterAutospacing="0" w:line="240" w:lineRule="auto"/>
        <w:tabs>
          <w:tab w:val="left" w:pos="851" w:leader="none"/>
        </w:tabs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5.3. В случае невозможности кого-либо из членов конкурсной комиссии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исполнения своих обязанностей в связи со сложившимися объективными обстоятельствами, он письменно уведомляет об этом факте председателя конкурсной комиссии.</w:t>
      </w:r>
      <w:r>
        <w:rPr>
          <w:rFonts w:ascii="Times New Roman" w:hAnsi="Times New Roman" w:cs="Times New Roman"/>
        </w:rPr>
      </w:r>
      <w:r/>
    </w:p>
    <w:p>
      <w:pPr>
        <w:ind w:left="0" w:firstLine="709"/>
        <w:jc w:val="both"/>
        <w:spacing w:after="0" w:afterAutospacing="0" w:line="240" w:lineRule="auto"/>
        <w:tabs>
          <w:tab w:val="left" w:pos="851" w:leader="none"/>
        </w:tabs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5.4. По каждой номинации Конкурса определяются победитель (1 место) и призеры (2 и 3 места).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after="0" w:afterAutospacing="0" w:line="240" w:lineRule="auto"/>
        <w:tabs>
          <w:tab w:val="left" w:pos="851" w:leader="none"/>
        </w:tabs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5.5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Конкурсная комиссия имеет право определить несколько победителей и призеров (в случае равного количества баллов).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after="0" w:afterAutospacing="0" w:line="240" w:lineRule="auto"/>
        <w:tabs>
          <w:tab w:val="left" w:pos="851" w:leader="none"/>
        </w:tabs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5.6.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Конкурсная комиссия оставляет за собой право присуждать другие номинации.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after="0" w:afterAutospacing="0" w:line="240" w:lineRule="auto"/>
        <w:tabs>
          <w:tab w:val="left" w:pos="851" w:leader="none"/>
        </w:tabs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5.7.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На основании решения конкурсной комиссии выстраивается рейтинг участников.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after="0" w:line="240" w:lineRule="auto"/>
        <w:tabs>
          <w:tab w:val="left" w:pos="851" w:leader="none"/>
        </w:tabs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5.8.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Решение конкурсной комиссии оформляется протоколом, который подписывается председателем и секретарем конкурсной комиссии.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after="0" w:line="240" w:lineRule="auto"/>
        <w:tabs>
          <w:tab w:val="left" w:pos="851" w:leader="none"/>
        </w:tabs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5.9.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Итоги Конкурса размещаются на сайте Организатора </w:t>
        <w:br/>
        <w:t xml:space="preserve">и Оператора Конкурса.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after="0" w:line="240" w:lineRule="auto"/>
        <w:tabs>
          <w:tab w:val="left" w:pos="851" w:leader="none"/>
        </w:tabs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5.10.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Победители и призеры Конкурса награждаются дипломами </w:t>
        <w:br/>
        <w:t xml:space="preserve">1, 2, 3 степеней, которые передаются в органы местного самоуправления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муниципальных образований автономного округа для награждения участников Конкурса.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after="0" w:line="240" w:lineRule="auto"/>
        <w:tabs>
          <w:tab w:val="left" w:pos="851" w:leader="none"/>
        </w:tabs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5.11.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Участникам, не занявшим призовые места, направляются свидетельства участников Конкурса в электронном виде </w:t>
      </w:r>
      <w:r>
        <w:rPr>
          <w:rFonts w:ascii="Times New Roman" w:hAnsi="Times New Roman" w:cs="Times New Roman"/>
          <w:sz w:val="28"/>
          <w:szCs w:val="28"/>
        </w:rPr>
        <w:t xml:space="preserve">на адрес электронный почты отправителя (участника)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/>
          <w:sz w:val="26"/>
          <w:szCs w:val="26"/>
          <w:lang w:eastAsia="ru-RU"/>
        </w:rPr>
        <w:br w:type="page" w:clear="all"/>
      </w:r>
      <w:r>
        <w:rPr>
          <w:rFonts w:ascii="Times New Roman" w:hAnsi="Times New Roman" w:cs="Times New Roman"/>
        </w:rPr>
      </w:r>
      <w:r/>
    </w:p>
    <w:p>
      <w:pPr>
        <w:jc w:val="right"/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Приложение 1 </w:t>
      </w:r>
      <w:r>
        <w:rPr>
          <w:sz w:val="28"/>
          <w:szCs w:val="28"/>
        </w:rPr>
      </w:r>
      <w:r/>
    </w:p>
    <w:p>
      <w:pPr>
        <w:jc w:val="right"/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к Положению о Конкурсе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/>
    </w:p>
    <w:p>
      <w:pPr>
        <w:jc w:val="center"/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b/>
          <w:sz w:val="26"/>
          <w:szCs w:val="26"/>
          <w:lang w:eastAsia="ru-RU"/>
        </w:rPr>
      </w:r>
      <w:r/>
    </w:p>
    <w:tbl>
      <w:tblPr>
        <w:tblStyle w:val="877"/>
        <w:tblW w:w="0" w:type="auto"/>
        <w:jc w:val="right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tblLook w:val="04A0" w:firstRow="1" w:lastRow="0" w:firstColumn="1" w:lastColumn="0" w:noHBand="0" w:noVBand="1"/>
      </w:tblPr>
      <w:tblGrid>
        <w:gridCol w:w="5073"/>
      </w:tblGrid>
      <w:tr>
        <w:trPr>
          <w:jc w:val="right"/>
        </w:trPr>
        <w:tc>
          <w:tcPr>
            <w:tcW w:w="5073" w:type="dxa"/>
            <w:textDirection w:val="lrTb"/>
            <w:noWrap w:val="false"/>
          </w:tcPr>
          <w:p>
            <w:pPr>
              <w:jc w:val="right"/>
              <w:spacing w:after="0" w:line="240" w:lineRule="auto"/>
              <w:tabs>
                <w:tab w:val="left" w:pos="2115" w:leader="none"/>
              </w:tabs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б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юджетное учреждение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br/>
              <w:t xml:space="preserve">Ханты-Мансийского автономного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br/>
              <w:t xml:space="preserve">округа – Югры «Ресурсный центр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br/>
              <w:t xml:space="preserve"> развития социального обслуживания»</w:t>
            </w:r>
            <w:r/>
          </w:p>
          <w:p>
            <w:pPr>
              <w:jc w:val="right"/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6"/>
                <w:szCs w:val="26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</w:tbl>
    <w:p>
      <w:pPr>
        <w:jc w:val="center"/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Заявка на участие в окружном конкурсе</w:t>
      </w:r>
      <w:r>
        <w:rPr>
          <w:sz w:val="28"/>
          <w:szCs w:val="28"/>
        </w:rPr>
      </w:r>
      <w:r/>
    </w:p>
    <w:p>
      <w:pPr>
        <w:jc w:val="center"/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«Семья – основа государства» в 202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5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 году</w:t>
      </w:r>
      <w:r>
        <w:rPr>
          <w:sz w:val="28"/>
          <w:szCs w:val="28"/>
        </w:rPr>
      </w:r>
      <w:r/>
    </w:p>
    <w:p>
      <w:pPr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caps/>
          <w:sz w:val="24"/>
          <w:szCs w:val="24"/>
          <w:lang w:eastAsia="ru-RU"/>
        </w:rPr>
        <w:t xml:space="preserve">Номинация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___________________________________________________________________________</w:t>
      </w:r>
      <w:r/>
    </w:p>
    <w:p>
      <w:pPr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sz w:val="24"/>
          <w:szCs w:val="24"/>
          <w:lang w:eastAsia="ru-RU"/>
        </w:rPr>
      </w:r>
      <w:r/>
    </w:p>
    <w:p>
      <w:pPr>
        <w:jc w:val="both"/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bCs/>
          <w:sz w:val="24"/>
          <w:szCs w:val="24"/>
          <w:lang w:eastAsia="ru-RU"/>
        </w:rPr>
        <w:t xml:space="preserve">1. Ф.И.О. участников конкурса </w:t>
      </w:r>
      <w:r>
        <w:rPr>
          <w:rFonts w:ascii="Times New Roman" w:hAnsi="Times New Roman" w:eastAsia="Times New Roman"/>
          <w:bCs/>
          <w:i/>
          <w:sz w:val="24"/>
          <w:szCs w:val="24"/>
          <w:lang w:eastAsia="ru-RU"/>
        </w:rPr>
        <w:t xml:space="preserve">(полностью)</w:t>
      </w:r>
      <w:r>
        <w:rPr>
          <w:rFonts w:ascii="Times New Roman" w:hAnsi="Times New Roman" w:eastAsia="Times New Roman"/>
          <w:bCs/>
          <w:i/>
          <w:sz w:val="24"/>
          <w:szCs w:val="24"/>
          <w:lang w:eastAsia="ru-RU"/>
        </w:rPr>
        <w:t xml:space="preserve">:</w:t>
      </w:r>
      <w:r/>
    </w:p>
    <w:p>
      <w:pPr>
        <w:jc w:val="both"/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bCs/>
          <w:sz w:val="24"/>
          <w:szCs w:val="24"/>
          <w:lang w:eastAsia="ru-RU"/>
        </w:rPr>
      </w:r>
      <w:r/>
    </w:p>
    <w:p>
      <w:pPr>
        <w:jc w:val="both"/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bCs/>
          <w:sz w:val="24"/>
          <w:szCs w:val="24"/>
          <w:lang w:eastAsia="ru-RU"/>
        </w:rPr>
        <w:t xml:space="preserve">Отец/законный представитель со стороны отца</w:t>
      </w:r>
      <w:r/>
    </w:p>
    <w:p>
      <w:pPr>
        <w:jc w:val="both"/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bCs/>
          <w:sz w:val="24"/>
          <w:szCs w:val="24"/>
          <w:lang w:eastAsia="ru-RU"/>
        </w:rPr>
        <w:t xml:space="preserve">___________________________________________________________________________</w:t>
      </w:r>
      <w:r/>
    </w:p>
    <w:p>
      <w:pPr>
        <w:jc w:val="both"/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bCs/>
          <w:sz w:val="24"/>
          <w:szCs w:val="24"/>
          <w:lang w:eastAsia="ru-RU"/>
        </w:rPr>
        <w:t xml:space="preserve">М</w:t>
      </w:r>
      <w:r>
        <w:rPr>
          <w:rFonts w:ascii="Times New Roman" w:hAnsi="Times New Roman" w:eastAsia="Times New Roman"/>
          <w:bCs/>
          <w:sz w:val="24"/>
          <w:szCs w:val="24"/>
          <w:lang w:eastAsia="ru-RU"/>
        </w:rPr>
        <w:t xml:space="preserve">ать/законный представитель со стороны матери</w:t>
      </w:r>
      <w:r/>
    </w:p>
    <w:p>
      <w:pPr>
        <w:jc w:val="both"/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bCs/>
          <w:sz w:val="24"/>
          <w:szCs w:val="24"/>
          <w:lang w:eastAsia="ru-RU"/>
        </w:rPr>
        <w:t xml:space="preserve">_________________________________________________________________________</w:t>
        <w:br/>
      </w:r>
      <w:r/>
    </w:p>
    <w:p>
      <w:pPr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bCs/>
          <w:sz w:val="24"/>
          <w:szCs w:val="24"/>
          <w:lang w:eastAsia="ru-RU"/>
        </w:rPr>
        <w:t xml:space="preserve">Дети (Ф.И.О.), количество полных лет</w:t>
      </w:r>
      <w:r>
        <w:rPr>
          <w:rFonts w:ascii="Times New Roman" w:hAnsi="Times New Roman" w:eastAsia="Times New Roman"/>
          <w:bCs/>
          <w:sz w:val="24"/>
          <w:szCs w:val="24"/>
          <w:lang w:eastAsia="ru-RU"/>
        </w:rPr>
        <w:br/>
        <w:t xml:space="preserve">_________________________________________________________________________</w:t>
      </w:r>
      <w:r>
        <w:rPr>
          <w:rFonts w:ascii="Times New Roman" w:hAnsi="Times New Roman" w:eastAsia="Times New Roman"/>
          <w:bCs/>
          <w:sz w:val="24"/>
          <w:szCs w:val="24"/>
          <w:lang w:eastAsia="ru-RU"/>
        </w:rPr>
        <w:t xml:space="preserve">__</w:t>
      </w:r>
      <w:r/>
    </w:p>
    <w:p>
      <w:pPr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bCs/>
          <w:sz w:val="24"/>
          <w:szCs w:val="24"/>
          <w:lang w:eastAsia="ru-RU"/>
        </w:rPr>
        <w:t xml:space="preserve">_________________________________________________________________________</w:t>
      </w:r>
      <w:r>
        <w:rPr>
          <w:rFonts w:ascii="Times New Roman" w:hAnsi="Times New Roman" w:eastAsia="Times New Roman"/>
          <w:bCs/>
          <w:sz w:val="24"/>
          <w:szCs w:val="24"/>
          <w:lang w:eastAsia="ru-RU"/>
        </w:rPr>
        <w:t xml:space="preserve">__</w:t>
      </w:r>
      <w:r/>
    </w:p>
    <w:p>
      <w:pPr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bCs/>
          <w:sz w:val="24"/>
          <w:szCs w:val="24"/>
          <w:lang w:eastAsia="ru-RU"/>
        </w:rPr>
      </w:r>
      <w:r/>
    </w:p>
    <w:p>
      <w:pPr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bCs/>
          <w:sz w:val="24"/>
          <w:szCs w:val="24"/>
          <w:lang w:eastAsia="ru-RU"/>
        </w:rPr>
        <w:t xml:space="preserve">2. Семейный стаж </w:t>
      </w:r>
      <w:r>
        <w:rPr>
          <w:rFonts w:ascii="Times New Roman" w:hAnsi="Times New Roman" w:eastAsia="Times New Roman"/>
          <w:bCs/>
          <w:i/>
          <w:sz w:val="24"/>
          <w:szCs w:val="24"/>
          <w:lang w:eastAsia="ru-RU"/>
        </w:rPr>
        <w:t xml:space="preserve">(дата регистрации брака, количество лет в браке)</w:t>
      </w:r>
      <w:r>
        <w:rPr>
          <w:rFonts w:ascii="Times New Roman" w:hAnsi="Times New Roman" w:eastAsia="Times New Roman"/>
          <w:bCs/>
          <w:sz w:val="24"/>
          <w:szCs w:val="24"/>
          <w:lang w:eastAsia="ru-RU"/>
        </w:rPr>
        <w:t xml:space="preserve">:</w:t>
      </w:r>
      <w:r/>
    </w:p>
    <w:p>
      <w:pPr>
        <w:jc w:val="both"/>
        <w:spacing w:after="0" w:line="240" w:lineRule="auto"/>
        <w:tabs>
          <w:tab w:val="left" w:pos="2115" w:leader="none"/>
        </w:tabs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bCs/>
          <w:sz w:val="24"/>
          <w:szCs w:val="24"/>
          <w:lang w:eastAsia="ru-RU"/>
        </w:rPr>
        <w:t xml:space="preserve">___________________________________________________________________________</w:t>
      </w:r>
      <w:r/>
    </w:p>
    <w:p>
      <w:pPr>
        <w:jc w:val="both"/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bCs/>
          <w:sz w:val="24"/>
          <w:szCs w:val="24"/>
          <w:lang w:eastAsia="ru-RU"/>
        </w:rPr>
        <w:t xml:space="preserve">3. Домашний </w:t>
      </w:r>
      <w:r>
        <w:rPr>
          <w:rFonts w:ascii="Times New Roman" w:hAnsi="Times New Roman" w:eastAsia="Times New Roman"/>
          <w:bCs/>
          <w:iCs/>
          <w:sz w:val="24"/>
          <w:szCs w:val="24"/>
          <w:lang w:eastAsia="ru-RU"/>
        </w:rPr>
        <w:t xml:space="preserve">почтовый </w:t>
      </w:r>
      <w:r>
        <w:rPr>
          <w:rFonts w:ascii="Times New Roman" w:hAnsi="Times New Roman" w:eastAsia="Times New Roman"/>
          <w:bCs/>
          <w:sz w:val="24"/>
          <w:szCs w:val="24"/>
          <w:lang w:eastAsia="ru-RU"/>
        </w:rPr>
        <w:t xml:space="preserve">адрес</w:t>
      </w:r>
      <w:r>
        <w:rPr>
          <w:rFonts w:ascii="Times New Roman" w:hAnsi="Times New Roman" w:eastAsia="Times New Roman"/>
          <w:bCs/>
          <w:i/>
          <w:sz w:val="24"/>
          <w:szCs w:val="24"/>
          <w:lang w:eastAsia="ru-RU"/>
        </w:rPr>
        <w:t xml:space="preserve">,</w:t>
      </w:r>
      <w:r>
        <w:rPr>
          <w:rFonts w:ascii="Times New Roman" w:hAnsi="Times New Roman" w:eastAsia="Times New Roman"/>
          <w:bCs/>
          <w:sz w:val="24"/>
          <w:szCs w:val="24"/>
          <w:lang w:eastAsia="ru-RU"/>
        </w:rPr>
        <w:t xml:space="preserve"> контактные телефоны, электронная почта </w:t>
      </w:r>
      <w:r>
        <w:rPr>
          <w:rFonts w:ascii="Times New Roman" w:hAnsi="Times New Roman" w:eastAsia="Times New Roman"/>
          <w:bCs/>
          <w:i/>
          <w:iCs/>
          <w:sz w:val="24"/>
          <w:szCs w:val="24"/>
          <w:lang w:eastAsia="ru-RU"/>
        </w:rPr>
        <w:t xml:space="preserve">(полностью, без сокращений):</w:t>
      </w:r>
      <w:r>
        <w:rPr>
          <w:rFonts w:ascii="Times New Roman" w:hAnsi="Times New Roman" w:eastAsia="Times New Roman"/>
          <w:bCs/>
          <w:sz w:val="24"/>
          <w:szCs w:val="24"/>
          <w:lang w:eastAsia="ru-RU"/>
        </w:rPr>
        <w:t xml:space="preserve"> </w:t>
      </w:r>
      <w:r/>
    </w:p>
    <w:p>
      <w:pPr>
        <w:jc w:val="both"/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__________________________________________________________________________________________________________________________________________________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____</w:t>
      </w:r>
      <w:r>
        <w:rPr>
          <w:u w:val="none"/>
        </w:rPr>
      </w:r>
      <w:r/>
    </w:p>
    <w:p>
      <w:pPr>
        <w:jc w:val="both"/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bCs/>
          <w:sz w:val="24"/>
          <w:szCs w:val="24"/>
          <w:lang w:eastAsia="ru-RU"/>
        </w:rPr>
        <w:t xml:space="preserve">К заявке прилагаются</w:t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bCs/>
          <w:i/>
          <w:sz w:val="24"/>
          <w:szCs w:val="24"/>
          <w:lang w:eastAsia="ru-RU"/>
        </w:rPr>
        <w:t xml:space="preserve">(перечислить прилагаемые материалы) </w:t>
      </w:r>
      <w:r>
        <w:rPr>
          <w:rFonts w:ascii="Times New Roman" w:hAnsi="Times New Roman" w:eastAsia="Times New Roman"/>
          <w:bCs/>
          <w:iCs/>
          <w:sz w:val="24"/>
          <w:szCs w:val="24"/>
          <w:lang w:eastAsia="ru-RU"/>
        </w:rPr>
        <w:t xml:space="preserve">и указать</w:t>
      </w:r>
      <w:r>
        <w:rPr>
          <w:rFonts w:ascii="Times New Roman" w:hAnsi="Times New Roman" w:eastAsia="Times New Roman"/>
          <w:bCs/>
          <w:i/>
          <w:sz w:val="24"/>
          <w:szCs w:val="24"/>
          <w:lang w:eastAsia="ru-RU"/>
        </w:rPr>
        <w:t xml:space="preserve"> ссылку на мультимедийную презентацию либо видеоролик (при желании), ссылку на дополнительные материалы (при наличии)</w:t>
      </w:r>
      <w:r>
        <w:rPr>
          <w:rFonts w:ascii="Times New Roman" w:hAnsi="Times New Roman" w:eastAsia="Times New Roman"/>
          <w:bCs/>
          <w:sz w:val="24"/>
          <w:szCs w:val="24"/>
          <w:lang w:eastAsia="ru-RU"/>
        </w:rPr>
        <w:t xml:space="preserve">:</w:t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 </w:t>
      </w:r>
      <w:r/>
    </w:p>
    <w:p>
      <w:pPr>
        <w:jc w:val="both"/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__________________________________________________________________________________________________________________________________________________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____</w:t>
      </w:r>
      <w:r/>
    </w:p>
    <w:p>
      <w:pPr>
        <w:jc w:val="both"/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i/>
          <w:iCs/>
          <w:sz w:val="24"/>
          <w:szCs w:val="24"/>
          <w:lang w:eastAsia="ru-RU"/>
        </w:rPr>
        <w:t xml:space="preserve">Дипломы и свидетельства участников Конкурса оформляются на ФИО заявителей</w:t>
      </w:r>
      <w:r/>
    </w:p>
    <w:p>
      <w:pPr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sz w:val="24"/>
          <w:szCs w:val="24"/>
          <w:lang w:eastAsia="ru-RU"/>
        </w:rPr>
      </w:r>
      <w:r/>
    </w:p>
    <w:p>
      <w:pPr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С условием конкурса ознакомлен(а), согласен(а) __________________________________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_______</w:t>
      </w:r>
      <w:r/>
    </w:p>
    <w:p>
      <w:pPr>
        <w:jc w:val="both"/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Номинант гарантирует полноту и достоверность сведений, указанных в настоящей заявке.</w:t>
      </w:r>
      <w:r/>
    </w:p>
    <w:p>
      <w:pPr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sz w:val="24"/>
          <w:szCs w:val="24"/>
          <w:lang w:eastAsia="ru-RU"/>
        </w:rPr>
      </w:r>
      <w:r/>
    </w:p>
    <w:tbl>
      <w:tblPr>
        <w:tblStyle w:val="726"/>
        <w:tblW w:w="9073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358"/>
        <w:gridCol w:w="1730"/>
        <w:gridCol w:w="1985"/>
      </w:tblGrid>
      <w:tr>
        <w:trPr/>
        <w:tc>
          <w:tcPr>
            <w:tcW w:w="5358" w:type="dxa"/>
            <w:textDirection w:val="lrTb"/>
            <w:noWrap w:val="false"/>
          </w:tcPr>
          <w:p>
            <w:pPr>
              <w:spacing w:after="0" w:line="240" w:lineRule="auto"/>
              <w:tabs>
                <w:tab w:val="left" w:pos="2115" w:leader="none"/>
              </w:tabs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 xml:space="preserve">Подписи супругов:</w:t>
            </w:r>
            <w:r/>
          </w:p>
          <w:p>
            <w:pPr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 w:eastAsia="Times New Roman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 xml:space="preserve">Мать/законный представитель </w:t>
            </w:r>
            <w:r>
              <w:rPr>
                <w:rFonts w:ascii="Times New Roman" w:hAnsi="Times New Roman" w:eastAsia="Times New Roman"/>
                <w:bCs/>
                <w:sz w:val="24"/>
                <w:szCs w:val="24"/>
              </w:rPr>
              <w:t xml:space="preserve">со стороны матери</w:t>
            </w:r>
            <w:r>
              <w:rPr>
                <w:rFonts w:ascii="Times New Roman" w:hAnsi="Times New Roman" w:eastAsia="Times New Roman"/>
              </w:rPr>
            </w:r>
            <w:r/>
          </w:p>
        </w:tc>
        <w:tc>
          <w:tcPr>
            <w:tcW w:w="1730" w:type="dxa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2115" w:leader="none"/>
              </w:tabs>
            </w:pPr>
            <w:r>
              <w:rPr>
                <w:rFonts w:ascii="Times New Roman" w:hAnsi="Times New Roman" w:eastAsia="Times New Roman"/>
              </w:rPr>
            </w:r>
            <w:r/>
          </w:p>
          <w:p>
            <w:pPr>
              <w:jc w:val="center"/>
              <w:spacing w:after="0" w:line="240" w:lineRule="auto"/>
              <w:tabs>
                <w:tab w:val="left" w:pos="2115" w:leader="none"/>
              </w:tabs>
            </w:pPr>
            <w:r>
              <w:rPr>
                <w:rFonts w:ascii="Times New Roman" w:hAnsi="Times New Roman" w:eastAsia="Times New Roman"/>
              </w:rPr>
              <w:t xml:space="preserve">____________</w:t>
            </w:r>
            <w:r/>
          </w:p>
          <w:p>
            <w:pPr>
              <w:jc w:val="center"/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 w:eastAsia="Times New Roman"/>
              </w:rPr>
            </w:pPr>
            <w:r>
              <w:rPr>
                <w:rFonts w:ascii="Times New Roman" w:hAnsi="Times New Roman" w:eastAsia="Times New Roman"/>
              </w:rPr>
              <w:t xml:space="preserve">(Ф.И.О.)</w:t>
            </w:r>
            <w:r>
              <w:rPr>
                <w:rFonts w:ascii="Times New Roman" w:hAnsi="Times New Roman" w:eastAsia="Times New Roman"/>
              </w:rPr>
            </w:r>
            <w:r/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2115" w:leader="none"/>
              </w:tabs>
            </w:pPr>
            <w:r>
              <w:rPr>
                <w:rFonts w:ascii="Times New Roman" w:hAnsi="Times New Roman" w:eastAsia="Times New Roman"/>
              </w:rPr>
            </w:r>
            <w:r/>
          </w:p>
          <w:p>
            <w:pPr>
              <w:jc w:val="center"/>
              <w:spacing w:after="0" w:line="240" w:lineRule="auto"/>
              <w:tabs>
                <w:tab w:val="left" w:pos="2115" w:leader="none"/>
              </w:tabs>
            </w:pPr>
            <w:r>
              <w:rPr>
                <w:rFonts w:ascii="Times New Roman" w:hAnsi="Times New Roman" w:eastAsia="Times New Roman"/>
              </w:rPr>
              <w:t xml:space="preserve">______________</w:t>
            </w:r>
            <w:r/>
          </w:p>
          <w:p>
            <w:pPr>
              <w:jc w:val="center"/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 w:eastAsia="Times New Roman"/>
              </w:rPr>
            </w:pPr>
            <w:r>
              <w:rPr>
                <w:rFonts w:ascii="Times New Roman" w:hAnsi="Times New Roman" w:eastAsia="Times New Roman"/>
              </w:rPr>
              <w:t xml:space="preserve">(подпись)</w:t>
            </w:r>
            <w:r>
              <w:rPr>
                <w:rFonts w:ascii="Times New Roman" w:hAnsi="Times New Roman" w:eastAsia="Times New Roman"/>
              </w:rPr>
            </w:r>
            <w:r/>
          </w:p>
        </w:tc>
      </w:tr>
      <w:tr>
        <w:trPr/>
        <w:tc>
          <w:tcPr>
            <w:tcW w:w="5358" w:type="dxa"/>
            <w:textDirection w:val="lrTb"/>
            <w:noWrap w:val="false"/>
          </w:tcPr>
          <w:p>
            <w:pPr>
              <w:spacing w:after="0" w:line="240" w:lineRule="auto"/>
              <w:tabs>
                <w:tab w:val="left" w:pos="2115" w:leader="none"/>
              </w:tabs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 xml:space="preserve">Отец/законный представитель </w:t>
            </w:r>
            <w:r>
              <w:rPr>
                <w:rFonts w:ascii="Times New Roman" w:hAnsi="Times New Roman" w:eastAsia="Times New Roman"/>
                <w:bCs/>
                <w:sz w:val="24"/>
                <w:szCs w:val="24"/>
              </w:rPr>
              <w:t xml:space="preserve">со стороны отца</w:t>
            </w:r>
            <w:r/>
          </w:p>
          <w:p>
            <w:pPr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 w:eastAsia="Times New Roman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/>
              </w:rPr>
            </w:r>
            <w:r/>
          </w:p>
        </w:tc>
        <w:tc>
          <w:tcPr>
            <w:tcW w:w="1730" w:type="dxa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2115" w:leader="none"/>
              </w:tabs>
            </w:pPr>
            <w:r>
              <w:rPr>
                <w:rFonts w:ascii="Times New Roman" w:hAnsi="Times New Roman" w:eastAsia="Times New Roman"/>
              </w:rPr>
            </w:r>
            <w:r/>
          </w:p>
          <w:p>
            <w:pPr>
              <w:jc w:val="center"/>
              <w:spacing w:after="0" w:line="240" w:lineRule="auto"/>
              <w:tabs>
                <w:tab w:val="left" w:pos="2115" w:leader="none"/>
              </w:tabs>
            </w:pPr>
            <w:r>
              <w:rPr>
                <w:rFonts w:ascii="Times New Roman" w:hAnsi="Times New Roman" w:eastAsia="Times New Roman"/>
              </w:rPr>
              <w:t xml:space="preserve">____________</w:t>
            </w:r>
            <w:r/>
          </w:p>
          <w:p>
            <w:pPr>
              <w:jc w:val="center"/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 w:eastAsia="Times New Roman"/>
              </w:rPr>
            </w:pPr>
            <w:r>
              <w:rPr>
                <w:rFonts w:ascii="Times New Roman" w:hAnsi="Times New Roman" w:eastAsia="Times New Roman"/>
              </w:rPr>
              <w:t xml:space="preserve">(Ф.И.О.)</w:t>
            </w:r>
            <w:r>
              <w:rPr>
                <w:rFonts w:ascii="Times New Roman" w:hAnsi="Times New Roman" w:eastAsia="Times New Roman"/>
              </w:rPr>
            </w:r>
            <w:r/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2115" w:leader="none"/>
              </w:tabs>
            </w:pPr>
            <w:r>
              <w:rPr>
                <w:rFonts w:ascii="Times New Roman" w:hAnsi="Times New Roman" w:eastAsia="Times New Roman"/>
              </w:rPr>
            </w:r>
            <w:r/>
          </w:p>
          <w:p>
            <w:pPr>
              <w:jc w:val="center"/>
              <w:spacing w:after="0" w:line="240" w:lineRule="auto"/>
              <w:tabs>
                <w:tab w:val="left" w:pos="2115" w:leader="none"/>
              </w:tabs>
            </w:pPr>
            <w:r>
              <w:rPr>
                <w:rFonts w:ascii="Times New Roman" w:hAnsi="Times New Roman" w:eastAsia="Times New Roman"/>
              </w:rPr>
              <w:t xml:space="preserve">______________</w:t>
            </w:r>
            <w:r/>
          </w:p>
          <w:p>
            <w:pPr>
              <w:jc w:val="center"/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 w:eastAsia="Times New Roman"/>
              </w:rPr>
            </w:pPr>
            <w:r>
              <w:rPr>
                <w:rFonts w:ascii="Times New Roman" w:hAnsi="Times New Roman" w:eastAsia="Times New Roman"/>
              </w:rPr>
              <w:t xml:space="preserve">(подпись)</w:t>
            </w:r>
            <w:r>
              <w:rPr>
                <w:rFonts w:ascii="Times New Roman" w:hAnsi="Times New Roman" w:eastAsia="Times New Roman"/>
              </w:rPr>
            </w:r>
            <w:r/>
          </w:p>
        </w:tc>
      </w:tr>
    </w:tbl>
    <w:p>
      <w:pPr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                                                                              </w:t>
      </w:r>
      <w:r/>
    </w:p>
    <w:p>
      <w:pPr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Дата: «_____» ____________ 20___ г.</w:t>
      </w:r>
      <w:r/>
    </w:p>
    <w:p>
      <w:pPr>
        <w:jc w:val="right"/>
        <w:spacing w:after="0" w:line="240" w:lineRule="auto"/>
        <w:tabs>
          <w:tab w:val="left" w:pos="2115" w:leader="none"/>
        </w:tabs>
        <w:rPr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/>
          <w:sz w:val="28"/>
          <w:szCs w:val="28"/>
          <w:highlight w:val="none"/>
          <w:lang w:eastAsia="ru-RU"/>
        </w:rPr>
      </w:r>
      <w:r/>
    </w:p>
    <w:p>
      <w:pPr>
        <w:jc w:val="right"/>
        <w:spacing w:after="0" w:line="240" w:lineRule="auto"/>
        <w:tabs>
          <w:tab w:val="left" w:pos="2115" w:leader="none"/>
        </w:tabs>
        <w:rPr>
          <w:rFonts w:ascii="Times New Roman" w:hAnsi="Times New Roman" w:eastAsia="Times New Roman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/>
          <w:sz w:val="28"/>
          <w:szCs w:val="28"/>
          <w:highlight w:val="none"/>
          <w:lang w:eastAsia="ru-RU"/>
        </w:rPr>
      </w:r>
      <w:r/>
    </w:p>
    <w:p>
      <w:pPr>
        <w:jc w:val="right"/>
        <w:spacing w:after="0" w:line="240" w:lineRule="auto"/>
        <w:tabs>
          <w:tab w:val="left" w:pos="2115" w:leader="none"/>
        </w:tabs>
        <w:rPr>
          <w:rFonts w:ascii="Times New Roman" w:hAnsi="Times New Roman" w:eastAsia="Times New Roman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/>
          <w:sz w:val="28"/>
          <w:szCs w:val="28"/>
          <w:highlight w:val="none"/>
          <w:lang w:eastAsia="ru-RU"/>
        </w:rPr>
      </w:r>
      <w:r/>
    </w:p>
    <w:p>
      <w:pPr>
        <w:jc w:val="right"/>
        <w:spacing w:after="0" w:line="240" w:lineRule="auto"/>
        <w:tabs>
          <w:tab w:val="left" w:pos="2115" w:leader="none"/>
        </w:tabs>
        <w:rPr>
          <w:rFonts w:ascii="Times New Roman" w:hAnsi="Times New Roman" w:eastAsia="Times New Roman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/>
          <w:sz w:val="28"/>
          <w:szCs w:val="28"/>
          <w:highlight w:val="none"/>
          <w:lang w:eastAsia="ru-RU"/>
        </w:rPr>
      </w:r>
      <w:r/>
    </w:p>
    <w:p>
      <w:pPr>
        <w:jc w:val="right"/>
        <w:spacing w:after="0" w:line="240" w:lineRule="auto"/>
        <w:tabs>
          <w:tab w:val="left" w:pos="2115" w:leader="none"/>
        </w:tabs>
        <w:rPr>
          <w:rFonts w:ascii="Times New Roman" w:hAnsi="Times New Roman" w:eastAsia="Times New Roman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Приложение 2</w:t>
      </w:r>
      <w:r>
        <w:rPr>
          <w:sz w:val="28"/>
          <w:szCs w:val="28"/>
        </w:rPr>
      </w:r>
      <w:r/>
    </w:p>
    <w:p>
      <w:pPr>
        <w:jc w:val="right"/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к Положению о Конкурсе </w:t>
      </w:r>
      <w:r>
        <w:rPr>
          <w:sz w:val="28"/>
          <w:szCs w:val="28"/>
        </w:rPr>
      </w:r>
      <w:r/>
    </w:p>
    <w:p>
      <w:pPr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sz w:val="26"/>
          <w:szCs w:val="26"/>
          <w:lang w:eastAsia="ru-RU"/>
        </w:rPr>
      </w:r>
      <w:r/>
    </w:p>
    <w:p>
      <w:pPr>
        <w:jc w:val="center"/>
        <w:spacing w:after="0" w:afterAutospacing="0" w:line="240" w:lineRule="auto"/>
        <w:tabs>
          <w:tab w:val="left" w:pos="2115" w:leader="none"/>
        </w:tabs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Требования к оформлению конкурсных материалов</w:t>
      </w:r>
      <w:r>
        <w:rPr>
          <w:rFonts w:ascii="Times New Roman" w:hAnsi="Times New Roman" w:cs="Times New Roman"/>
        </w:rPr>
      </w:r>
      <w:r/>
    </w:p>
    <w:p>
      <w:pPr>
        <w:jc w:val="center"/>
        <w:spacing w:after="0" w:afterAutospacing="0" w:line="240" w:lineRule="auto"/>
        <w:tabs>
          <w:tab w:val="left" w:pos="2115" w:leader="none"/>
        </w:tabs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3"/>
        </w:numPr>
        <w:ind w:left="0" w:firstLine="709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Конкурсная работа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after="0" w:afterAutospacing="0" w:line="240" w:lineRule="auto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Конкурсная работа является основным конкурсным документом для оценивания членами конкурсной комиссии, состоит из титульного ли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та </w:t>
        <w:br/>
        <w:t xml:space="preserve">и основной (содержательной) части. Основная (содержательная) часть конкурсной работы должна быть выстроена таким образом, чтобы эксперты (члены конкурсной комиссии) могли точно понять мысли, высказываемые автором в соответствии с заявленной номинацией.</w:t>
      </w:r>
      <w:r>
        <w:rPr>
          <w:rFonts w:ascii="Times New Roman" w:hAnsi="Times New Roman" w:cs="Times New Roman"/>
        </w:rPr>
      </w:r>
      <w:r/>
    </w:p>
    <w:p>
      <w:pPr>
        <w:ind w:firstLine="709"/>
        <w:jc w:val="both"/>
        <w:spacing w:after="0" w:afterAutospacing="0" w:line="240" w:lineRule="auto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Технические требования к оформлению конкурсной работы: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9"/>
        </w:numPr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формат документа –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Microsoft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Word</w:t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9"/>
        </w:numPr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общий объем – не более 8 страниц компьютерного текста;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9"/>
        </w:numPr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формат бумаги – А4;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9"/>
        </w:numPr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поля: левое – 2 см, правое – 1,5 см, верхнее и нижнее – 2 см;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9"/>
        </w:numPr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цвет текста – черный;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9"/>
        </w:numPr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шрифт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текста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– Times New Roman, </w:t>
      </w:r>
      <w:r>
        <w:rPr>
          <w:rFonts w:ascii="Times New Roman" w:hAnsi="Times New Roman" w:cs="Times New Roman"/>
          <w:sz w:val="28"/>
          <w:szCs w:val="28"/>
        </w:rPr>
        <w:t xml:space="preserve">кегль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– 14 </w:t>
      </w:r>
      <w:r>
        <w:rPr>
          <w:rFonts w:ascii="Times New Roman" w:hAnsi="Times New Roman" w:cs="Times New Roman"/>
          <w:sz w:val="28"/>
          <w:szCs w:val="28"/>
        </w:rPr>
        <w:t xml:space="preserve">пт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.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;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9"/>
        </w:numPr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выравнивание – по ширине; 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9"/>
        </w:numPr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междустрочный интервал – 1,5 пт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9"/>
        </w:numPr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абзацный отступ – 1,25 см;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9"/>
        </w:numPr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нумерация страниц – вверху, выравнивание по центру.</w:t>
      </w:r>
      <w:r>
        <w:rPr>
          <w:rFonts w:ascii="Times New Roman" w:hAnsi="Times New Roman" w:cs="Times New Roman"/>
        </w:rPr>
      </w:r>
      <w:r/>
    </w:p>
    <w:p>
      <w:pPr>
        <w:ind w:firstLine="708"/>
        <w:jc w:val="both"/>
        <w:spacing w:after="0" w:afterAutospacing="0" w:line="240" w:lineRule="auto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Титульный лист является первой страницей конкурсной работы, который включает: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10"/>
        </w:numPr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полное наименование Конкурса (окружной конкурс </w:t>
        <w:br/>
        <w:t xml:space="preserve">«Семья – основа государства» в 202</w:t>
      </w:r>
      <w:r>
        <w:rPr>
          <w:rFonts w:ascii="Times New Roman" w:hAnsi="Times New Roman" w:cs="Times New Roman"/>
          <w:sz w:val="28"/>
          <w:szCs w:val="28"/>
        </w:rPr>
        <w:t xml:space="preserve">5</w:t>
      </w:r>
      <w:r>
        <w:rPr>
          <w:rFonts w:ascii="Times New Roman" w:hAnsi="Times New Roman" w:cs="Times New Roman"/>
          <w:sz w:val="28"/>
          <w:szCs w:val="28"/>
        </w:rPr>
        <w:t xml:space="preserve"> году) располагается вверху </w:t>
        <w:br/>
        <w:t xml:space="preserve">по центру;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10"/>
        </w:numPr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наименование номинации располагается в правом верхнем углу;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10"/>
        </w:numPr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наименование конкурсной работы располагается по центру страницы;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10"/>
        </w:numPr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фамилия, имя, отчество членов семьи (полностью) располагаются ниже наименования работы справа;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10"/>
        </w:numPr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контактный телефон и адрес электронной почты конкурсанта располагаются ниже наименования работы слева;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10"/>
        </w:numPr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наименование населенного пункта, год располагаются внизу </w:t>
        <w:br/>
        <w:t xml:space="preserve">по центру в одну строку.</w:t>
      </w:r>
      <w:r>
        <w:rPr>
          <w:rFonts w:ascii="Times New Roman" w:hAnsi="Times New Roman" w:cs="Times New Roman"/>
        </w:rPr>
      </w:r>
      <w:r/>
    </w:p>
    <w:p>
      <w:pPr>
        <w:jc w:val="both"/>
        <w:spacing w:after="0" w:afterAutospacing="0" w:line="240" w:lineRule="auto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3"/>
        </w:numPr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Мультимедийная презентация либо видеоролик </w:t>
        <w:br/>
        <w:t xml:space="preserve">(при желании).</w:t>
      </w:r>
      <w:r>
        <w:rPr>
          <w:rFonts w:ascii="Times New Roman" w:hAnsi="Times New Roman" w:cs="Times New Roman"/>
        </w:rPr>
      </w:r>
      <w:r/>
    </w:p>
    <w:p>
      <w:pPr>
        <w:pStyle w:val="874"/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Мультимедийная презентация либо видеоролик являются дополнительным материалом к конкурсной работе, но их наличие приветствуется, так как сопровождение конкурсной работы наглядной </w:t>
      </w:r>
      <w:r>
        <w:rPr>
          <w:rFonts w:ascii="Times New Roman" w:hAnsi="Times New Roman" w:cs="Times New Roman"/>
          <w:sz w:val="28"/>
          <w:szCs w:val="28"/>
        </w:rPr>
        <w:t xml:space="preserve">иллюстрацией позволит кратко и убедительно отобразить ее содержание, результативность, наиболее интересные и значимые моменты, подтверждающие деятельность семьи в рамках заявленной номинации.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1"/>
          <w:numId w:val="3"/>
        </w:numPr>
        <w:ind w:left="0" w:firstLine="709"/>
        <w:jc w:val="both"/>
        <w:spacing w:after="0" w:afterAutospacing="0" w:line="240" w:lineRule="auto"/>
        <w:tabs>
          <w:tab w:val="left" w:pos="1276" w:leader="none"/>
        </w:tabs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Мул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ьт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имедийная презентация</w:t>
      </w:r>
      <w:r>
        <w:rPr>
          <w:rFonts w:ascii="Times New Roman" w:hAnsi="Times New Roman" w:cs="Times New Roman"/>
          <w:sz w:val="28"/>
          <w:szCs w:val="28"/>
        </w:rPr>
        <w:t xml:space="preserve"> представляет собой сочетание компьютерной анимации, графики, музыки, видео и звукового рядов, которые представляют единое целое. Как правило, мультимедийн</w:t>
      </w:r>
      <w:r>
        <w:rPr>
          <w:rFonts w:ascii="Times New Roman" w:hAnsi="Times New Roman" w:cs="Times New Roman"/>
          <w:sz w:val="28"/>
          <w:szCs w:val="28"/>
        </w:rPr>
        <w:t xml:space="preserve">ая</w:t>
      </w:r>
      <w:r>
        <w:rPr>
          <w:rFonts w:ascii="Times New Roman" w:hAnsi="Times New Roman" w:cs="Times New Roman"/>
          <w:sz w:val="28"/>
          <w:szCs w:val="28"/>
        </w:rPr>
        <w:t xml:space="preserve"> презентация имеет сюжет, сценарий и структуру удобную для восприятия информации.</w:t>
      </w:r>
      <w:r>
        <w:rPr>
          <w:rFonts w:ascii="Times New Roman" w:hAnsi="Times New Roman" w:cs="Times New Roman"/>
        </w:rPr>
      </w:r>
      <w:r/>
    </w:p>
    <w:p>
      <w:pPr>
        <w:pStyle w:val="874"/>
        <w:ind w:left="-11" w:firstLine="720"/>
        <w:jc w:val="both"/>
        <w:spacing w:after="0" w:afterAutospacing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Технические требования к оформлению мультимедийной презентации: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4"/>
        </w:numPr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общий состав – не более 8 слайдов;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4"/>
        </w:numPr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формат документа –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Microsoft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Power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Point</w:t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4"/>
        </w:numPr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расположение информации на слайде – горизонтально;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4"/>
        </w:numPr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поля: левое – 2 см, правое – 1,5 см, верхнее и нижнее – 2 см;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4"/>
        </w:numPr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шрифт текста –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Arial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Verdana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4"/>
        </w:numPr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кегль для заголовков – не менее 24 пт.;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4"/>
        </w:numPr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кегль для основного текста – не менее 18 пт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4"/>
        </w:numPr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выравнивание текста – по ширине; 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4"/>
        </w:numPr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междустрочный интервал – 1,5 пт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4"/>
        </w:numPr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абзацный отступ – 1,25 см.</w:t>
      </w:r>
      <w:r>
        <w:rPr>
          <w:rFonts w:ascii="Times New Roman" w:hAnsi="Times New Roman" w:cs="Times New Roman"/>
        </w:rPr>
      </w:r>
      <w:r/>
    </w:p>
    <w:p>
      <w:pPr>
        <w:pStyle w:val="874"/>
        <w:ind w:left="-11" w:firstLine="720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Общие требования к оформлению мультимедийной презентации: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5"/>
        </w:numPr>
        <w:ind w:left="-11" w:firstLine="720"/>
        <w:jc w:val="both"/>
        <w:spacing w:after="0" w:afterAutospacing="0" w:line="240" w:lineRule="auto"/>
        <w:tabs>
          <w:tab w:val="left" w:pos="426" w:leader="none"/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содержание титульного листа презентации (слайд № 1): полное наименование Конкурса (вверху по центру)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  <w:r>
        <w:rPr>
          <w:rFonts w:ascii="Times New Roman" w:hAnsi="Times New Roman" w:cs="Times New Roman"/>
          <w:sz w:val="28"/>
          <w:szCs w:val="28"/>
        </w:rPr>
        <w:t xml:space="preserve">наименование номинации </w:t>
        <w:br/>
        <w:t xml:space="preserve">(в правом верхнем углу); наименование конкурсной работы (по центру страницы); фамилия, имя, отчество членов семьи (полностью) </w:t>
        <w:br/>
        <w:t xml:space="preserve">(ниже наименования работы справа); наименование населенного пункта, год (внизу по центру в одну строчку);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5"/>
        </w:numPr>
        <w:ind w:left="-11" w:firstLine="720"/>
        <w:jc w:val="both"/>
        <w:spacing w:after="0" w:afterAutospacing="0" w:line="240" w:lineRule="auto"/>
        <w:tabs>
          <w:tab w:val="left" w:pos="426" w:leader="none"/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единый стиль при оформлении всех слайдов (одинаковый тип шрифта, сходная цветовая гамма). Для решения фоновой задачи предпочтительно использовать холодные тона;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5"/>
        </w:numPr>
        <w:ind w:left="-11" w:firstLine="720"/>
        <w:jc w:val="both"/>
        <w:spacing w:after="0" w:afterAutospacing="0" w:line="240" w:lineRule="auto"/>
        <w:tabs>
          <w:tab w:val="left" w:pos="426" w:leader="none"/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оптимальный объем информации для восприятия каждого слайда и презентации в целом;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5"/>
        </w:numPr>
        <w:ind w:left="-11" w:firstLine="720"/>
        <w:jc w:val="both"/>
        <w:spacing w:after="0" w:afterAutospacing="0" w:line="240" w:lineRule="auto"/>
        <w:tabs>
          <w:tab w:val="left" w:pos="426" w:leader="none"/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расположение наиболее важной информации в центре слайда;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5"/>
        </w:numPr>
        <w:ind w:left="-11" w:firstLine="720"/>
        <w:jc w:val="both"/>
        <w:spacing w:after="0" w:afterAutospacing="0" w:line="240" w:lineRule="auto"/>
        <w:tabs>
          <w:tab w:val="left" w:pos="426" w:leader="none"/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предоставление информации в различном виде </w:t>
        <w:br/>
        <w:t xml:space="preserve">(текст, фотографии, рисунки и т.д.), не рекомендуется заполнять один слайд слишком большим объ</w:t>
      </w:r>
      <w:r>
        <w:rPr>
          <w:rFonts w:ascii="Times New Roman" w:hAnsi="Times New Roman" w:cs="Times New Roman"/>
          <w:sz w:val="28"/>
          <w:szCs w:val="28"/>
        </w:rPr>
        <w:t xml:space="preserve">е</w:t>
      </w:r>
      <w:r>
        <w:rPr>
          <w:rFonts w:ascii="Times New Roman" w:hAnsi="Times New Roman" w:cs="Times New Roman"/>
          <w:sz w:val="28"/>
          <w:szCs w:val="28"/>
        </w:rPr>
        <w:t xml:space="preserve">мом текстовой информации; 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5"/>
        </w:numPr>
        <w:ind w:left="-11" w:firstLine="720"/>
        <w:jc w:val="both"/>
        <w:spacing w:after="0" w:afterAutospacing="0" w:line="240" w:lineRule="auto"/>
        <w:tabs>
          <w:tab w:val="left" w:pos="426" w:leader="none"/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расположение подписи к иллюстрациям под ними;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5"/>
        </w:numPr>
        <w:ind w:left="-11" w:firstLine="720"/>
        <w:jc w:val="both"/>
        <w:spacing w:after="0" w:afterAutospacing="0" w:line="240" w:lineRule="auto"/>
        <w:tabs>
          <w:tab w:val="left" w:pos="426" w:leader="none"/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соблюдение общепринятых правил орфографии, пунктуации, сокращений и правил оформления текста.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1"/>
          <w:numId w:val="3"/>
        </w:numPr>
        <w:ind w:left="0" w:firstLine="709"/>
        <w:jc w:val="both"/>
        <w:spacing w:after="0" w:afterAutospacing="0" w:line="240" w:lineRule="auto"/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Видеоролик</w:t>
      </w:r>
      <w:r>
        <w:rPr>
          <w:rFonts w:ascii="Times New Roman" w:hAnsi="Times New Roman" w:cs="Times New Roman"/>
          <w:sz w:val="28"/>
          <w:szCs w:val="28"/>
        </w:rPr>
        <w:t xml:space="preserve"> – это непродолжительная по времени художественно составленная последовательность кадров.</w:t>
      </w:r>
      <w:r>
        <w:rPr>
          <w:rFonts w:ascii="Times New Roman" w:hAnsi="Times New Roman" w:cs="Times New Roman"/>
        </w:rPr>
      </w:r>
      <w:r/>
    </w:p>
    <w:p>
      <w:pPr>
        <w:pStyle w:val="874"/>
        <w:ind w:left="0" w:firstLine="709"/>
        <w:jc w:val="both"/>
        <w:spacing w:after="0" w:afterAutospacing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Содержание видеороликов не должно противоречить законодательству Российской Федерации. Не принимаются ролики </w:t>
      </w:r>
      <w:r>
        <w:rPr>
          <w:rFonts w:ascii="Times New Roman" w:hAnsi="Times New Roman" w:cs="Times New Roman"/>
          <w:sz w:val="28"/>
          <w:szCs w:val="28"/>
        </w:rPr>
        <w:t xml:space="preserve">рекламного характера, оскорбляющие достоинства и чувства других людей, не отражающие тематику Конкурса.</w:t>
      </w:r>
      <w:r>
        <w:rPr>
          <w:rFonts w:ascii="Times New Roman" w:hAnsi="Times New Roman" w:cs="Times New Roman"/>
        </w:rPr>
      </w:r>
      <w:r/>
    </w:p>
    <w:p>
      <w:pPr>
        <w:pStyle w:val="874"/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Требования к оформлению видеоролика: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7"/>
        </w:numPr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продолжительность – не более 3 минут;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7"/>
        </w:numPr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форматы: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MP</w:t>
      </w:r>
      <w:r>
        <w:rPr>
          <w:rFonts w:ascii="Times New Roman" w:hAnsi="Times New Roman" w:cs="Times New Roman"/>
          <w:sz w:val="28"/>
          <w:szCs w:val="28"/>
        </w:rPr>
        <w:t xml:space="preserve">4,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MPG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AVI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MKV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WMV</w:t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7"/>
        </w:numPr>
        <w:ind w:left="0" w:firstLine="709"/>
        <w:jc w:val="both"/>
        <w:spacing w:after="0" w:afterAutospacing="0" w:line="240" w:lineRule="auto"/>
        <w:tabs>
          <w:tab w:val="left" w:pos="532" w:leader="none"/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качество не ниже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HD</w:t>
      </w:r>
      <w:r>
        <w:rPr>
          <w:rFonts w:ascii="Times New Roman" w:hAnsi="Times New Roman" w:cs="Times New Roman"/>
          <w:sz w:val="28"/>
          <w:szCs w:val="28"/>
        </w:rPr>
        <w:t xml:space="preserve"> (1280 х 720), рекомендуется формат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FuIIHD</w:t>
      </w:r>
      <w:r>
        <w:rPr>
          <w:rFonts w:ascii="Times New Roman" w:hAnsi="Times New Roman" w:cs="Times New Roman"/>
          <w:sz w:val="28"/>
          <w:szCs w:val="28"/>
        </w:rPr>
        <w:t xml:space="preserve"> (1920 х 1080), допускается выше;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7"/>
        </w:numPr>
        <w:ind w:left="0" w:firstLine="709"/>
        <w:jc w:val="both"/>
        <w:spacing w:after="0" w:afterAutospacing="0" w:line="240" w:lineRule="auto"/>
        <w:tabs>
          <w:tab w:val="left" w:pos="350" w:leader="none"/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обязательное присутствие в кадре в течение всего видеоролика семьи-участника Конкурса;</w:t>
      </w:r>
      <w:r>
        <w:rPr>
          <w:rFonts w:ascii="Times New Roman" w:hAnsi="Times New Roman" w:cs="Times New Roman"/>
        </w:rPr>
      </w:r>
      <w:r/>
    </w:p>
    <w:p>
      <w:pPr>
        <w:pStyle w:val="874"/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 5) соответствие подборки кадровой тематики заявленной номинации;</w:t>
      </w:r>
      <w:r>
        <w:rPr>
          <w:rFonts w:ascii="Times New Roman" w:hAnsi="Times New Roman" w:cs="Times New Roman"/>
        </w:rPr>
      </w:r>
      <w:r/>
    </w:p>
    <w:p>
      <w:pPr>
        <w:pStyle w:val="874"/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использование при монтаже и съемке видеоролика специальных программ и инструментов – на усмотрение участника;</w:t>
      </w:r>
      <w:r>
        <w:rPr>
          <w:rFonts w:ascii="Times New Roman" w:hAnsi="Times New Roman" w:cs="Times New Roman"/>
        </w:rPr>
      </w:r>
      <w:r/>
    </w:p>
    <w:p>
      <w:pPr>
        <w:pStyle w:val="874"/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6) определение стиля видеоролика – на усмотрение участника;</w:t>
      </w:r>
      <w:r>
        <w:rPr>
          <w:rFonts w:ascii="Times New Roman" w:hAnsi="Times New Roman" w:cs="Times New Roman"/>
        </w:rPr>
      </w:r>
      <w:r/>
    </w:p>
    <w:p>
      <w:pPr>
        <w:pStyle w:val="874"/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7) предоставление видеоролика посредством направления ссылки для скачивания видеофайла, размещенного в облачном хранилище (Яндекс. Диск, Облако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Mail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Ru</w:t>
      </w:r>
      <w:r>
        <w:rPr>
          <w:rFonts w:ascii="Times New Roman" w:hAnsi="Times New Roman" w:cs="Times New Roman"/>
          <w:sz w:val="28"/>
          <w:szCs w:val="28"/>
        </w:rPr>
        <w:t xml:space="preserve"> и др.). Ссылку на конкурсные материалы необходимо указать в заявке.</w:t>
      </w:r>
      <w:r>
        <w:rPr>
          <w:rFonts w:ascii="Times New Roman" w:hAnsi="Times New Roman" w:cs="Times New Roman"/>
        </w:rPr>
      </w:r>
      <w:r/>
    </w:p>
    <w:p>
      <w:pPr>
        <w:pStyle w:val="874"/>
        <w:ind w:left="1069"/>
        <w:jc w:val="both"/>
        <w:spacing w:after="0" w:afterAutospacing="0" w:line="240" w:lineRule="auto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3"/>
        </w:numPr>
        <w:ind w:left="0" w:firstLine="709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Дополнительные материалы (при наличии)</w:t>
      </w:r>
      <w:r>
        <w:rPr>
          <w:rFonts w:ascii="Times New Roman" w:hAnsi="Times New Roman" w:cs="Times New Roman"/>
        </w:rPr>
      </w:r>
      <w:r/>
    </w:p>
    <w:p>
      <w:pPr>
        <w:pStyle w:val="874"/>
        <w:ind w:left="142" w:firstLine="567"/>
        <w:jc w:val="both"/>
        <w:spacing w:after="0" w:afterAutospacing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Дополнительные материалы к конкурсной работе могут быть представлены скан-копиями документов, фотоматериал</w:t>
      </w:r>
      <w:r>
        <w:rPr>
          <w:rFonts w:ascii="Times New Roman" w:hAnsi="Times New Roman" w:cs="Times New Roman"/>
          <w:sz w:val="28"/>
          <w:szCs w:val="28"/>
        </w:rPr>
        <w:t xml:space="preserve">а</w:t>
      </w:r>
      <w:r>
        <w:rPr>
          <w:rFonts w:ascii="Times New Roman" w:hAnsi="Times New Roman" w:cs="Times New Roman"/>
          <w:sz w:val="28"/>
          <w:szCs w:val="28"/>
        </w:rPr>
        <w:t xml:space="preserve">ми в формате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JPG</w:t>
      </w:r>
      <w:r>
        <w:rPr>
          <w:rFonts w:ascii="Times New Roman" w:hAnsi="Times New Roman" w:cs="Times New Roman"/>
          <w:sz w:val="28"/>
          <w:szCs w:val="28"/>
        </w:rPr>
        <w:t xml:space="preserve">, статьями в СМИ, скан-копиями благодарностей, грамот и т.д., подтверждающих активность, успешность и результативность деятельности участника Конкурса в выбранной номинации.</w:t>
      </w:r>
      <w:r>
        <w:rPr>
          <w:rFonts w:ascii="Times New Roman" w:hAnsi="Times New Roman" w:cs="Times New Roman"/>
        </w:rPr>
      </w:r>
      <w:r/>
    </w:p>
    <w:p>
      <w:pPr>
        <w:pStyle w:val="874"/>
        <w:ind w:left="142" w:firstLine="567"/>
        <w:jc w:val="both"/>
        <w:spacing w:after="0" w:afterAutospacing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Требования к оформлению дополнительных материалов: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6"/>
        </w:numPr>
        <w:ind w:left="142" w:firstLine="567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все дополнительные материалы распределяются в группы </w:t>
        <w:br/>
        <w:t xml:space="preserve">по содержанию: видеосюжеты, фотографии, благодарности, публикации </w:t>
        <w:br/>
        <w:t xml:space="preserve">в СМИ и т.д., оформляются отдельной папкой «Дополнительные материалы», которая размещается в облачном хранилище (Яндекс. Диск, Облако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Mail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Ru</w:t>
      </w:r>
      <w:r>
        <w:rPr>
          <w:rFonts w:ascii="Times New Roman" w:hAnsi="Times New Roman" w:cs="Times New Roman"/>
          <w:sz w:val="28"/>
          <w:szCs w:val="28"/>
        </w:rPr>
        <w:t xml:space="preserve"> и др.).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6"/>
        </w:numPr>
        <w:ind w:left="142" w:firstLine="567"/>
        <w:jc w:val="both"/>
        <w:spacing w:after="0" w:afterAutospacing="0" w:line="240" w:lineRule="auto"/>
        <w:tabs>
          <w:tab w:val="left" w:pos="1162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предоставление дополнительных материалов осуществляется посредством направления ссылки для скачивания материалов. Ссылка указывается в заявке.</w:t>
      </w:r>
      <w:r>
        <w:rPr>
          <w:rFonts w:ascii="Times New Roman" w:hAnsi="Times New Roman" w:cs="Times New Roman"/>
        </w:rPr>
      </w:r>
      <w:r/>
    </w:p>
    <w:p>
      <w:pPr>
        <w:pStyle w:val="874"/>
        <w:numPr>
          <w:ilvl w:val="0"/>
          <w:numId w:val="6"/>
        </w:numPr>
        <w:ind w:left="142" w:firstLine="567"/>
        <w:jc w:val="both"/>
        <w:spacing w:after="0" w:afterAutospacing="0" w:line="240" w:lineRule="auto"/>
        <w:tabs>
          <w:tab w:val="left" w:pos="1134" w:leader="none"/>
        </w:tabs>
      </w:pPr>
      <w:r>
        <w:rPr>
          <w:rFonts w:ascii="Times New Roman" w:hAnsi="Times New Roman" w:cs="Times New Roman"/>
          <w:sz w:val="28"/>
          <w:szCs w:val="28"/>
        </w:rPr>
        <w:t xml:space="preserve">При желании можно создать для каждой группы дополнительных материалов отдельную активную интернет-ссылку для просмотра посредством использования облачных хранилищ (Яндекс. Диск, Облако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Mail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Ru</w:t>
      </w:r>
      <w:r>
        <w:rPr>
          <w:rFonts w:ascii="Times New Roman" w:hAnsi="Times New Roman" w:cs="Times New Roman"/>
          <w:sz w:val="28"/>
          <w:szCs w:val="28"/>
        </w:rPr>
        <w:t xml:space="preserve"> и др.).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Ссылки оформляются в один документ и располагаются под соответствующими заголовками.</w:t>
      </w:r>
      <w:r>
        <w:rPr>
          <w:rFonts w:ascii="Times New Roman" w:hAnsi="Times New Roman" w:cs="Times New Roman"/>
        </w:rPr>
      </w:r>
      <w:r/>
    </w:p>
    <w:p>
      <w:pPr>
        <w:jc w:val="right"/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sz w:val="26"/>
          <w:szCs w:val="26"/>
          <w:lang w:eastAsia="ru-RU"/>
        </w:rPr>
        <w:br w:type="page" w:clear="all"/>
      </w:r>
      <w:r/>
    </w:p>
    <w:p>
      <w:pPr>
        <w:jc w:val="right"/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Приложение 3</w:t>
      </w:r>
      <w:r>
        <w:rPr>
          <w:sz w:val="28"/>
          <w:szCs w:val="28"/>
        </w:rPr>
      </w:r>
      <w:r/>
    </w:p>
    <w:p>
      <w:pPr>
        <w:jc w:val="right"/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к Положению о Конкурсе</w:t>
      </w:r>
      <w:r>
        <w:rPr>
          <w:rFonts w:ascii="Times New Roman" w:hAnsi="Times New Roman" w:eastAsia="Times New Roman"/>
          <w:sz w:val="26"/>
          <w:szCs w:val="26"/>
          <w:lang w:eastAsia="ru-RU"/>
        </w:rPr>
        <w:t xml:space="preserve"> </w:t>
      </w:r>
      <w:r/>
    </w:p>
    <w:p>
      <w:pPr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/>
    </w:p>
    <w:p>
      <w:pPr>
        <w:jc w:val="center"/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КРИТЕРИИ ОЦЕНКИ КОНКУРСНЫХ РАБОТ </w:t>
      </w:r>
      <w:r>
        <w:rPr>
          <w:sz w:val="28"/>
          <w:szCs w:val="28"/>
        </w:rPr>
      </w:r>
      <w:r/>
    </w:p>
    <w:p>
      <w:pPr>
        <w:jc w:val="center"/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к конкурсу «Семья – основа государства» в 202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5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году</w:t>
      </w:r>
      <w:r>
        <w:rPr>
          <w:sz w:val="28"/>
          <w:szCs w:val="28"/>
        </w:rPr>
      </w:r>
      <w:r/>
    </w:p>
    <w:p>
      <w:pPr>
        <w:jc w:val="center"/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</w:r>
      <w:r>
        <w:rPr>
          <w:sz w:val="28"/>
          <w:szCs w:val="28"/>
        </w:rPr>
      </w:r>
      <w:r/>
    </w:p>
    <w:p>
      <w:pPr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Оценка по каждому критерию производится по следующей шкале:</w:t>
      </w:r>
      <w:r>
        <w:rPr>
          <w:sz w:val="28"/>
          <w:szCs w:val="28"/>
        </w:rPr>
      </w:r>
      <w:r/>
    </w:p>
    <w:p>
      <w:pPr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9–10 баллов – критерий полностью выполнен;</w:t>
      </w:r>
      <w:r>
        <w:rPr>
          <w:sz w:val="28"/>
          <w:szCs w:val="28"/>
        </w:rPr>
      </w:r>
      <w:r/>
    </w:p>
    <w:p>
      <w:pPr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7–8 баллов – критерий скорее выполнен;</w:t>
      </w:r>
      <w:r>
        <w:rPr>
          <w:sz w:val="28"/>
          <w:szCs w:val="28"/>
        </w:rPr>
      </w:r>
      <w:r/>
    </w:p>
    <w:p>
      <w:pPr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5–6 баллов – критерий частично выполнен</w:t>
      </w:r>
      <w:r>
        <w:rPr>
          <w:sz w:val="28"/>
          <w:szCs w:val="28"/>
        </w:rPr>
      </w:r>
      <w:r/>
    </w:p>
    <w:p>
      <w:pPr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3–4 баллов – критерий скорее не выполнен;</w:t>
      </w:r>
      <w:r>
        <w:rPr>
          <w:sz w:val="28"/>
          <w:szCs w:val="28"/>
        </w:rPr>
      </w:r>
      <w:r/>
    </w:p>
    <w:p>
      <w:pPr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1–2 баллов – критерий полностью не выполнен.</w:t>
      </w:r>
      <w:r>
        <w:rPr>
          <w:sz w:val="28"/>
          <w:szCs w:val="28"/>
        </w:rPr>
      </w:r>
      <w:r/>
    </w:p>
    <w:p>
      <w:pPr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/>
    </w:p>
    <w:tbl>
      <w:tblPr>
        <w:tblStyle w:val="877"/>
        <w:tblW w:w="9179" w:type="dxa"/>
        <w:tblLayout w:type="fixed"/>
        <w:tblLook w:val="04A0" w:firstRow="1" w:lastRow="0" w:firstColumn="1" w:lastColumn="0" w:noHBand="0" w:noVBand="1"/>
      </w:tblPr>
      <w:tblGrid>
        <w:gridCol w:w="704"/>
        <w:gridCol w:w="2381"/>
        <w:gridCol w:w="4393"/>
        <w:gridCol w:w="1701"/>
      </w:tblGrid>
      <w:tr>
        <w:trPr/>
        <w:tc>
          <w:tcPr>
            <w:shd w:val="clear" w:color="ffffff" w:fill="ffffff"/>
            <w:tcW w:w="70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№ п/п</w:t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shd w:val="clear" w:color="ffffff" w:fill="ffffff"/>
            <w:tcW w:w="238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Критерии</w:t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shd w:val="clear" w:color="ffffff" w:fill="ffffff"/>
            <w:tcW w:w="43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Описание</w:t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shd w:val="clear" w:color="ffffff" w:fill="ffffff"/>
            <w:tcW w:w="170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Количество баллов</w:t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</w:tr>
      <w:tr>
        <w:trPr/>
        <w:tc>
          <w:tcPr>
            <w:tcW w:w="704" w:type="dxa"/>
            <w:textDirection w:val="lrTb"/>
            <w:noWrap w:val="false"/>
          </w:tcPr>
          <w:p>
            <w:pPr>
              <w:numPr>
                <w:ilvl w:val="0"/>
                <w:numId w:val="2"/>
              </w:numPr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tcW w:w="2381" w:type="dxa"/>
            <w:textDirection w:val="lrTb"/>
            <w:noWrap w:val="false"/>
          </w:tcPr>
          <w:p>
            <w:pPr>
              <w:spacing w:after="0" w:line="240" w:lineRule="auto"/>
              <w:tabs>
                <w:tab w:val="left" w:pos="2502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Соответствие заявленной номинации</w:t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tcW w:w="4393" w:type="dxa"/>
            <w:textDirection w:val="lrTb"/>
            <w:noWrap w:val="false"/>
          </w:tcPr>
          <w:p>
            <w:pPr>
              <w:jc w:val="both"/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Содержание конкурсной работы соответствует тематике выбранной номинации</w:t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tcW w:w="1701" w:type="dxa"/>
            <w:textDirection w:val="lrTb"/>
            <w:noWrap w:val="false"/>
          </w:tcPr>
          <w:p>
            <w:pPr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</w:tr>
      <w:tr>
        <w:trPr/>
        <w:tc>
          <w:tcPr>
            <w:tcW w:w="704" w:type="dxa"/>
            <w:textDirection w:val="lrTb"/>
            <w:noWrap w:val="false"/>
          </w:tcPr>
          <w:p>
            <w:pPr>
              <w:numPr>
                <w:ilvl w:val="0"/>
                <w:numId w:val="2"/>
              </w:numPr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tcW w:w="2381" w:type="dxa"/>
            <w:textDirection w:val="lrTb"/>
            <w:noWrap w:val="false"/>
          </w:tcPr>
          <w:p>
            <w:pPr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Внутренняя согласованность представленной конкурсной работы</w:t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tcW w:w="4393" w:type="dxa"/>
            <w:textDirection w:val="lrTb"/>
            <w:noWrap w:val="false"/>
          </w:tcPr>
          <w:p>
            <w:pPr>
              <w:jc w:val="both"/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Цельность, логичность и соразмерность композиции конкурсной работы, соотнесенность ее к содержанию работы, богатство лексики, разнообразие синтаксических конструкций. Уместное и грамотное употребление цитат, афоризмов, пословиц</w:t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tcW w:w="1701" w:type="dxa"/>
            <w:textDirection w:val="lrTb"/>
            <w:noWrap w:val="false"/>
          </w:tcPr>
          <w:p>
            <w:pPr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</w:tr>
      <w:tr>
        <w:trPr/>
        <w:tc>
          <w:tcPr>
            <w:tcW w:w="704" w:type="dxa"/>
            <w:textDirection w:val="lrTb"/>
            <w:noWrap w:val="false"/>
          </w:tcPr>
          <w:p>
            <w:pPr>
              <w:numPr>
                <w:ilvl w:val="0"/>
                <w:numId w:val="2"/>
              </w:numPr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tcW w:w="2381" w:type="dxa"/>
            <w:textDirection w:val="lrTb"/>
            <w:noWrap w:val="false"/>
          </w:tcPr>
          <w:p>
            <w:pPr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Оригинальность авторской концепции</w:t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tcW w:w="4393" w:type="dxa"/>
            <w:textDirection w:val="lrTb"/>
            <w:noWrap w:val="false"/>
          </w:tcPr>
          <w:p>
            <w:pPr>
              <w:jc w:val="both"/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Новизна, самостоятельность, интересные и/или дискуссионные подходы</w:t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tcW w:w="1701" w:type="dxa"/>
            <w:textDirection w:val="lrTb"/>
            <w:noWrap w:val="false"/>
          </w:tcPr>
          <w:p>
            <w:pPr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</w:tr>
      <w:tr>
        <w:trPr/>
        <w:tc>
          <w:tcPr>
            <w:tcW w:w="704" w:type="dxa"/>
            <w:textDirection w:val="lrTb"/>
            <w:noWrap w:val="false"/>
          </w:tcPr>
          <w:p>
            <w:pPr>
              <w:numPr>
                <w:ilvl w:val="0"/>
                <w:numId w:val="2"/>
              </w:numPr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tcW w:w="2381" w:type="dxa"/>
            <w:textDirection w:val="lrTb"/>
            <w:noWrap w:val="false"/>
          </w:tcPr>
          <w:p>
            <w:pPr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Умение аргументировать авторскую позицию</w:t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tcW w:w="4393" w:type="dxa"/>
            <w:textDirection w:val="lrTb"/>
            <w:noWrap w:val="false"/>
          </w:tcPr>
          <w:p>
            <w:pPr>
              <w:jc w:val="both"/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Соотнесенность содержания конкурсной работы с интеллектуальным, эмоциональным и эстетическим опытом автора. Соответствие речевого оформления работы коммуникативному замыслу автора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tcW w:w="1701" w:type="dxa"/>
            <w:textDirection w:val="lrTb"/>
            <w:noWrap w:val="false"/>
          </w:tcPr>
          <w:p>
            <w:pPr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</w:tr>
      <w:tr>
        <w:trPr/>
        <w:tc>
          <w:tcPr>
            <w:tcW w:w="704" w:type="dxa"/>
            <w:textDirection w:val="lrTb"/>
            <w:noWrap w:val="false"/>
          </w:tcPr>
          <w:p>
            <w:pPr>
              <w:numPr>
                <w:ilvl w:val="0"/>
                <w:numId w:val="2"/>
              </w:numPr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tcW w:w="2381" w:type="dxa"/>
            <w:textDirection w:val="lrTb"/>
            <w:noWrap w:val="false"/>
          </w:tcPr>
          <w:p>
            <w:pPr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Степень раскрытия темы</w:t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tcW w:w="4393" w:type="dxa"/>
            <w:textDirection w:val="lrTb"/>
            <w:noWrap w:val="false"/>
          </w:tcPr>
          <w:p>
            <w:pPr>
              <w:jc w:val="both"/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Полнота раскрытия темы конкурсной работы</w:t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tcW w:w="1701" w:type="dxa"/>
            <w:textDirection w:val="lrTb"/>
            <w:noWrap w:val="false"/>
          </w:tcPr>
          <w:p>
            <w:pPr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</w:tr>
      <w:tr>
        <w:trPr/>
        <w:tc>
          <w:tcPr>
            <w:tcW w:w="704" w:type="dxa"/>
            <w:textDirection w:val="lrTb"/>
            <w:noWrap w:val="false"/>
          </w:tcPr>
          <w:p>
            <w:pPr>
              <w:numPr>
                <w:ilvl w:val="0"/>
                <w:numId w:val="2"/>
              </w:numPr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tcW w:w="2381" w:type="dxa"/>
            <w:textDirection w:val="lrTb"/>
            <w:noWrap w:val="false"/>
          </w:tcPr>
          <w:p>
            <w:pPr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Стиль изложения материала в жанре рассказа </w:t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tcW w:w="4393" w:type="dxa"/>
            <w:textDirection w:val="lrTb"/>
            <w:noWrap w:val="false"/>
          </w:tcPr>
          <w:p>
            <w:pPr>
              <w:jc w:val="both"/>
              <w:spacing w:after="0" w:line="240" w:lineRule="auto"/>
              <w:tabs>
                <w:tab w:val="left" w:pos="2115" w:leader="none"/>
              </w:tabs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Соответствие содержания работы выбранному жанру (ясность, образность, лаконичность, использование разнообразной лексики и различных грамматических конструкций)</w:t>
            </w:r>
            <w:r>
              <w:rPr>
                <w:sz w:val="28"/>
                <w:szCs w:val="28"/>
              </w:rPr>
            </w:r>
            <w:r/>
          </w:p>
        </w:tc>
        <w:tc>
          <w:tcPr>
            <w:tcW w:w="1701" w:type="dxa"/>
            <w:textDirection w:val="lrTb"/>
            <w:noWrap w:val="false"/>
          </w:tcPr>
          <w:p>
            <w:pPr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</w:tr>
      <w:tr>
        <w:trPr/>
        <w:tc>
          <w:tcPr>
            <w:tcW w:w="704" w:type="dxa"/>
            <w:textDirection w:val="lrTb"/>
            <w:noWrap w:val="false"/>
          </w:tcPr>
          <w:p>
            <w:pPr>
              <w:numPr>
                <w:ilvl w:val="0"/>
                <w:numId w:val="2"/>
              </w:numPr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tcW w:w="2381" w:type="dxa"/>
            <w:textDirection w:val="lrTb"/>
            <w:noWrap w:val="false"/>
          </w:tcPr>
          <w:p>
            <w:pPr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Реалистичность</w:t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tcW w:w="4393" w:type="dxa"/>
            <w:textDirection w:val="lrTb"/>
            <w:noWrap w:val="false"/>
          </w:tcPr>
          <w:p>
            <w:pPr>
              <w:jc w:val="both"/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Приближенность содержания работы к жизненному отображению, схожесть образа с жизненным отображением</w:t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tcW w:w="1701" w:type="dxa"/>
            <w:textDirection w:val="lrTb"/>
            <w:noWrap w:val="false"/>
          </w:tcPr>
          <w:p>
            <w:pPr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</w:tr>
      <w:tr>
        <w:trPr/>
        <w:tc>
          <w:tcPr>
            <w:tcW w:w="704" w:type="dxa"/>
            <w:textDirection w:val="lrTb"/>
            <w:noWrap w:val="false"/>
          </w:tcPr>
          <w:p>
            <w:pPr>
              <w:numPr>
                <w:ilvl w:val="0"/>
                <w:numId w:val="2"/>
              </w:numPr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tcW w:w="2381" w:type="dxa"/>
            <w:textDirection w:val="lrTb"/>
            <w:noWrap w:val="false"/>
          </w:tcPr>
          <w:p>
            <w:pPr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Возможность транслирования духовно-практического опыта традиционных семейных ценностей</w:t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shd w:val="clear" w:color="ffffff" w:fill="ffffff"/>
            <w:tcW w:w="4393" w:type="dxa"/>
            <w:textDirection w:val="lrTb"/>
            <w:noWrap w:val="false"/>
          </w:tcPr>
          <w:p>
            <w:pPr>
              <w:jc w:val="both"/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Отражение в конкурсной работе значимости семейного уклада жизни, бережного отношения к семейным ценностям, положительного опыта семейного воспитания и т.п.</w:t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tcW w:w="1701" w:type="dxa"/>
            <w:textDirection w:val="lrTb"/>
            <w:noWrap w:val="false"/>
          </w:tcPr>
          <w:p>
            <w:pPr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</w:tr>
      <w:tr>
        <w:trPr/>
        <w:tc>
          <w:tcPr>
            <w:tcW w:w="704" w:type="dxa"/>
            <w:textDirection w:val="lrTb"/>
            <w:noWrap w:val="false"/>
          </w:tcPr>
          <w:p>
            <w:pPr>
              <w:numPr>
                <w:ilvl w:val="0"/>
                <w:numId w:val="2"/>
              </w:numPr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tcW w:w="2381" w:type="dxa"/>
            <w:textDirection w:val="lrTb"/>
            <w:noWrap w:val="false"/>
          </w:tcPr>
          <w:p>
            <w:pPr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Достижения семьи по выбранной номинации</w:t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tcW w:w="4393" w:type="dxa"/>
            <w:textDirection w:val="lrTb"/>
            <w:noWrap w:val="false"/>
          </w:tcPr>
          <w:p>
            <w:pPr>
              <w:jc w:val="both"/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Активное участие семьи в выбранной номинации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подтверждается наградами, дипломами, публикациями в средствах массовой информации и Интернете и т.п.</w:t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tcW w:w="1701" w:type="dxa"/>
            <w:textDirection w:val="lrTb"/>
            <w:noWrap w:val="false"/>
          </w:tcPr>
          <w:p>
            <w:pPr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</w:tr>
      <w:tr>
        <w:trPr/>
        <w:tc>
          <w:tcPr>
            <w:gridSpan w:val="3"/>
            <w:tcW w:w="7478" w:type="dxa"/>
            <w:textDirection w:val="lrTb"/>
            <w:noWrap w:val="false"/>
          </w:tcPr>
          <w:p>
            <w:pPr>
              <w:jc w:val="right"/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Итого количество баллов </w:t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tcW w:w="1701" w:type="dxa"/>
            <w:textDirection w:val="lrTb"/>
            <w:noWrap w:val="false"/>
          </w:tcPr>
          <w:p>
            <w:pPr>
              <w:spacing w:after="0" w:line="240" w:lineRule="auto"/>
              <w:tabs>
                <w:tab w:val="left" w:pos="2115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</w:tr>
    </w:tbl>
    <w:p>
      <w:pPr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/>
    </w:p>
    <w:p>
      <w:pPr>
        <w:spacing w:after="0" w:line="240" w:lineRule="auto"/>
        <w:tabs>
          <w:tab w:val="left" w:pos="2115" w:leader="none"/>
        </w:tabs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/>
    </w:p>
    <w:p>
      <w:r/>
      <w:r/>
    </w:p>
    <w:sectPr>
      <w:headerReference w:type="default" r:id="rId9"/>
      <w:headerReference w:type="first" r:id="rId10"/>
      <w:footerReference w:type="first" r:id="rId11"/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22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20"/>
      <w:jc w:val="center"/>
      <w:rPr>
        <w:rFonts w:ascii="Times New Roman" w:hAnsi="Times New Roman" w:cs="Times New Roman"/>
      </w:rPr>
    </w:pPr>
    <w:fldSimple w:instr="PAGE \* MERGEFORMAT">
      <w:r>
        <w:rPr>
          <w:rFonts w:ascii="Times New Roman" w:hAnsi="Times New Roman" w:cs="Times New Roman"/>
        </w:rPr>
        <w:t xml:space="preserve">1</w:t>
      </w:r>
    </w:fldSimple>
    <w:r>
      <w:rPr>
        <w:rFonts w:ascii="Times New Roman" w:hAnsi="Times New Roman" w:cs="Times New Roman"/>
      </w:rPr>
    </w:r>
    <w:r>
      <w:rPr>
        <w:rFonts w:ascii="Times New Roman" w:hAnsi="Times New Roman" w:cs="Times New Roman"/>
      </w:rPr>
    </w:r>
    <w:r/>
  </w:p>
  <w:p>
    <w:pPr>
      <w:pStyle w:val="720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20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upperRoman"/>
      <w:isLgl w:val="false"/>
      <w:suff w:val="tab"/>
      <w:lvlText w:val="%1."/>
      <w:lvlJc w:val="left"/>
      <w:pPr>
        <w:ind w:left="1080" w:hanging="720"/>
      </w:pPr>
      <w:rPr>
        <w:rFonts w:hint="default" w:cs="Times New Roman"/>
      </w:rPr>
    </w:lvl>
    <w:lvl w:ilvl="1">
      <w:start w:val="2"/>
      <w:numFmt w:val="decimal"/>
      <w:isLgl/>
      <w:suff w:val="tab"/>
      <w:lvlText w:val="%1.%2."/>
      <w:lvlJc w:val="left"/>
      <w:pPr>
        <w:ind w:left="2343" w:hanging="1350"/>
      </w:pPr>
      <w:rPr>
        <w:rFonts w:hint="default"/>
      </w:rPr>
    </w:lvl>
    <w:lvl w:ilvl="2">
      <w:start w:val="1"/>
      <w:numFmt w:val="decimal"/>
      <w:isLgl/>
      <w:suff w:val="tab"/>
      <w:lvlText w:val="%1.%2.%3."/>
      <w:lvlJc w:val="left"/>
      <w:pPr>
        <w:ind w:left="2408" w:hanging="1350"/>
      </w:pPr>
      <w:rPr>
        <w:rFonts w:hint="default"/>
      </w:rPr>
    </w:lvl>
    <w:lvl w:ilvl="3">
      <w:start w:val="1"/>
      <w:numFmt w:val="decimal"/>
      <w:isLgl/>
      <w:suff w:val="tab"/>
      <w:lvlText w:val="%1.%2.%3.%4."/>
      <w:lvlJc w:val="left"/>
      <w:pPr>
        <w:ind w:left="2757" w:hanging="1350"/>
      </w:pPr>
      <w:rPr>
        <w:rFonts w:hint="default"/>
      </w:rPr>
    </w:lvl>
    <w:lvl w:ilvl="4">
      <w:start w:val="1"/>
      <w:numFmt w:val="decimal"/>
      <w:isLgl/>
      <w:suff w:val="tab"/>
      <w:lvlText w:val="%1.%2.%3.%4.%5."/>
      <w:lvlJc w:val="left"/>
      <w:pPr>
        <w:ind w:left="3106" w:hanging="1350"/>
      </w:pPr>
      <w:rPr>
        <w:rFonts w:hint="default"/>
      </w:rPr>
    </w:lvl>
    <w:lvl w:ilvl="5">
      <w:start w:val="1"/>
      <w:numFmt w:val="decimal"/>
      <w:isLgl/>
      <w:suff w:val="tab"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suff w:val="tab"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suff w:val="tab"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suff w:val="tab"/>
      <w:lvlText w:val="%1.%2."/>
      <w:lvlJc w:val="left"/>
      <w:pPr>
        <w:ind w:left="1429" w:hanging="720"/>
      </w:pPr>
      <w:rPr>
        <w:rFonts w:hint="default"/>
        <w:b w:val="0"/>
        <w:bCs w:val="0"/>
      </w:rPr>
    </w:lvl>
    <w:lvl w:ilvl="2">
      <w:start w:val="1"/>
      <w:numFmt w:val="decimal"/>
      <w:isLgl/>
      <w:suff w:val="tab"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suff w:val="tab"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suff w:val="tab"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suff w:val="tab"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suff w:val="tab"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suff w:val="tab"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34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06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78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0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2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4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6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38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09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34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06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78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0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2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4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6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38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09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822" w:hanging="360"/>
      </w:pPr>
      <w:rPr>
        <w:rFonts w:ascii="Times New Roman" w:hAnsi="Times New Roman" w:eastAsia="Times New Roman"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542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262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982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02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422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142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862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582" w:hanging="180"/>
      </w:pPr>
    </w:lvl>
  </w:abstractNum>
  <w:abstractNum w:abstractNumId="7">
    <w:multiLevelType w:val="hybridMultilevel"/>
    <w:lvl w:ilvl="0">
      <w:start w:val="3"/>
      <w:numFmt w:val="decimal"/>
      <w:isLgl w:val="false"/>
      <w:suff w:val="tab"/>
      <w:lvlText w:val="%1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suff w:val="tab"/>
      <w:lvlText w:val="%1.%2."/>
      <w:lvlJc w:val="left"/>
      <w:pPr>
        <w:ind w:left="3063" w:hanging="720"/>
      </w:pPr>
      <w:rPr>
        <w:rFonts w:hint="default"/>
      </w:rPr>
    </w:lvl>
    <w:lvl w:ilvl="2">
      <w:start w:val="1"/>
      <w:numFmt w:val="decimal"/>
      <w:isLgl/>
      <w:suff w:val="tab"/>
      <w:lvlText w:val="%1.%2.%3."/>
      <w:lvlJc w:val="left"/>
      <w:pPr>
        <w:ind w:left="4697" w:hanging="720"/>
      </w:pPr>
      <w:rPr>
        <w:rFonts w:hint="default"/>
      </w:rPr>
    </w:lvl>
    <w:lvl w:ilvl="3">
      <w:start w:val="1"/>
      <w:numFmt w:val="decimal"/>
      <w:isLgl/>
      <w:suff w:val="tab"/>
      <w:lvlText w:val="%1.%2.%3.%4."/>
      <w:lvlJc w:val="left"/>
      <w:pPr>
        <w:ind w:left="6691" w:hanging="1080"/>
      </w:pPr>
      <w:rPr>
        <w:rFonts w:hint="default"/>
      </w:rPr>
    </w:lvl>
    <w:lvl w:ilvl="4">
      <w:start w:val="1"/>
      <w:numFmt w:val="decimal"/>
      <w:isLgl/>
      <w:suff w:val="tab"/>
      <w:lvlText w:val="%1.%2.%3.%4.%5."/>
      <w:lvlJc w:val="left"/>
      <w:pPr>
        <w:ind w:left="8325" w:hanging="1080"/>
      </w:pPr>
      <w:rPr>
        <w:rFonts w:hint="default"/>
      </w:rPr>
    </w:lvl>
    <w:lvl w:ilvl="5">
      <w:start w:val="1"/>
      <w:numFmt w:val="decimal"/>
      <w:isLgl/>
      <w:suff w:val="tab"/>
      <w:lvlText w:val="%1.%2.%3.%4.%5.%6."/>
      <w:lvlJc w:val="left"/>
      <w:pPr>
        <w:ind w:left="10319" w:hanging="1440"/>
      </w:pPr>
      <w:rPr>
        <w:rFonts w:hint="default"/>
      </w:rPr>
    </w:lvl>
    <w:lvl w:ilvl="6">
      <w:start w:val="1"/>
      <w:numFmt w:val="decimal"/>
      <w:isLgl/>
      <w:suff w:val="tab"/>
      <w:lvlText w:val="%1.%2.%3.%4.%5.%6.%7."/>
      <w:lvlJc w:val="left"/>
      <w:pPr>
        <w:ind w:left="12313" w:hanging="1800"/>
      </w:pPr>
      <w:rPr>
        <w:rFonts w:hint="default"/>
      </w:rPr>
    </w:lvl>
    <w:lvl w:ilvl="7">
      <w:start w:val="1"/>
      <w:numFmt w:val="decimal"/>
      <w:isLgl/>
      <w:suff w:val="tab"/>
      <w:lvlText w:val="%1.%2.%3.%4.%5.%6.%7.%8."/>
      <w:lvlJc w:val="left"/>
      <w:pPr>
        <w:ind w:left="13947" w:hanging="1800"/>
      </w:pPr>
      <w:rPr>
        <w:rFonts w:hint="default"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15941" w:hanging="2160"/>
      </w:pPr>
      <w:rPr>
        <w:rFonts w:hint="default"/>
      </w:r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2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2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94">
    <w:name w:val="Heading 1"/>
    <w:basedOn w:val="870"/>
    <w:next w:val="870"/>
    <w:link w:val="69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95">
    <w:name w:val="Heading 1 Char"/>
    <w:link w:val="694"/>
    <w:uiPriority w:val="9"/>
    <w:rPr>
      <w:rFonts w:ascii="Arial" w:hAnsi="Arial" w:eastAsia="Arial" w:cs="Arial"/>
      <w:sz w:val="40"/>
      <w:szCs w:val="40"/>
    </w:rPr>
  </w:style>
  <w:style w:type="paragraph" w:styleId="696">
    <w:name w:val="Heading 2"/>
    <w:basedOn w:val="870"/>
    <w:next w:val="870"/>
    <w:link w:val="69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97">
    <w:name w:val="Heading 2 Char"/>
    <w:link w:val="696"/>
    <w:uiPriority w:val="9"/>
    <w:rPr>
      <w:rFonts w:ascii="Arial" w:hAnsi="Arial" w:eastAsia="Arial" w:cs="Arial"/>
      <w:sz w:val="34"/>
    </w:rPr>
  </w:style>
  <w:style w:type="paragraph" w:styleId="698">
    <w:name w:val="Heading 3"/>
    <w:basedOn w:val="870"/>
    <w:next w:val="870"/>
    <w:link w:val="69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99">
    <w:name w:val="Heading 3 Char"/>
    <w:link w:val="698"/>
    <w:uiPriority w:val="9"/>
    <w:rPr>
      <w:rFonts w:ascii="Arial" w:hAnsi="Arial" w:eastAsia="Arial" w:cs="Arial"/>
      <w:sz w:val="30"/>
      <w:szCs w:val="30"/>
    </w:rPr>
  </w:style>
  <w:style w:type="paragraph" w:styleId="700">
    <w:name w:val="Heading 4"/>
    <w:basedOn w:val="870"/>
    <w:next w:val="870"/>
    <w:link w:val="70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01">
    <w:name w:val="Heading 4 Char"/>
    <w:link w:val="700"/>
    <w:uiPriority w:val="9"/>
    <w:rPr>
      <w:rFonts w:ascii="Arial" w:hAnsi="Arial" w:eastAsia="Arial" w:cs="Arial"/>
      <w:b/>
      <w:bCs/>
      <w:sz w:val="26"/>
      <w:szCs w:val="26"/>
    </w:rPr>
  </w:style>
  <w:style w:type="paragraph" w:styleId="702">
    <w:name w:val="Heading 5"/>
    <w:basedOn w:val="870"/>
    <w:next w:val="870"/>
    <w:link w:val="70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03">
    <w:name w:val="Heading 5 Char"/>
    <w:link w:val="702"/>
    <w:uiPriority w:val="9"/>
    <w:rPr>
      <w:rFonts w:ascii="Arial" w:hAnsi="Arial" w:eastAsia="Arial" w:cs="Arial"/>
      <w:b/>
      <w:bCs/>
      <w:sz w:val="24"/>
      <w:szCs w:val="24"/>
    </w:rPr>
  </w:style>
  <w:style w:type="paragraph" w:styleId="704">
    <w:name w:val="Heading 6"/>
    <w:basedOn w:val="870"/>
    <w:next w:val="870"/>
    <w:link w:val="70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05">
    <w:name w:val="Heading 6 Char"/>
    <w:link w:val="704"/>
    <w:uiPriority w:val="9"/>
    <w:rPr>
      <w:rFonts w:ascii="Arial" w:hAnsi="Arial" w:eastAsia="Arial" w:cs="Arial"/>
      <w:b/>
      <w:bCs/>
      <w:sz w:val="22"/>
      <w:szCs w:val="22"/>
    </w:rPr>
  </w:style>
  <w:style w:type="paragraph" w:styleId="706">
    <w:name w:val="Heading 7"/>
    <w:basedOn w:val="870"/>
    <w:next w:val="870"/>
    <w:link w:val="70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07">
    <w:name w:val="Heading 7 Char"/>
    <w:link w:val="70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08">
    <w:name w:val="Heading 8"/>
    <w:basedOn w:val="870"/>
    <w:next w:val="870"/>
    <w:link w:val="70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09">
    <w:name w:val="Heading 8 Char"/>
    <w:link w:val="708"/>
    <w:uiPriority w:val="9"/>
    <w:rPr>
      <w:rFonts w:ascii="Arial" w:hAnsi="Arial" w:eastAsia="Arial" w:cs="Arial"/>
      <w:i/>
      <w:iCs/>
      <w:sz w:val="22"/>
      <w:szCs w:val="22"/>
    </w:rPr>
  </w:style>
  <w:style w:type="paragraph" w:styleId="710">
    <w:name w:val="Heading 9"/>
    <w:basedOn w:val="870"/>
    <w:next w:val="870"/>
    <w:link w:val="71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11">
    <w:name w:val="Heading 9 Char"/>
    <w:link w:val="710"/>
    <w:uiPriority w:val="9"/>
    <w:rPr>
      <w:rFonts w:ascii="Arial" w:hAnsi="Arial" w:eastAsia="Arial" w:cs="Arial"/>
      <w:i/>
      <w:iCs/>
      <w:sz w:val="21"/>
      <w:szCs w:val="21"/>
    </w:rPr>
  </w:style>
  <w:style w:type="paragraph" w:styleId="712">
    <w:name w:val="Title"/>
    <w:basedOn w:val="870"/>
    <w:next w:val="870"/>
    <w:link w:val="71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13">
    <w:name w:val="Title Char"/>
    <w:link w:val="712"/>
    <w:uiPriority w:val="10"/>
    <w:rPr>
      <w:sz w:val="48"/>
      <w:szCs w:val="48"/>
    </w:rPr>
  </w:style>
  <w:style w:type="paragraph" w:styleId="714">
    <w:name w:val="Subtitle"/>
    <w:basedOn w:val="870"/>
    <w:next w:val="870"/>
    <w:link w:val="715"/>
    <w:uiPriority w:val="11"/>
    <w:qFormat/>
    <w:pPr>
      <w:spacing w:before="200" w:after="200"/>
    </w:pPr>
    <w:rPr>
      <w:sz w:val="24"/>
      <w:szCs w:val="24"/>
    </w:rPr>
  </w:style>
  <w:style w:type="character" w:styleId="715">
    <w:name w:val="Subtitle Char"/>
    <w:link w:val="714"/>
    <w:uiPriority w:val="11"/>
    <w:rPr>
      <w:sz w:val="24"/>
      <w:szCs w:val="24"/>
    </w:rPr>
  </w:style>
  <w:style w:type="paragraph" w:styleId="716">
    <w:name w:val="Quote"/>
    <w:basedOn w:val="870"/>
    <w:next w:val="870"/>
    <w:link w:val="717"/>
    <w:uiPriority w:val="29"/>
    <w:qFormat/>
    <w:pPr>
      <w:ind w:left="720" w:right="720"/>
    </w:pPr>
    <w:rPr>
      <w:i/>
    </w:rPr>
  </w:style>
  <w:style w:type="character" w:styleId="717">
    <w:name w:val="Quote Char"/>
    <w:link w:val="716"/>
    <w:uiPriority w:val="29"/>
    <w:rPr>
      <w:i/>
    </w:rPr>
  </w:style>
  <w:style w:type="paragraph" w:styleId="718">
    <w:name w:val="Intense Quote"/>
    <w:basedOn w:val="870"/>
    <w:next w:val="870"/>
    <w:link w:val="71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19">
    <w:name w:val="Intense Quote Char"/>
    <w:link w:val="718"/>
    <w:uiPriority w:val="30"/>
    <w:rPr>
      <w:i/>
    </w:rPr>
  </w:style>
  <w:style w:type="paragraph" w:styleId="720">
    <w:name w:val="Header"/>
    <w:basedOn w:val="870"/>
    <w:link w:val="72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21">
    <w:name w:val="Header Char"/>
    <w:link w:val="720"/>
    <w:uiPriority w:val="99"/>
  </w:style>
  <w:style w:type="paragraph" w:styleId="722">
    <w:name w:val="Footer"/>
    <w:basedOn w:val="870"/>
    <w:link w:val="72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23">
    <w:name w:val="Footer Char"/>
    <w:link w:val="722"/>
    <w:uiPriority w:val="99"/>
  </w:style>
  <w:style w:type="paragraph" w:styleId="724">
    <w:name w:val="Caption"/>
    <w:basedOn w:val="870"/>
    <w:next w:val="87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25">
    <w:name w:val="Caption Char"/>
    <w:basedOn w:val="724"/>
    <w:link w:val="722"/>
    <w:uiPriority w:val="99"/>
  </w:style>
  <w:style w:type="table" w:styleId="726">
    <w:name w:val="Table Grid"/>
    <w:basedOn w:val="871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27">
    <w:name w:val="Table Grid Light"/>
    <w:basedOn w:val="87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28">
    <w:name w:val="Plain Table 1"/>
    <w:basedOn w:val="87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29">
    <w:name w:val="Plain Table 2"/>
    <w:basedOn w:val="87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0">
    <w:name w:val="Plain Table 3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31">
    <w:name w:val="Plain Table 4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2">
    <w:name w:val="Plain Table 5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33">
    <w:name w:val="Grid Table 1 Light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4">
    <w:name w:val="Grid Table 1 Light - Accent 1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5">
    <w:name w:val="Grid Table 1 Light - Accent 2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6">
    <w:name w:val="Grid Table 1 Light - Accent 3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7">
    <w:name w:val="Grid Table 1 Light - Accent 4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8">
    <w:name w:val="Grid Table 1 Light - Accent 5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9">
    <w:name w:val="Grid Table 1 Light - Accent 6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0">
    <w:name w:val="Grid Table 2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2 - Accent 1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2 - Accent 2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2 - Accent 3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2 - Accent 4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2 - Accent 5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2 - Accent 6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3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3 - Accent 1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3 - Accent 2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3 - Accent 3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Grid Table 3 - Accent 4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Grid Table 3 - Accent 5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Grid Table 3 - Accent 6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Grid Table 4"/>
    <w:basedOn w:val="87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55">
    <w:name w:val="Grid Table 4 - Accent 1"/>
    <w:basedOn w:val="87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56">
    <w:name w:val="Grid Table 4 - Accent 2"/>
    <w:basedOn w:val="87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57">
    <w:name w:val="Grid Table 4 - Accent 3"/>
    <w:basedOn w:val="87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58">
    <w:name w:val="Grid Table 4 - Accent 4"/>
    <w:basedOn w:val="87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59">
    <w:name w:val="Grid Table 4 - Accent 5"/>
    <w:basedOn w:val="87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60">
    <w:name w:val="Grid Table 4 - Accent 6"/>
    <w:basedOn w:val="87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61">
    <w:name w:val="Grid Table 5 Dark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62">
    <w:name w:val="Grid Table 5 Dark- Accent 1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63">
    <w:name w:val="Grid Table 5 Dark - Accent 2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64">
    <w:name w:val="Grid Table 5 Dark - Accent 3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65">
    <w:name w:val="Grid Table 5 Dark- Accent 4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66">
    <w:name w:val="Grid Table 5 Dark - Accent 5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67">
    <w:name w:val="Grid Table 5 Dark - Accent 6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68">
    <w:name w:val="Grid Table 6 Colorful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69">
    <w:name w:val="Grid Table 6 Colorful - Accent 1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70">
    <w:name w:val="Grid Table 6 Colorful - Accent 2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71">
    <w:name w:val="Grid Table 6 Colorful - Accent 3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72">
    <w:name w:val="Grid Table 6 Colorful - Accent 4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73">
    <w:name w:val="Grid Table 6 Colorful - Accent 5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74">
    <w:name w:val="Grid Table 6 Colorful - Accent 6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75">
    <w:name w:val="Grid Table 7 Colorful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>
    <w:name w:val="Grid Table 7 Colorful - Accent 1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>
    <w:name w:val="Grid Table 7 Colorful - Accent 2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>
    <w:name w:val="Grid Table 7 Colorful - Accent 3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>
    <w:name w:val="Grid Table 7 Colorful - Accent 4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>
    <w:name w:val="Grid Table 7 Colorful - Accent 5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>
    <w:name w:val="Grid Table 7 Colorful - Accent 6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2">
    <w:name w:val="List Table 1 Light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3">
    <w:name w:val="List Table 1 Light - Accent 1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4">
    <w:name w:val="List Table 1 Light - Accent 2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5">
    <w:name w:val="List Table 1 Light - Accent 3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6">
    <w:name w:val="List Table 1 Light - Accent 4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7">
    <w:name w:val="List Table 1 Light - Accent 5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8">
    <w:name w:val="List Table 1 Light - Accent 6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9">
    <w:name w:val="List Table 2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90">
    <w:name w:val="List Table 2 - Accent 1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91">
    <w:name w:val="List Table 2 - Accent 2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92">
    <w:name w:val="List Table 2 - Accent 3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93">
    <w:name w:val="List Table 2 - Accent 4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94">
    <w:name w:val="List Table 2 - Accent 5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95">
    <w:name w:val="List Table 2 - Accent 6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96">
    <w:name w:val="List Table 3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7">
    <w:name w:val="List Table 3 - Accent 1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8">
    <w:name w:val="List Table 3 - Accent 2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9">
    <w:name w:val="List Table 3 - Accent 3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0">
    <w:name w:val="List Table 3 - Accent 4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1">
    <w:name w:val="List Table 3 - Accent 5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2">
    <w:name w:val="List Table 3 - Accent 6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3">
    <w:name w:val="List Table 4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4">
    <w:name w:val="List Table 4 - Accent 1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5">
    <w:name w:val="List Table 4 - Accent 2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6">
    <w:name w:val="List Table 4 - Accent 3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7">
    <w:name w:val="List Table 4 - Accent 4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8">
    <w:name w:val="List Table 4 - Accent 5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9">
    <w:name w:val="List Table 4 - Accent 6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0">
    <w:name w:val="List Table 5 Dark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1">
    <w:name w:val="List Table 5 Dark - Accent 1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2">
    <w:name w:val="List Table 5 Dark - Accent 2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3">
    <w:name w:val="List Table 5 Dark - Accent 3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4">
    <w:name w:val="List Table 5 Dark - Accent 4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5">
    <w:name w:val="List Table 5 Dark - Accent 5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6">
    <w:name w:val="List Table 5 Dark - Accent 6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7">
    <w:name w:val="List Table 6 Colorful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18">
    <w:name w:val="List Table 6 Colorful - Accent 1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19">
    <w:name w:val="List Table 6 Colorful - Accent 2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20">
    <w:name w:val="List Table 6 Colorful - Accent 3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21">
    <w:name w:val="List Table 6 Colorful - Accent 4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22">
    <w:name w:val="List Table 6 Colorful - Accent 5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23">
    <w:name w:val="List Table 6 Colorful - Accent 6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24">
    <w:name w:val="List Table 7 Colorful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25">
    <w:name w:val="List Table 7 Colorful - Accent 1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826">
    <w:name w:val="List Table 7 Colorful - Accent 2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827">
    <w:name w:val="List Table 7 Colorful - Accent 3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828">
    <w:name w:val="List Table 7 Colorful - Accent 4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829">
    <w:name w:val="List Table 7 Colorful - Accent 5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830">
    <w:name w:val="List Table 7 Colorful - Accent 6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831">
    <w:name w:val="Lined - Accent"/>
    <w:basedOn w:val="87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32">
    <w:name w:val="Lined - Accent 1"/>
    <w:basedOn w:val="87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33">
    <w:name w:val="Lined - Accent 2"/>
    <w:basedOn w:val="87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34">
    <w:name w:val="Lined - Accent 3"/>
    <w:basedOn w:val="87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35">
    <w:name w:val="Lined - Accent 4"/>
    <w:basedOn w:val="87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36">
    <w:name w:val="Lined - Accent 5"/>
    <w:basedOn w:val="87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37">
    <w:name w:val="Lined - Accent 6"/>
    <w:basedOn w:val="87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38">
    <w:name w:val="Bordered &amp; Lined - Accent"/>
    <w:basedOn w:val="87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39">
    <w:name w:val="Bordered &amp; Lined - Accent 1"/>
    <w:basedOn w:val="87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40">
    <w:name w:val="Bordered &amp; Lined - Accent 2"/>
    <w:basedOn w:val="87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41">
    <w:name w:val="Bordered &amp; Lined - Accent 3"/>
    <w:basedOn w:val="87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42">
    <w:name w:val="Bordered &amp; Lined - Accent 4"/>
    <w:basedOn w:val="87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43">
    <w:name w:val="Bordered &amp; Lined - Accent 5"/>
    <w:basedOn w:val="87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44">
    <w:name w:val="Bordered &amp; Lined - Accent 6"/>
    <w:basedOn w:val="87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45">
    <w:name w:val="Bordered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46">
    <w:name w:val="Bordered - Accent 1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47">
    <w:name w:val="Bordered - Accent 2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48">
    <w:name w:val="Bordered - Accent 3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49">
    <w:name w:val="Bordered - Accent 4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50">
    <w:name w:val="Bordered - Accent 5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51">
    <w:name w:val="Bordered - Accent 6"/>
    <w:basedOn w:val="87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52">
    <w:name w:val="Hyperlink"/>
    <w:uiPriority w:val="99"/>
    <w:unhideWhenUsed/>
    <w:rPr>
      <w:color w:val="0000ff" w:themeColor="hyperlink"/>
      <w:u w:val="single"/>
    </w:rPr>
  </w:style>
  <w:style w:type="paragraph" w:styleId="853">
    <w:name w:val="footnote text"/>
    <w:basedOn w:val="870"/>
    <w:link w:val="854"/>
    <w:uiPriority w:val="99"/>
    <w:semiHidden/>
    <w:unhideWhenUsed/>
    <w:pPr>
      <w:spacing w:after="40" w:line="240" w:lineRule="auto"/>
    </w:pPr>
    <w:rPr>
      <w:sz w:val="18"/>
    </w:rPr>
  </w:style>
  <w:style w:type="character" w:styleId="854">
    <w:name w:val="Footnote Text Char"/>
    <w:link w:val="853"/>
    <w:uiPriority w:val="99"/>
    <w:rPr>
      <w:sz w:val="18"/>
    </w:rPr>
  </w:style>
  <w:style w:type="character" w:styleId="855">
    <w:name w:val="footnote reference"/>
    <w:uiPriority w:val="99"/>
    <w:unhideWhenUsed/>
    <w:rPr>
      <w:vertAlign w:val="superscript"/>
    </w:rPr>
  </w:style>
  <w:style w:type="paragraph" w:styleId="856">
    <w:name w:val="endnote text"/>
    <w:basedOn w:val="870"/>
    <w:link w:val="857"/>
    <w:uiPriority w:val="99"/>
    <w:semiHidden/>
    <w:unhideWhenUsed/>
    <w:pPr>
      <w:spacing w:after="0" w:line="240" w:lineRule="auto"/>
    </w:pPr>
    <w:rPr>
      <w:sz w:val="20"/>
    </w:rPr>
  </w:style>
  <w:style w:type="character" w:styleId="857">
    <w:name w:val="Endnote Text Char"/>
    <w:link w:val="856"/>
    <w:uiPriority w:val="99"/>
    <w:rPr>
      <w:sz w:val="20"/>
    </w:rPr>
  </w:style>
  <w:style w:type="character" w:styleId="858">
    <w:name w:val="endnote reference"/>
    <w:uiPriority w:val="99"/>
    <w:semiHidden/>
    <w:unhideWhenUsed/>
    <w:rPr>
      <w:vertAlign w:val="superscript"/>
    </w:rPr>
  </w:style>
  <w:style w:type="paragraph" w:styleId="859">
    <w:name w:val="toc 1"/>
    <w:basedOn w:val="870"/>
    <w:next w:val="870"/>
    <w:uiPriority w:val="39"/>
    <w:unhideWhenUsed/>
    <w:pPr>
      <w:ind w:left="0" w:right="0" w:firstLine="0"/>
      <w:spacing w:after="57"/>
    </w:pPr>
  </w:style>
  <w:style w:type="paragraph" w:styleId="860">
    <w:name w:val="toc 2"/>
    <w:basedOn w:val="870"/>
    <w:next w:val="870"/>
    <w:uiPriority w:val="39"/>
    <w:unhideWhenUsed/>
    <w:pPr>
      <w:ind w:left="283" w:right="0" w:firstLine="0"/>
      <w:spacing w:after="57"/>
    </w:pPr>
  </w:style>
  <w:style w:type="paragraph" w:styleId="861">
    <w:name w:val="toc 3"/>
    <w:basedOn w:val="870"/>
    <w:next w:val="870"/>
    <w:uiPriority w:val="39"/>
    <w:unhideWhenUsed/>
    <w:pPr>
      <w:ind w:left="567" w:right="0" w:firstLine="0"/>
      <w:spacing w:after="57"/>
    </w:pPr>
  </w:style>
  <w:style w:type="paragraph" w:styleId="862">
    <w:name w:val="toc 4"/>
    <w:basedOn w:val="870"/>
    <w:next w:val="870"/>
    <w:uiPriority w:val="39"/>
    <w:unhideWhenUsed/>
    <w:pPr>
      <w:ind w:left="850" w:right="0" w:firstLine="0"/>
      <w:spacing w:after="57"/>
    </w:pPr>
  </w:style>
  <w:style w:type="paragraph" w:styleId="863">
    <w:name w:val="toc 5"/>
    <w:basedOn w:val="870"/>
    <w:next w:val="870"/>
    <w:uiPriority w:val="39"/>
    <w:unhideWhenUsed/>
    <w:pPr>
      <w:ind w:left="1134" w:right="0" w:firstLine="0"/>
      <w:spacing w:after="57"/>
    </w:pPr>
  </w:style>
  <w:style w:type="paragraph" w:styleId="864">
    <w:name w:val="toc 6"/>
    <w:basedOn w:val="870"/>
    <w:next w:val="870"/>
    <w:uiPriority w:val="39"/>
    <w:unhideWhenUsed/>
    <w:pPr>
      <w:ind w:left="1417" w:right="0" w:firstLine="0"/>
      <w:spacing w:after="57"/>
    </w:pPr>
  </w:style>
  <w:style w:type="paragraph" w:styleId="865">
    <w:name w:val="toc 7"/>
    <w:basedOn w:val="870"/>
    <w:next w:val="870"/>
    <w:uiPriority w:val="39"/>
    <w:unhideWhenUsed/>
    <w:pPr>
      <w:ind w:left="1701" w:right="0" w:firstLine="0"/>
      <w:spacing w:after="57"/>
    </w:pPr>
  </w:style>
  <w:style w:type="paragraph" w:styleId="866">
    <w:name w:val="toc 8"/>
    <w:basedOn w:val="870"/>
    <w:next w:val="870"/>
    <w:uiPriority w:val="39"/>
    <w:unhideWhenUsed/>
    <w:pPr>
      <w:ind w:left="1984" w:right="0" w:firstLine="0"/>
      <w:spacing w:after="57"/>
    </w:pPr>
  </w:style>
  <w:style w:type="paragraph" w:styleId="867">
    <w:name w:val="toc 9"/>
    <w:basedOn w:val="870"/>
    <w:next w:val="870"/>
    <w:uiPriority w:val="39"/>
    <w:unhideWhenUsed/>
    <w:pPr>
      <w:ind w:left="2268" w:right="0" w:firstLine="0"/>
      <w:spacing w:after="57"/>
    </w:pPr>
  </w:style>
  <w:style w:type="paragraph" w:styleId="868">
    <w:name w:val="TOC Heading"/>
    <w:uiPriority w:val="39"/>
    <w:unhideWhenUsed/>
  </w:style>
  <w:style w:type="paragraph" w:styleId="869">
    <w:name w:val="table of figures"/>
    <w:basedOn w:val="870"/>
    <w:next w:val="870"/>
    <w:uiPriority w:val="99"/>
    <w:unhideWhenUsed/>
    <w:pPr>
      <w:spacing w:after="0" w:afterAutospacing="0"/>
    </w:pPr>
  </w:style>
  <w:style w:type="paragraph" w:styleId="870" w:default="1">
    <w:name w:val="Normal"/>
    <w:qFormat/>
  </w:style>
  <w:style w:type="table" w:styleId="87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72" w:default="1">
    <w:name w:val="No List"/>
    <w:uiPriority w:val="99"/>
    <w:semiHidden/>
    <w:unhideWhenUsed/>
  </w:style>
  <w:style w:type="paragraph" w:styleId="873">
    <w:name w:val="No Spacing"/>
    <w:basedOn w:val="870"/>
    <w:uiPriority w:val="1"/>
    <w:qFormat/>
    <w:pPr>
      <w:spacing w:after="0" w:line="240" w:lineRule="auto"/>
    </w:pPr>
  </w:style>
  <w:style w:type="paragraph" w:styleId="874">
    <w:name w:val="List Paragraph"/>
    <w:basedOn w:val="870"/>
    <w:uiPriority w:val="34"/>
    <w:qFormat/>
    <w:pPr>
      <w:contextualSpacing/>
      <w:ind w:left="720"/>
    </w:pPr>
  </w:style>
  <w:style w:type="character" w:styleId="875" w:default="1">
    <w:name w:val="Default Paragraph Font"/>
    <w:uiPriority w:val="1"/>
    <w:semiHidden/>
    <w:unhideWhenUsed/>
  </w:style>
  <w:style w:type="paragraph" w:styleId="876" w:customStyle="1">
    <w:name w:val="Normal (Web)"/>
    <w:uiPriority w:val="99"/>
    <w:pPr>
      <w:contextualSpacing w:val="0"/>
      <w:ind w:left="0" w:right="0" w:firstLine="0"/>
      <w:jc w:val="left"/>
      <w:keepLines w:val="0"/>
      <w:keepNext w:val="0"/>
      <w:pageBreakBefore w:val="0"/>
      <w:spacing w:before="100" w:beforeAutospacing="1" w:after="100" w:afterAutospacing="1" w:line="240" w:lineRule="auto"/>
      <w:shd w:val="nil" w:color="000000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4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table" w:styleId="877" w:customStyle="1">
    <w:name w:val="Сетка таблицы2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 w:color="000000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hint="default" w:asciiTheme="minorHAnsi" w:hAnsiTheme="minorHAnsi" w:eastAsiaTheme="minorHAnsi" w:cstheme="minorBidi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2"/>
      <w:szCs w:val="22"/>
      <w:highlight w:val="none"/>
      <w:u w:val="none"/>
      <w:vertAlign w:val="baseline"/>
      <w:rtl w:val="0"/>
      <w:cs w:val="0"/>
      <w:lang w:val="ru-RU" w:eastAsia="en-US" w:bidi="ar-SA"/>
      <w14:ligatures w14:val="none"/>
    </w:rPr>
    <w:tblPr>
      <w:tblStyleRowBandSize w:val="1"/>
      <w:tblStyleColBandSize w:val="1"/>
      <w:tblW w:w="0" w:type="auto"/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Layout w:type="autofit"/>
      <w:tblCellMar>
        <w:left w:w="108" w:type="dxa"/>
        <w:top w:w="0" w:type="dxa"/>
        <w:right w:w="108" w:type="dxa"/>
        <w:bottom w:w="0" w:type="dxa"/>
      </w:tblCellMar>
    </w:tblPr>
    <w:trPr>
      <w:cantSplit w:val="false"/>
      <w:jc w:val="left"/>
    </w:trPr>
    <w:tcPr>
      <w:tcW w:w="0" w:type="auto"/>
      <w:vAlign w:val="top"/>
      <w:vMerge w:val="restart"/>
      <w:hMerge w:val="restart"/>
    </w:tc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footer" Target="footer1.xml" /><Relationship Id="rId12" Type="http://schemas.openxmlformats.org/officeDocument/2006/relationships/hyperlink" Target="http://depsr.admhmao.ru/" TargetMode="External"/><Relationship Id="rId13" Type="http://schemas.openxmlformats.org/officeDocument/2006/relationships/hyperlink" Target="http://rcsur.ru/" TargetMode="External"/><Relationship Id="rId14" Type="http://schemas.openxmlformats.org/officeDocument/2006/relationships/hyperlink" Target="mailto:concurs86@mail.ru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Р7-Офис/7.3.0.0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2</cp:revision>
  <dcterms:modified xsi:type="dcterms:W3CDTF">2025-03-18T05:34:03Z</dcterms:modified>
</cp:coreProperties>
</file>