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0EEB" w14:textId="77777777" w:rsidR="004B226D" w:rsidRDefault="004B226D" w:rsidP="00813B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3119056B" w14:textId="77777777" w:rsidR="00813B10" w:rsidRPr="00813B10" w:rsidRDefault="00813B10" w:rsidP="00813B10">
      <w:pPr>
        <w:pStyle w:val="Default"/>
        <w:jc w:val="center"/>
        <w:rPr>
          <w:sz w:val="28"/>
          <w:szCs w:val="28"/>
        </w:rPr>
      </w:pPr>
      <w:r w:rsidRPr="00813B10">
        <w:rPr>
          <w:b/>
          <w:bCs/>
          <w:sz w:val="28"/>
          <w:szCs w:val="28"/>
        </w:rPr>
        <w:t>ОБЗОР</w:t>
      </w:r>
      <w:r w:rsidR="004B226D">
        <w:rPr>
          <w:b/>
          <w:bCs/>
          <w:sz w:val="28"/>
          <w:szCs w:val="28"/>
        </w:rPr>
        <w:t>ОВ</w:t>
      </w:r>
      <w:r w:rsidRPr="00813B10">
        <w:rPr>
          <w:b/>
          <w:bCs/>
          <w:sz w:val="28"/>
          <w:szCs w:val="28"/>
        </w:rPr>
        <w:t xml:space="preserve"> БЮДЖЕТНЫХ РАСХОДОВ</w:t>
      </w:r>
    </w:p>
    <w:p w14:paraId="27F1AE9E" w14:textId="5974E023" w:rsidR="00AB4600" w:rsidRDefault="00FD6E15" w:rsidP="00DD1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Нефтеюганского района </w:t>
      </w:r>
      <w:r w:rsidR="004550A0">
        <w:rPr>
          <w:rFonts w:ascii="Times New Roman" w:hAnsi="Times New Roman" w:cs="Times New Roman"/>
          <w:bCs/>
          <w:sz w:val="28"/>
          <w:szCs w:val="28"/>
        </w:rPr>
        <w:t>за 202</w:t>
      </w:r>
      <w:r w:rsidR="00E44873">
        <w:rPr>
          <w:rFonts w:ascii="Times New Roman" w:hAnsi="Times New Roman" w:cs="Times New Roman"/>
          <w:bCs/>
          <w:sz w:val="28"/>
          <w:szCs w:val="28"/>
        </w:rPr>
        <w:t>3</w:t>
      </w:r>
      <w:r w:rsidR="004550A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7DC4A794" w14:textId="77777777" w:rsidR="00DD155D" w:rsidRDefault="00DD155D" w:rsidP="00DD1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5DE434" w14:textId="33D054D9" w:rsidR="00813B10" w:rsidRPr="00565033" w:rsidRDefault="00813B10" w:rsidP="004F3DB8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033">
        <w:rPr>
          <w:rFonts w:ascii="Times New Roman" w:hAnsi="Times New Roman" w:cs="Times New Roman"/>
          <w:b/>
          <w:bCs/>
          <w:sz w:val="24"/>
          <w:szCs w:val="24"/>
        </w:rPr>
        <w:t>Анализ объекта обзора бюджетных расходов – бюджетных ассигнований местного бюджета Нефтеюганского района.</w:t>
      </w:r>
    </w:p>
    <w:p w14:paraId="0183AEAA" w14:textId="77777777" w:rsidR="001D7579" w:rsidRPr="00565033" w:rsidRDefault="001D7579" w:rsidP="001D757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8A071" w14:textId="220D4237" w:rsidR="007431C1" w:rsidRPr="00565033" w:rsidRDefault="006D67A6" w:rsidP="00E448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33">
        <w:rPr>
          <w:rFonts w:ascii="Times New Roman" w:hAnsi="Times New Roman" w:cs="Times New Roman"/>
          <w:sz w:val="24"/>
          <w:szCs w:val="24"/>
        </w:rPr>
        <w:t>В рамках обзора бюджетных расходов были детально проанализированы соответствующие расходы за 20</w:t>
      </w:r>
      <w:r w:rsidR="00E44873" w:rsidRPr="00565033">
        <w:rPr>
          <w:rFonts w:ascii="Times New Roman" w:hAnsi="Times New Roman" w:cs="Times New Roman"/>
          <w:sz w:val="24"/>
          <w:szCs w:val="24"/>
        </w:rPr>
        <w:t>22</w:t>
      </w:r>
      <w:r w:rsidRPr="00565033">
        <w:rPr>
          <w:rFonts w:ascii="Times New Roman" w:hAnsi="Times New Roman" w:cs="Times New Roman"/>
          <w:sz w:val="24"/>
          <w:szCs w:val="24"/>
        </w:rPr>
        <w:t>-20</w:t>
      </w:r>
      <w:r w:rsidR="00971DB1" w:rsidRPr="00565033">
        <w:rPr>
          <w:rFonts w:ascii="Times New Roman" w:hAnsi="Times New Roman" w:cs="Times New Roman"/>
          <w:sz w:val="24"/>
          <w:szCs w:val="24"/>
        </w:rPr>
        <w:t>2</w:t>
      </w:r>
      <w:r w:rsidR="00E44873" w:rsidRPr="00565033">
        <w:rPr>
          <w:rFonts w:ascii="Times New Roman" w:hAnsi="Times New Roman" w:cs="Times New Roman"/>
          <w:sz w:val="24"/>
          <w:szCs w:val="24"/>
        </w:rPr>
        <w:t>3 годы.</w:t>
      </w:r>
    </w:p>
    <w:p w14:paraId="1AFFEB24" w14:textId="77777777" w:rsidR="00ED272A" w:rsidRPr="00565033" w:rsidRDefault="007431C1" w:rsidP="00E44873">
      <w:pPr>
        <w:pStyle w:val="a8"/>
        <w:tabs>
          <w:tab w:val="num" w:pos="1134"/>
        </w:tabs>
        <w:spacing w:line="276" w:lineRule="auto"/>
        <w:ind w:firstLine="709"/>
        <w:rPr>
          <w:color w:val="auto"/>
          <w:sz w:val="24"/>
          <w:szCs w:val="24"/>
        </w:rPr>
      </w:pPr>
      <w:r w:rsidRPr="00565033">
        <w:rPr>
          <w:sz w:val="24"/>
          <w:szCs w:val="24"/>
        </w:rPr>
        <w:t>При обзоре расходов применен тип обзоров - общий, который охватывает для анализа все расходы.</w:t>
      </w:r>
      <w:r w:rsidR="00ED272A" w:rsidRPr="00565033">
        <w:rPr>
          <w:sz w:val="24"/>
          <w:szCs w:val="24"/>
        </w:rPr>
        <w:t xml:space="preserve"> Из анализа исключены расходы </w:t>
      </w:r>
      <w:r w:rsidR="00ED272A" w:rsidRPr="00565033">
        <w:rPr>
          <w:color w:val="auto"/>
          <w:sz w:val="24"/>
          <w:szCs w:val="24"/>
        </w:rPr>
        <w:t>межбюджетных трансфертов (дотации, субвенци</w:t>
      </w:r>
      <w:r w:rsidR="00C960A7" w:rsidRPr="00565033">
        <w:rPr>
          <w:color w:val="auto"/>
          <w:sz w:val="24"/>
          <w:szCs w:val="24"/>
        </w:rPr>
        <w:t>и</w:t>
      </w:r>
      <w:r w:rsidR="00ED272A" w:rsidRPr="00565033">
        <w:rPr>
          <w:color w:val="auto"/>
          <w:sz w:val="24"/>
          <w:szCs w:val="24"/>
        </w:rPr>
        <w:t>, субсиди</w:t>
      </w:r>
      <w:r w:rsidR="00C960A7" w:rsidRPr="00565033">
        <w:rPr>
          <w:color w:val="auto"/>
          <w:sz w:val="24"/>
          <w:szCs w:val="24"/>
        </w:rPr>
        <w:t>и</w:t>
      </w:r>
      <w:r w:rsidR="00ED272A" w:rsidRPr="00565033">
        <w:rPr>
          <w:color w:val="auto"/>
          <w:sz w:val="24"/>
          <w:szCs w:val="24"/>
        </w:rPr>
        <w:t>, ины</w:t>
      </w:r>
      <w:r w:rsidR="00C960A7" w:rsidRPr="00565033">
        <w:rPr>
          <w:color w:val="auto"/>
          <w:sz w:val="24"/>
          <w:szCs w:val="24"/>
        </w:rPr>
        <w:t>е</w:t>
      </w:r>
      <w:r w:rsidR="00ED272A" w:rsidRPr="00565033">
        <w:rPr>
          <w:color w:val="auto"/>
          <w:sz w:val="24"/>
          <w:szCs w:val="24"/>
        </w:rPr>
        <w:t xml:space="preserve"> межбюджетных трансфертов) и расходы на обслуживание муниципального долга Нефтеюганского района. </w:t>
      </w:r>
    </w:p>
    <w:p w14:paraId="66EC809E" w14:textId="7FC1AF99" w:rsidR="00813B10" w:rsidRPr="00565033" w:rsidRDefault="00813B10" w:rsidP="00E448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033">
        <w:rPr>
          <w:rFonts w:ascii="Times New Roman" w:hAnsi="Times New Roman" w:cs="Times New Roman"/>
          <w:sz w:val="24"/>
          <w:szCs w:val="24"/>
        </w:rPr>
        <w:t xml:space="preserve">В целях проведения настоящего обзора бюджетных расходов были проанализированы бюджетные ассигнования местного бюджета отражаемые: </w:t>
      </w:r>
    </w:p>
    <w:p w14:paraId="447A8761" w14:textId="77777777" w:rsidR="001D7579" w:rsidRPr="00565033" w:rsidRDefault="001D7579" w:rsidP="002372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0F249D" w14:textId="15A89AB1" w:rsidR="004550A0" w:rsidRPr="00565033" w:rsidRDefault="00FD6E15" w:rsidP="00E44873">
      <w:pPr>
        <w:pStyle w:val="Default"/>
        <w:widowControl w:val="0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b/>
          <w:bCs/>
          <w:u w:val="single"/>
        </w:rPr>
      </w:pPr>
      <w:r w:rsidRPr="00565033">
        <w:rPr>
          <w:b/>
          <w:u w:val="single"/>
        </w:rPr>
        <w:t>п</w:t>
      </w:r>
      <w:r w:rsidR="004550A0" w:rsidRPr="00565033">
        <w:rPr>
          <w:b/>
          <w:u w:val="single"/>
        </w:rPr>
        <w:t xml:space="preserve">о </w:t>
      </w:r>
      <w:r w:rsidR="00E44873" w:rsidRPr="00565033">
        <w:rPr>
          <w:b/>
          <w:u w:val="single"/>
        </w:rPr>
        <w:t>главному распорядителю – Департаменту образования</w:t>
      </w:r>
      <w:r w:rsidR="00BF0C4B" w:rsidRPr="00565033">
        <w:rPr>
          <w:b/>
          <w:u w:val="single"/>
        </w:rPr>
        <w:t xml:space="preserve"> </w:t>
      </w:r>
      <w:r w:rsidR="004550A0" w:rsidRPr="00565033">
        <w:rPr>
          <w:b/>
          <w:bCs/>
          <w:u w:val="single"/>
        </w:rPr>
        <w:t>Нефтеюганского района</w:t>
      </w:r>
    </w:p>
    <w:p w14:paraId="79922A7E" w14:textId="77777777" w:rsidR="001D7579" w:rsidRPr="00565033" w:rsidRDefault="001D7579" w:rsidP="001D7579">
      <w:pPr>
        <w:pStyle w:val="Default"/>
        <w:widowControl w:val="0"/>
        <w:suppressAutoHyphens/>
        <w:spacing w:line="276" w:lineRule="auto"/>
        <w:ind w:left="1068"/>
        <w:jc w:val="both"/>
        <w:rPr>
          <w:b/>
          <w:bCs/>
          <w:u w:val="single"/>
        </w:rPr>
      </w:pPr>
    </w:p>
    <w:p w14:paraId="4BA2E7E0" w14:textId="15C86C51" w:rsidR="004B3BAB" w:rsidRPr="00565033" w:rsidRDefault="00E44873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</w:rPr>
      </w:pPr>
      <w:r w:rsidRPr="00565033">
        <w:t>проведен анализ расходов местного бюджета на содержание учреждений дошкольного образования, содержанию административно-управленческого персонала, а также а также анализ эффективного использования имущества с учётом наполняемости детских дошкольных учреждений.</w:t>
      </w:r>
    </w:p>
    <w:p w14:paraId="26435286" w14:textId="77777777" w:rsidR="001D7579" w:rsidRPr="00565033" w:rsidRDefault="001D7579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color w:val="FF0000"/>
        </w:rPr>
      </w:pPr>
    </w:p>
    <w:p w14:paraId="43A6699F" w14:textId="7051998C" w:rsidR="004550A0" w:rsidRPr="00565033" w:rsidRDefault="004A4912" w:rsidP="00E44873">
      <w:pPr>
        <w:pStyle w:val="Default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8"/>
        <w:jc w:val="both"/>
        <w:rPr>
          <w:b/>
          <w:bCs/>
          <w:u w:val="single"/>
        </w:rPr>
      </w:pPr>
      <w:r w:rsidRPr="00565033">
        <w:rPr>
          <w:b/>
          <w:bCs/>
          <w:u w:val="single"/>
        </w:rPr>
        <w:t xml:space="preserve">по </w:t>
      </w:r>
      <w:r w:rsidR="00E44873" w:rsidRPr="00565033">
        <w:rPr>
          <w:b/>
          <w:bCs/>
          <w:u w:val="single"/>
        </w:rPr>
        <w:t>муниципальной программе Нефтеюганского района «Развитие физической культуры и спорта»</w:t>
      </w:r>
    </w:p>
    <w:p w14:paraId="63E3A049" w14:textId="77777777" w:rsidR="001D7579" w:rsidRPr="00565033" w:rsidRDefault="001D7579" w:rsidP="001D7579">
      <w:pPr>
        <w:pStyle w:val="Default"/>
        <w:widowControl w:val="0"/>
        <w:suppressAutoHyphens/>
        <w:spacing w:line="276" w:lineRule="auto"/>
        <w:ind w:left="1068"/>
        <w:jc w:val="both"/>
        <w:rPr>
          <w:b/>
          <w:bCs/>
          <w:u w:val="single"/>
        </w:rPr>
      </w:pPr>
    </w:p>
    <w:p w14:paraId="4FA3AA87" w14:textId="154874B0" w:rsidR="00DA4FA2" w:rsidRPr="00565033" w:rsidRDefault="00E44873" w:rsidP="00DA4FA2">
      <w:pPr>
        <w:pStyle w:val="Default"/>
        <w:widowControl w:val="0"/>
        <w:suppressAutoHyphens/>
        <w:spacing w:line="276" w:lineRule="auto"/>
        <w:ind w:firstLine="708"/>
        <w:jc w:val="both"/>
      </w:pPr>
      <w:r w:rsidRPr="00565033">
        <w:t>в целях проведения обзоров расходов</w:t>
      </w:r>
      <w:r w:rsidR="003E7DE8" w:rsidRPr="00565033">
        <w:t xml:space="preserve"> рассмотрены расходы бюджета Нефтеюганского района на содержание помещений, расходы на персонал, расходы, связанные с введением, монтажом и строительством объектов спорта, проведен анализ нормативных правовых актов, регулирующих предоставление субсидий.</w:t>
      </w:r>
    </w:p>
    <w:p w14:paraId="17B14A4C" w14:textId="077C0E98" w:rsidR="003E7DE8" w:rsidRPr="00565033" w:rsidRDefault="003E7DE8" w:rsidP="00DA4FA2">
      <w:pPr>
        <w:pStyle w:val="Default"/>
        <w:widowControl w:val="0"/>
        <w:suppressAutoHyphens/>
        <w:spacing w:line="276" w:lineRule="auto"/>
        <w:ind w:firstLine="708"/>
        <w:jc w:val="both"/>
      </w:pPr>
    </w:p>
    <w:p w14:paraId="3D488D8C" w14:textId="5DEE579F" w:rsidR="003E7DE8" w:rsidRPr="00565033" w:rsidRDefault="003E7DE8" w:rsidP="003E7DE8">
      <w:pPr>
        <w:pStyle w:val="Default"/>
        <w:widowControl w:val="0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8"/>
        <w:jc w:val="both"/>
        <w:rPr>
          <w:b/>
          <w:bCs/>
          <w:color w:val="auto"/>
          <w:u w:val="single"/>
        </w:rPr>
      </w:pPr>
      <w:r w:rsidRPr="00565033">
        <w:rPr>
          <w:b/>
          <w:bCs/>
          <w:color w:val="auto"/>
          <w:u w:val="single"/>
        </w:rPr>
        <w:t>по приобретению картриджей, бумаги и прочих расходных материалов</w:t>
      </w:r>
    </w:p>
    <w:p w14:paraId="06EAB72D" w14:textId="60242B96" w:rsidR="00606AFA" w:rsidRPr="00565033" w:rsidRDefault="00606AFA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</w:rPr>
      </w:pPr>
    </w:p>
    <w:p w14:paraId="66A8F08F" w14:textId="1BA0546F" w:rsidR="003E7DE8" w:rsidRPr="00565033" w:rsidRDefault="003E7DE8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</w:rPr>
      </w:pPr>
      <w:r w:rsidRPr="00565033">
        <w:rPr>
          <w:bCs/>
        </w:rPr>
        <w:t xml:space="preserve">проведен анализ нормативных правовых актов, определяющих </w:t>
      </w:r>
      <w:r w:rsidR="00E118B1" w:rsidRPr="00565033">
        <w:rPr>
          <w:bCs/>
        </w:rPr>
        <w:t>нормативные затраты на приобретение картриджей, бумаги и прочих расходных материалов, а также фактическое исполнение указанных расходов в 2022 году и запланированные ассигнования на 2023 год.</w:t>
      </w:r>
    </w:p>
    <w:p w14:paraId="32FD574E" w14:textId="77777777" w:rsidR="003E7DE8" w:rsidRPr="00565033" w:rsidRDefault="003E7DE8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</w:rPr>
      </w:pPr>
    </w:p>
    <w:p w14:paraId="168C2C01" w14:textId="3DFD945C" w:rsidR="007904C1" w:rsidRPr="00565033" w:rsidRDefault="004C508E" w:rsidP="001D7579">
      <w:pPr>
        <w:pStyle w:val="a3"/>
        <w:numPr>
          <w:ilvl w:val="0"/>
          <w:numId w:val="8"/>
        </w:numPr>
        <w:spacing w:after="0"/>
        <w:jc w:val="center"/>
        <w:rPr>
          <w:b/>
          <w:bCs/>
          <w:sz w:val="24"/>
          <w:szCs w:val="24"/>
        </w:rPr>
      </w:pPr>
      <w:r w:rsidRPr="00565033">
        <w:rPr>
          <w:rFonts w:ascii="Times New Roman" w:hAnsi="Times New Roman" w:cs="Times New Roman"/>
          <w:b/>
          <w:bCs/>
          <w:sz w:val="24"/>
          <w:szCs w:val="24"/>
        </w:rPr>
        <w:t>Промежуточные</w:t>
      </w:r>
      <w:r w:rsidR="007904C1" w:rsidRPr="0056503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Pr="0056503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7904C1" w:rsidRPr="00565033">
        <w:rPr>
          <w:rFonts w:ascii="Times New Roman" w:hAnsi="Times New Roman" w:cs="Times New Roman"/>
          <w:b/>
          <w:bCs/>
          <w:sz w:val="24"/>
          <w:szCs w:val="24"/>
        </w:rPr>
        <w:t xml:space="preserve"> обзора бюджетных расходов</w:t>
      </w:r>
      <w:r w:rsidR="007904C1" w:rsidRPr="00565033">
        <w:rPr>
          <w:b/>
          <w:bCs/>
          <w:sz w:val="24"/>
          <w:szCs w:val="24"/>
        </w:rPr>
        <w:t>:</w:t>
      </w:r>
    </w:p>
    <w:tbl>
      <w:tblPr>
        <w:tblW w:w="11281" w:type="dxa"/>
        <w:tblInd w:w="-1168" w:type="dxa"/>
        <w:tblLook w:val="04A0" w:firstRow="1" w:lastRow="0" w:firstColumn="1" w:lastColumn="0" w:noHBand="0" w:noVBand="1"/>
      </w:tblPr>
      <w:tblGrid>
        <w:gridCol w:w="3119"/>
        <w:gridCol w:w="1492"/>
        <w:gridCol w:w="1340"/>
        <w:gridCol w:w="1731"/>
        <w:gridCol w:w="1126"/>
        <w:gridCol w:w="1189"/>
        <w:gridCol w:w="1273"/>
        <w:gridCol w:w="11"/>
      </w:tblGrid>
      <w:tr w:rsidR="004C508E" w:rsidRPr="004C508E" w14:paraId="02A3EB84" w14:textId="77777777" w:rsidTr="004C508E">
        <w:trPr>
          <w:trHeight w:val="825"/>
        </w:trPr>
        <w:tc>
          <w:tcPr>
            <w:tcW w:w="11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7575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Промежуточные результаты обзоров расходов по главному распорядителю бюджетных средств - Департамент образования Нефтеюганского района </w:t>
            </w:r>
          </w:p>
        </w:tc>
      </w:tr>
      <w:tr w:rsidR="004C508E" w:rsidRPr="004C508E" w14:paraId="42B71302" w14:textId="77777777" w:rsidTr="004C508E">
        <w:trPr>
          <w:gridAfter w:val="1"/>
          <w:wAfter w:w="11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ECA8B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1B0E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A96C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77D0F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586B6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BAED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8E286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4C508E" w:rsidRPr="004C508E" w14:paraId="27458DF1" w14:textId="77777777" w:rsidTr="004C508E">
        <w:trPr>
          <w:gridAfter w:val="1"/>
          <w:wAfter w:w="11" w:type="dxa"/>
          <w:trHeight w:val="9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5E3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плана мероприятий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6FF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на финансовое обеспечение муниципального задания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A96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эффект</w:t>
            </w:r>
          </w:p>
        </w:tc>
      </w:tr>
      <w:tr w:rsidR="004C508E" w:rsidRPr="004C508E" w14:paraId="3D8E7E86" w14:textId="77777777" w:rsidTr="004C508E">
        <w:trPr>
          <w:gridAfter w:val="1"/>
          <w:wAfter w:w="11" w:type="dxa"/>
          <w:trHeight w:val="189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09" w14:textId="77777777" w:rsidR="004C508E" w:rsidRPr="004C508E" w:rsidRDefault="004C508E" w:rsidP="004C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2DC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C8C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2023 год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3C4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 года с  учетом процедуры реорганизации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82C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540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5FD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C508E" w:rsidRPr="004C508E" w14:paraId="1844584B" w14:textId="77777777" w:rsidTr="004C508E">
        <w:trPr>
          <w:gridAfter w:val="1"/>
          <w:wAfter w:w="11" w:type="dxa"/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F03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путем присоединения НРМ ДОБУ "Д/с комбинированного вида "Капелька"  к НРМ ДОБУ "ЦРР- д/с "Родничок"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1E1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10 386,56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2FE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12 205,82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697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5 719,66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9F0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709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CF02" w14:textId="77777777" w:rsidR="004C508E" w:rsidRPr="004C508E" w:rsidRDefault="004C508E" w:rsidP="004C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13 201,81</w:t>
            </w:r>
          </w:p>
        </w:tc>
      </w:tr>
    </w:tbl>
    <w:p w14:paraId="3C13EB56" w14:textId="7BABB79E" w:rsidR="001D7579" w:rsidRPr="00565033" w:rsidRDefault="001D7579" w:rsidP="004C5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6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60"/>
        <w:gridCol w:w="1637"/>
        <w:gridCol w:w="1701"/>
        <w:gridCol w:w="1270"/>
        <w:gridCol w:w="6"/>
        <w:gridCol w:w="10"/>
      </w:tblGrid>
      <w:tr w:rsidR="00565033" w:rsidRPr="00565033" w14:paraId="55D49F4B" w14:textId="77777777" w:rsidTr="00565033">
        <w:trPr>
          <w:trHeight w:val="660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CEBF3" w14:textId="7CAE8AA4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обзоров расходов по муниципальной программе Нефтеюганского района "Развитие физической культуры и спорта"</w:t>
            </w:r>
          </w:p>
        </w:tc>
      </w:tr>
      <w:tr w:rsidR="00565033" w:rsidRPr="00565033" w14:paraId="6B985DC9" w14:textId="77777777" w:rsidTr="00565033">
        <w:trPr>
          <w:gridAfter w:val="1"/>
          <w:wAfter w:w="1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E2A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D02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E0D8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A45F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AB8E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0E4C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65033" w:rsidRPr="00565033" w14:paraId="356A879A" w14:textId="77777777" w:rsidTr="00565033">
        <w:trPr>
          <w:gridAfter w:val="2"/>
          <w:wAfter w:w="16" w:type="dxa"/>
          <w:trHeight w:val="12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2AD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E06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на финансовое обеспечение муниципального задания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A97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эффект</w:t>
            </w:r>
          </w:p>
        </w:tc>
      </w:tr>
      <w:tr w:rsidR="00565033" w:rsidRPr="00565033" w14:paraId="07F476FB" w14:textId="77777777" w:rsidTr="00565033">
        <w:trPr>
          <w:gridAfter w:val="1"/>
          <w:wAfter w:w="10" w:type="dxa"/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321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E12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D4B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2023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4EC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828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B47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65033" w:rsidRPr="00565033" w14:paraId="7EB37DEA" w14:textId="77777777" w:rsidTr="00565033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39E6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расходов на содержание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7AB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211 857,26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02A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193 459,52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B51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705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16 557,97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776D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16 200,00</w:t>
            </w:r>
          </w:p>
        </w:tc>
      </w:tr>
    </w:tbl>
    <w:p w14:paraId="05B010DA" w14:textId="4E8336C3" w:rsidR="00565033" w:rsidRPr="00565033" w:rsidRDefault="00565033" w:rsidP="004C5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57" w:type="dxa"/>
        <w:tblInd w:w="-1026" w:type="dxa"/>
        <w:tblLook w:val="04A0" w:firstRow="1" w:lastRow="0" w:firstColumn="1" w:lastColumn="0" w:noHBand="0" w:noVBand="1"/>
      </w:tblPr>
      <w:tblGrid>
        <w:gridCol w:w="2840"/>
        <w:gridCol w:w="1696"/>
        <w:gridCol w:w="1560"/>
        <w:gridCol w:w="1701"/>
        <w:gridCol w:w="1701"/>
        <w:gridCol w:w="1259"/>
      </w:tblGrid>
      <w:tr w:rsidR="00565033" w:rsidRPr="00565033" w14:paraId="3E344817" w14:textId="77777777" w:rsidTr="00565033">
        <w:trPr>
          <w:trHeight w:val="660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0E31" w14:textId="1EAD1706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обзоров расходов по приобретению картриджей, бумаги и прочих расходных материалов</w:t>
            </w:r>
          </w:p>
        </w:tc>
      </w:tr>
      <w:tr w:rsidR="00565033" w:rsidRPr="00565033" w14:paraId="33C58B34" w14:textId="77777777" w:rsidTr="00565033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6F79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BFD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319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3AD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A2A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90B1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65033" w:rsidRPr="00565033" w14:paraId="2158D72D" w14:textId="77777777" w:rsidTr="00565033">
        <w:trPr>
          <w:trHeight w:val="126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682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10B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на финансовое обеспечение муниципального задания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857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эффект</w:t>
            </w:r>
          </w:p>
        </w:tc>
      </w:tr>
      <w:tr w:rsidR="00565033" w:rsidRPr="00565033" w14:paraId="4677BB16" w14:textId="77777777" w:rsidTr="00565033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9D75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F9E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944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0BB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FE0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DA7" w14:textId="77777777" w:rsidR="00565033" w:rsidRPr="00565033" w:rsidRDefault="00565033" w:rsidP="0056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65033" w:rsidRPr="00565033" w14:paraId="09386F51" w14:textId="77777777" w:rsidTr="00565033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1667" w14:textId="77777777" w:rsidR="00565033" w:rsidRPr="00565033" w:rsidRDefault="00565033" w:rsidP="0056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расходов на приобретение картриджей, бумаги и прочих расходных материалов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5E57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8E3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7FE3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863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3740" w14:textId="77777777" w:rsidR="00565033" w:rsidRPr="00565033" w:rsidRDefault="00565033" w:rsidP="0056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</w:tr>
    </w:tbl>
    <w:p w14:paraId="1AD8C031" w14:textId="71590A4F" w:rsidR="00565033" w:rsidRPr="00565033" w:rsidRDefault="00565033" w:rsidP="004C5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D5D53" w14:textId="50B22180" w:rsidR="00565033" w:rsidRPr="00565033" w:rsidRDefault="00565033" w:rsidP="0056503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033">
        <w:rPr>
          <w:rFonts w:ascii="Times New Roman" w:hAnsi="Times New Roman" w:cs="Times New Roman"/>
          <w:b/>
          <w:bCs/>
          <w:sz w:val="24"/>
          <w:szCs w:val="24"/>
        </w:rPr>
        <w:t>Главным распорядителям средств бюджета Нефтеюганского района учесть результаты обзоров расходов при планировании бюджета района 2024 год и плановый период 2025-2026 годов.</w:t>
      </w:r>
    </w:p>
    <w:sectPr w:rsidR="00565033" w:rsidRPr="00565033" w:rsidSect="009A35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27C"/>
    <w:multiLevelType w:val="hybridMultilevel"/>
    <w:tmpl w:val="A61C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20A"/>
    <w:multiLevelType w:val="hybridMultilevel"/>
    <w:tmpl w:val="6EC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D6B"/>
    <w:multiLevelType w:val="multilevel"/>
    <w:tmpl w:val="5B24E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22D4B20"/>
    <w:multiLevelType w:val="hybridMultilevel"/>
    <w:tmpl w:val="DC30CC70"/>
    <w:lvl w:ilvl="0" w:tplc="7AAEC512">
      <w:start w:val="2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0F7529"/>
    <w:multiLevelType w:val="hybridMultilevel"/>
    <w:tmpl w:val="18D02B38"/>
    <w:lvl w:ilvl="0" w:tplc="C39CB1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A0EBF"/>
    <w:multiLevelType w:val="hybridMultilevel"/>
    <w:tmpl w:val="EE9A4D1C"/>
    <w:lvl w:ilvl="0" w:tplc="E82436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B9F0BE8"/>
    <w:multiLevelType w:val="multilevel"/>
    <w:tmpl w:val="D40A3A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/>
      </w:rPr>
    </w:lvl>
  </w:abstractNum>
  <w:abstractNum w:abstractNumId="7" w15:restartNumberingAfterBreak="0">
    <w:nsid w:val="4CB34513"/>
    <w:multiLevelType w:val="multilevel"/>
    <w:tmpl w:val="3D74F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A535EA9"/>
    <w:multiLevelType w:val="hybridMultilevel"/>
    <w:tmpl w:val="870E8E4E"/>
    <w:lvl w:ilvl="0" w:tplc="6344AA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CF2B23"/>
    <w:multiLevelType w:val="hybridMultilevel"/>
    <w:tmpl w:val="58C88760"/>
    <w:lvl w:ilvl="0" w:tplc="693A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1A"/>
    <w:rsid w:val="0001191F"/>
    <w:rsid w:val="00027BB6"/>
    <w:rsid w:val="00030D53"/>
    <w:rsid w:val="00046EA6"/>
    <w:rsid w:val="0005180F"/>
    <w:rsid w:val="0007584C"/>
    <w:rsid w:val="000B0A5A"/>
    <w:rsid w:val="000B76F9"/>
    <w:rsid w:val="000C20B0"/>
    <w:rsid w:val="000D698F"/>
    <w:rsid w:val="00102362"/>
    <w:rsid w:val="00110B83"/>
    <w:rsid w:val="0013139A"/>
    <w:rsid w:val="00145B27"/>
    <w:rsid w:val="0015004E"/>
    <w:rsid w:val="0015277E"/>
    <w:rsid w:val="00155F2A"/>
    <w:rsid w:val="00156F6C"/>
    <w:rsid w:val="001618A3"/>
    <w:rsid w:val="0016531F"/>
    <w:rsid w:val="00172BEA"/>
    <w:rsid w:val="00174B90"/>
    <w:rsid w:val="001952B0"/>
    <w:rsid w:val="001C26ED"/>
    <w:rsid w:val="001D7381"/>
    <w:rsid w:val="001D7579"/>
    <w:rsid w:val="00200BE8"/>
    <w:rsid w:val="00220299"/>
    <w:rsid w:val="00221C2A"/>
    <w:rsid w:val="00224488"/>
    <w:rsid w:val="00237225"/>
    <w:rsid w:val="00246E1A"/>
    <w:rsid w:val="0024770D"/>
    <w:rsid w:val="002547C2"/>
    <w:rsid w:val="00275417"/>
    <w:rsid w:val="00286FA2"/>
    <w:rsid w:val="00297AE9"/>
    <w:rsid w:val="002A3E9A"/>
    <w:rsid w:val="002D7C60"/>
    <w:rsid w:val="002E56C2"/>
    <w:rsid w:val="00303541"/>
    <w:rsid w:val="00320BF4"/>
    <w:rsid w:val="003314C8"/>
    <w:rsid w:val="00357423"/>
    <w:rsid w:val="003609B6"/>
    <w:rsid w:val="0036141C"/>
    <w:rsid w:val="00377992"/>
    <w:rsid w:val="00383A61"/>
    <w:rsid w:val="003C4A95"/>
    <w:rsid w:val="003D669C"/>
    <w:rsid w:val="003E00BB"/>
    <w:rsid w:val="003E7DE8"/>
    <w:rsid w:val="003F3C1F"/>
    <w:rsid w:val="00405A3F"/>
    <w:rsid w:val="00407642"/>
    <w:rsid w:val="0041079D"/>
    <w:rsid w:val="00441380"/>
    <w:rsid w:val="00453A42"/>
    <w:rsid w:val="004550A0"/>
    <w:rsid w:val="004565CE"/>
    <w:rsid w:val="00465526"/>
    <w:rsid w:val="00493F2C"/>
    <w:rsid w:val="004A4912"/>
    <w:rsid w:val="004B0558"/>
    <w:rsid w:val="004B226D"/>
    <w:rsid w:val="004B3BAB"/>
    <w:rsid w:val="004C508E"/>
    <w:rsid w:val="004D4F1B"/>
    <w:rsid w:val="004E6A20"/>
    <w:rsid w:val="004F2227"/>
    <w:rsid w:val="004F3DB8"/>
    <w:rsid w:val="004F4A9E"/>
    <w:rsid w:val="00502582"/>
    <w:rsid w:val="00537FBA"/>
    <w:rsid w:val="00547A34"/>
    <w:rsid w:val="00565033"/>
    <w:rsid w:val="0057025B"/>
    <w:rsid w:val="00575AD7"/>
    <w:rsid w:val="00592362"/>
    <w:rsid w:val="005B6EB6"/>
    <w:rsid w:val="005D1C98"/>
    <w:rsid w:val="005E7F47"/>
    <w:rsid w:val="00606AFA"/>
    <w:rsid w:val="00616678"/>
    <w:rsid w:val="00622F2A"/>
    <w:rsid w:val="00624235"/>
    <w:rsid w:val="00632E8D"/>
    <w:rsid w:val="0064163B"/>
    <w:rsid w:val="006456C6"/>
    <w:rsid w:val="00672606"/>
    <w:rsid w:val="006776F2"/>
    <w:rsid w:val="006841BA"/>
    <w:rsid w:val="006C7205"/>
    <w:rsid w:val="006D3285"/>
    <w:rsid w:val="006D67A6"/>
    <w:rsid w:val="006E6E86"/>
    <w:rsid w:val="006F064A"/>
    <w:rsid w:val="006F6EFD"/>
    <w:rsid w:val="006F76D8"/>
    <w:rsid w:val="00714302"/>
    <w:rsid w:val="007431C1"/>
    <w:rsid w:val="007548A3"/>
    <w:rsid w:val="007636B9"/>
    <w:rsid w:val="00773D7C"/>
    <w:rsid w:val="00780FB6"/>
    <w:rsid w:val="007904C1"/>
    <w:rsid w:val="007A0296"/>
    <w:rsid w:val="007A5E58"/>
    <w:rsid w:val="007B019F"/>
    <w:rsid w:val="007B412C"/>
    <w:rsid w:val="007C506A"/>
    <w:rsid w:val="007D3C40"/>
    <w:rsid w:val="007E1794"/>
    <w:rsid w:val="0081230C"/>
    <w:rsid w:val="008137CF"/>
    <w:rsid w:val="00813B10"/>
    <w:rsid w:val="00840535"/>
    <w:rsid w:val="00842FC4"/>
    <w:rsid w:val="00846F70"/>
    <w:rsid w:val="008C0670"/>
    <w:rsid w:val="008C598D"/>
    <w:rsid w:val="008E2256"/>
    <w:rsid w:val="008F58E9"/>
    <w:rsid w:val="0090061D"/>
    <w:rsid w:val="00902C84"/>
    <w:rsid w:val="00910091"/>
    <w:rsid w:val="00920070"/>
    <w:rsid w:val="00940D18"/>
    <w:rsid w:val="00947779"/>
    <w:rsid w:val="00971DB1"/>
    <w:rsid w:val="00990240"/>
    <w:rsid w:val="009A0705"/>
    <w:rsid w:val="009A3566"/>
    <w:rsid w:val="009A3A22"/>
    <w:rsid w:val="009D3834"/>
    <w:rsid w:val="009D760E"/>
    <w:rsid w:val="009F539D"/>
    <w:rsid w:val="009F5D7B"/>
    <w:rsid w:val="00A03F52"/>
    <w:rsid w:val="00A05C1C"/>
    <w:rsid w:val="00A069F7"/>
    <w:rsid w:val="00A172A0"/>
    <w:rsid w:val="00A25F6D"/>
    <w:rsid w:val="00A443C3"/>
    <w:rsid w:val="00A47948"/>
    <w:rsid w:val="00A50AC1"/>
    <w:rsid w:val="00A61B1A"/>
    <w:rsid w:val="00AB4600"/>
    <w:rsid w:val="00AD4768"/>
    <w:rsid w:val="00AD72F3"/>
    <w:rsid w:val="00AF0001"/>
    <w:rsid w:val="00B0354F"/>
    <w:rsid w:val="00B23676"/>
    <w:rsid w:val="00B25B45"/>
    <w:rsid w:val="00B35715"/>
    <w:rsid w:val="00B40445"/>
    <w:rsid w:val="00B40715"/>
    <w:rsid w:val="00B436C5"/>
    <w:rsid w:val="00B64C83"/>
    <w:rsid w:val="00B67D9C"/>
    <w:rsid w:val="00B737D4"/>
    <w:rsid w:val="00B93CFF"/>
    <w:rsid w:val="00BA38D5"/>
    <w:rsid w:val="00BB0456"/>
    <w:rsid w:val="00BF0C4B"/>
    <w:rsid w:val="00C07E93"/>
    <w:rsid w:val="00C1509A"/>
    <w:rsid w:val="00C16485"/>
    <w:rsid w:val="00C178B5"/>
    <w:rsid w:val="00C3407F"/>
    <w:rsid w:val="00C44224"/>
    <w:rsid w:val="00C4501E"/>
    <w:rsid w:val="00C51319"/>
    <w:rsid w:val="00C55918"/>
    <w:rsid w:val="00C824EA"/>
    <w:rsid w:val="00C925A8"/>
    <w:rsid w:val="00C960A7"/>
    <w:rsid w:val="00CA2888"/>
    <w:rsid w:val="00CC4D18"/>
    <w:rsid w:val="00CE4600"/>
    <w:rsid w:val="00CF4309"/>
    <w:rsid w:val="00D3447E"/>
    <w:rsid w:val="00D62322"/>
    <w:rsid w:val="00D70B04"/>
    <w:rsid w:val="00D7221F"/>
    <w:rsid w:val="00D75E3D"/>
    <w:rsid w:val="00D76F19"/>
    <w:rsid w:val="00D9469B"/>
    <w:rsid w:val="00D9560D"/>
    <w:rsid w:val="00D9725D"/>
    <w:rsid w:val="00DA32B3"/>
    <w:rsid w:val="00DA4FA2"/>
    <w:rsid w:val="00DB12A5"/>
    <w:rsid w:val="00DD155D"/>
    <w:rsid w:val="00DF349C"/>
    <w:rsid w:val="00E0717B"/>
    <w:rsid w:val="00E118B1"/>
    <w:rsid w:val="00E44873"/>
    <w:rsid w:val="00E47E77"/>
    <w:rsid w:val="00E56A0A"/>
    <w:rsid w:val="00E771EE"/>
    <w:rsid w:val="00E80D26"/>
    <w:rsid w:val="00E91253"/>
    <w:rsid w:val="00E9696F"/>
    <w:rsid w:val="00EC0907"/>
    <w:rsid w:val="00ED272A"/>
    <w:rsid w:val="00EE3A72"/>
    <w:rsid w:val="00EF4A11"/>
    <w:rsid w:val="00F17474"/>
    <w:rsid w:val="00F30756"/>
    <w:rsid w:val="00F35B80"/>
    <w:rsid w:val="00F55AB8"/>
    <w:rsid w:val="00F775A1"/>
    <w:rsid w:val="00FA0FB0"/>
    <w:rsid w:val="00FD6E15"/>
    <w:rsid w:val="00FE45E4"/>
    <w:rsid w:val="00FF3A5F"/>
    <w:rsid w:val="00FF5272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9485"/>
  <w15:docId w15:val="{607FA1D2-CE0F-4E01-B57E-B12338E0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3B10"/>
    <w:pPr>
      <w:ind w:left="720"/>
      <w:contextualSpacing/>
    </w:pPr>
  </w:style>
  <w:style w:type="table" w:styleId="a4">
    <w:name w:val="Table Grid"/>
    <w:basedOn w:val="a1"/>
    <w:uiPriority w:val="59"/>
    <w:rsid w:val="00F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26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722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Абзац"/>
    <w:basedOn w:val="a"/>
    <w:link w:val="a9"/>
    <w:qFormat/>
    <w:rsid w:val="0090061D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9">
    <w:name w:val="Абзац Знак"/>
    <w:basedOn w:val="a0"/>
    <w:link w:val="a8"/>
    <w:rsid w:val="0090061D"/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6515-57BA-4EBF-8E1A-0862ACED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Московкина Лариса Денисовна</dc:creator>
  <cp:keywords/>
  <dc:description/>
  <cp:lastModifiedBy>Шикунова Лина Вадимовна</cp:lastModifiedBy>
  <cp:revision>152</cp:revision>
  <dcterms:created xsi:type="dcterms:W3CDTF">2020-02-06T07:05:00Z</dcterms:created>
  <dcterms:modified xsi:type="dcterms:W3CDTF">2023-10-03T07:33:00Z</dcterms:modified>
</cp:coreProperties>
</file>