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9889" w14:textId="77777777" w:rsidR="00005E3C" w:rsidRPr="00005E3C" w:rsidRDefault="00005E3C" w:rsidP="00005E3C">
      <w:pPr>
        <w:framePr w:w="9216" w:h="643" w:hRule="exact" w:wrap="none" w:vAnchor="page" w:hAnchor="page" w:x="1837" w:y="1084"/>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005E3C">
        <w:rPr>
          <w:rFonts w:ascii="Times New Roman" w:eastAsia="Times New Roman" w:hAnsi="Times New Roman" w:cs="Times New Roman"/>
          <w:b/>
          <w:bCs/>
          <w:color w:val="000000"/>
          <w:sz w:val="26"/>
          <w:szCs w:val="26"/>
          <w:lang w:eastAsia="ru-RU" w:bidi="ru-RU"/>
        </w:rPr>
        <w:t>ХАНТЫ-МАНСИЙСКИЙ АВТОНОМНЫЙ ОКРУГ - ЮГРА</w:t>
      </w:r>
      <w:r w:rsidRPr="00005E3C">
        <w:rPr>
          <w:rFonts w:ascii="Times New Roman" w:eastAsia="Times New Roman" w:hAnsi="Times New Roman" w:cs="Times New Roman"/>
          <w:b/>
          <w:bCs/>
          <w:color w:val="000000"/>
          <w:sz w:val="26"/>
          <w:szCs w:val="26"/>
          <w:lang w:eastAsia="ru-RU" w:bidi="ru-RU"/>
        </w:rPr>
        <w:br/>
        <w:t>МУНИЦИПАЛЬНОЕ ОБРАЗОВАНИЕ НЕФТЕЮГАНСКИЙ РАЙОН</w:t>
      </w:r>
    </w:p>
    <w:p w14:paraId="0E98738C" w14:textId="77777777" w:rsidR="00005E3C" w:rsidRPr="00005E3C" w:rsidRDefault="00005E3C" w:rsidP="00005E3C">
      <w:pPr>
        <w:framePr w:w="9216" w:h="2275" w:hRule="exact" w:wrap="none" w:vAnchor="page" w:hAnchor="page" w:x="1837" w:y="3791"/>
        <w:widowControl w:val="0"/>
        <w:spacing w:after="0" w:line="233" w:lineRule="auto"/>
        <w:jc w:val="center"/>
        <w:rPr>
          <w:rFonts w:ascii="Times New Roman" w:eastAsia="Times New Roman" w:hAnsi="Times New Roman" w:cs="Times New Roman"/>
          <w:b/>
          <w:bCs/>
          <w:color w:val="000000"/>
          <w:sz w:val="32"/>
          <w:szCs w:val="32"/>
          <w:lang w:eastAsia="ru-RU" w:bidi="ru-RU"/>
        </w:rPr>
      </w:pPr>
      <w:r w:rsidRPr="00005E3C">
        <w:rPr>
          <w:rFonts w:ascii="Times New Roman" w:eastAsia="Times New Roman" w:hAnsi="Times New Roman" w:cs="Times New Roman"/>
          <w:b/>
          <w:bCs/>
          <w:color w:val="000000"/>
          <w:sz w:val="36"/>
          <w:szCs w:val="36"/>
          <w:lang w:eastAsia="ru-RU" w:bidi="ru-RU"/>
        </w:rPr>
        <w:t>Доклад</w:t>
      </w:r>
      <w:r w:rsidRPr="00005E3C">
        <w:rPr>
          <w:rFonts w:ascii="Times New Roman" w:eastAsia="Times New Roman" w:hAnsi="Times New Roman" w:cs="Times New Roman"/>
          <w:b/>
          <w:bCs/>
          <w:color w:val="000000"/>
          <w:sz w:val="36"/>
          <w:szCs w:val="36"/>
          <w:lang w:eastAsia="ru-RU" w:bidi="ru-RU"/>
        </w:rPr>
        <w:br/>
      </w:r>
      <w:r w:rsidRPr="00005E3C">
        <w:rPr>
          <w:rFonts w:ascii="Times New Roman" w:eastAsia="Times New Roman" w:hAnsi="Times New Roman" w:cs="Times New Roman"/>
          <w:b/>
          <w:bCs/>
          <w:color w:val="000000"/>
          <w:sz w:val="32"/>
          <w:szCs w:val="32"/>
          <w:lang w:eastAsia="ru-RU" w:bidi="ru-RU"/>
        </w:rPr>
        <w:t>Главы Нефтеюганского района</w:t>
      </w:r>
      <w:r w:rsidRPr="00005E3C">
        <w:rPr>
          <w:rFonts w:ascii="Times New Roman" w:eastAsia="Times New Roman" w:hAnsi="Times New Roman" w:cs="Times New Roman"/>
          <w:b/>
          <w:bCs/>
          <w:color w:val="000000"/>
          <w:sz w:val="32"/>
          <w:szCs w:val="32"/>
          <w:lang w:eastAsia="ru-RU" w:bidi="ru-RU"/>
        </w:rPr>
        <w:br/>
        <w:t>«О достигнутых значениях показателей для оценки</w:t>
      </w:r>
      <w:r w:rsidRPr="00005E3C">
        <w:rPr>
          <w:rFonts w:ascii="Times New Roman" w:eastAsia="Times New Roman" w:hAnsi="Times New Roman" w:cs="Times New Roman"/>
          <w:b/>
          <w:bCs/>
          <w:color w:val="000000"/>
          <w:sz w:val="32"/>
          <w:szCs w:val="32"/>
          <w:lang w:eastAsia="ru-RU" w:bidi="ru-RU"/>
        </w:rPr>
        <w:br/>
        <w:t>эффективности деятельности органов местного</w:t>
      </w:r>
      <w:r w:rsidRPr="00005E3C">
        <w:rPr>
          <w:rFonts w:ascii="Times New Roman" w:eastAsia="Times New Roman" w:hAnsi="Times New Roman" w:cs="Times New Roman"/>
          <w:b/>
          <w:bCs/>
          <w:color w:val="000000"/>
          <w:sz w:val="32"/>
          <w:szCs w:val="32"/>
          <w:lang w:eastAsia="ru-RU" w:bidi="ru-RU"/>
        </w:rPr>
        <w:br/>
        <w:t>самоуправления муниципального района за отчетный 2023 год</w:t>
      </w:r>
      <w:r w:rsidRPr="00005E3C">
        <w:rPr>
          <w:rFonts w:ascii="Times New Roman" w:eastAsia="Times New Roman" w:hAnsi="Times New Roman" w:cs="Times New Roman"/>
          <w:b/>
          <w:bCs/>
          <w:color w:val="000000"/>
          <w:sz w:val="32"/>
          <w:szCs w:val="32"/>
          <w:lang w:eastAsia="ru-RU" w:bidi="ru-RU"/>
        </w:rPr>
        <w:br/>
        <w:t>и их планируемых значениях на 3-летний период»</w:t>
      </w:r>
    </w:p>
    <w:p w14:paraId="0995890B" w14:textId="77777777" w:rsidR="00005E3C" w:rsidRPr="00005E3C" w:rsidRDefault="00005E3C" w:rsidP="00005E3C">
      <w:pPr>
        <w:framePr w:wrap="none" w:vAnchor="page" w:hAnchor="page" w:x="6925" w:y="7852"/>
        <w:widowControl w:val="0"/>
        <w:spacing w:after="0" w:line="240" w:lineRule="auto"/>
        <w:rPr>
          <w:rFonts w:ascii="Microsoft Sans Serif" w:eastAsia="Microsoft Sans Serif" w:hAnsi="Microsoft Sans Serif" w:cs="Microsoft Sans Serif"/>
          <w:color w:val="000000"/>
          <w:sz w:val="2"/>
          <w:szCs w:val="2"/>
          <w:lang w:eastAsia="ru-RU" w:bidi="ru-RU"/>
        </w:rPr>
      </w:pPr>
      <w:r w:rsidRPr="00005E3C">
        <w:rPr>
          <w:rFonts w:ascii="Microsoft Sans Serif" w:eastAsia="Microsoft Sans Serif" w:hAnsi="Microsoft Sans Serif" w:cs="Microsoft Sans Serif"/>
          <w:noProof/>
          <w:color w:val="000000"/>
          <w:sz w:val="24"/>
          <w:szCs w:val="24"/>
          <w:lang w:eastAsia="ru-RU" w:bidi="ru-RU"/>
        </w:rPr>
        <w:drawing>
          <wp:inline distT="0" distB="0" distL="0" distR="0" wp14:anchorId="7379E19D" wp14:editId="25D1303C">
            <wp:extent cx="2749550" cy="9448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749550" cy="944880"/>
                    </a:xfrm>
                    <a:prstGeom prst="rect">
                      <a:avLst/>
                    </a:prstGeom>
                  </pic:spPr>
                </pic:pic>
              </a:graphicData>
            </a:graphic>
          </wp:inline>
        </w:drawing>
      </w:r>
    </w:p>
    <w:p w14:paraId="48B733E7" w14:textId="77777777" w:rsidR="00005E3C" w:rsidRPr="00005E3C" w:rsidRDefault="00005E3C" w:rsidP="00005E3C">
      <w:pPr>
        <w:framePr w:w="9216" w:h="648" w:hRule="exact" w:wrap="none" w:vAnchor="page" w:hAnchor="page" w:x="1837" w:y="14793"/>
        <w:widowControl w:val="0"/>
        <w:spacing w:after="0" w:line="240" w:lineRule="auto"/>
        <w:jc w:val="center"/>
        <w:rPr>
          <w:rFonts w:ascii="Times New Roman" w:eastAsia="Times New Roman" w:hAnsi="Times New Roman" w:cs="Times New Roman"/>
          <w:b/>
          <w:bCs/>
          <w:color w:val="000000"/>
          <w:sz w:val="26"/>
          <w:szCs w:val="26"/>
          <w:lang w:eastAsia="ru-RU" w:bidi="ru-RU"/>
        </w:rPr>
      </w:pPr>
      <w:proofErr w:type="spellStart"/>
      <w:r w:rsidRPr="00005E3C">
        <w:rPr>
          <w:rFonts w:ascii="Times New Roman" w:eastAsia="Times New Roman" w:hAnsi="Times New Roman" w:cs="Times New Roman"/>
          <w:color w:val="000000"/>
          <w:sz w:val="26"/>
          <w:szCs w:val="26"/>
          <w:lang w:eastAsia="ru-RU" w:bidi="ru-RU"/>
        </w:rPr>
        <w:t>г.Нефтеюганск</w:t>
      </w:r>
      <w:proofErr w:type="spellEnd"/>
      <w:r w:rsidRPr="00005E3C">
        <w:rPr>
          <w:rFonts w:ascii="Times New Roman" w:eastAsia="Times New Roman" w:hAnsi="Times New Roman" w:cs="Times New Roman"/>
          <w:color w:val="000000"/>
          <w:sz w:val="26"/>
          <w:szCs w:val="26"/>
          <w:lang w:eastAsia="ru-RU" w:bidi="ru-RU"/>
        </w:rPr>
        <w:br/>
        <w:t>2024 г.</w:t>
      </w:r>
    </w:p>
    <w:p w14:paraId="374EF4A4"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6B0C1B9B"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4A8BF5F4"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76677A2A" w14:textId="77777777" w:rsidR="00005E3C" w:rsidRPr="00005E3C" w:rsidRDefault="00005E3C" w:rsidP="00005E3C">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7AC6860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D0FD22B"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2FE948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B96231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9CD0DD6"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A98947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A84B59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037D85E"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9747F12"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53B7EC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67A61D7"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00869F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DD71CE6"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07C856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416FD2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0FAFCF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7C6645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1055A8B"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56F4BA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9B6389D"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EA68493"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538D55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05C5D1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26B2A7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4482604"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EE72FB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61D2A5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7ECFB74"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9777A6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7A01637"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381106D"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95FF446"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12AF0A2"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75E2A1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2820A94"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1DC9A9E"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7248AD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FEF6C98"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F25BAD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57CB53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C4128B1"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1AC2F81A"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4B4C334"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5B17FD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5829F7E"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F2D81AF"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FD4F967"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870D4A9"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B9B3520" w14:textId="77777777" w:rsidR="00005E3C" w:rsidRPr="00005E3C" w:rsidRDefault="00005E3C" w:rsidP="00005E3C">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C5215BF"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r w:rsidRPr="00005E3C">
        <w:rPr>
          <w:rFonts w:ascii="Microsoft Sans Serif" w:eastAsia="Microsoft Sans Serif" w:hAnsi="Microsoft Sans Serif" w:cs="Microsoft Sans Serif"/>
          <w:color w:val="000000"/>
          <w:sz w:val="24"/>
          <w:szCs w:val="24"/>
          <w:lang w:eastAsia="ru-RU" w:bidi="ru-RU"/>
        </w:rPr>
        <w:tab/>
      </w:r>
    </w:p>
    <w:p w14:paraId="44190373"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0EA61C10"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158F37A7" w14:textId="77777777" w:rsidR="00005E3C" w:rsidRPr="00005E3C" w:rsidRDefault="00005E3C" w:rsidP="00005E3C">
      <w:pPr>
        <w:widowControl w:val="0"/>
        <w:tabs>
          <w:tab w:val="left" w:pos="6495"/>
        </w:tabs>
        <w:spacing w:after="0" w:line="240" w:lineRule="auto"/>
        <w:rPr>
          <w:rFonts w:ascii="Microsoft Sans Serif" w:eastAsia="Microsoft Sans Serif" w:hAnsi="Microsoft Sans Serif" w:cs="Microsoft Sans Serif"/>
          <w:color w:val="000000"/>
          <w:sz w:val="24"/>
          <w:szCs w:val="24"/>
          <w:lang w:eastAsia="ru-RU" w:bidi="ru-RU"/>
        </w:rPr>
      </w:pPr>
    </w:p>
    <w:p w14:paraId="6612DD4E" w14:textId="77777777" w:rsidR="006804C1" w:rsidRPr="006804C1" w:rsidRDefault="006804C1" w:rsidP="006804C1">
      <w:pPr>
        <w:spacing w:after="0" w:line="240" w:lineRule="auto"/>
        <w:jc w:val="center"/>
        <w:rPr>
          <w:rFonts w:ascii="Times New Roman" w:eastAsia="Calibri" w:hAnsi="Times New Roman" w:cs="Times New Roman"/>
          <w:sz w:val="26"/>
          <w:szCs w:val="26"/>
        </w:rPr>
      </w:pPr>
      <w:r w:rsidRPr="006804C1">
        <w:rPr>
          <w:rFonts w:ascii="Times New Roman" w:eastAsia="Calibri" w:hAnsi="Times New Roman" w:cs="Times New Roman"/>
          <w:sz w:val="26"/>
          <w:szCs w:val="26"/>
        </w:rPr>
        <w:lastRenderedPageBreak/>
        <w:t>Содержание</w:t>
      </w:r>
    </w:p>
    <w:p w14:paraId="7CC0DDF6" w14:textId="77777777" w:rsidR="006804C1" w:rsidRPr="006804C1" w:rsidRDefault="006804C1" w:rsidP="006804C1">
      <w:pPr>
        <w:spacing w:after="0" w:line="240" w:lineRule="auto"/>
        <w:rPr>
          <w:rFonts w:ascii="Times New Roman" w:eastAsia="Calibri" w:hAnsi="Times New Roman" w:cs="Times New Roman"/>
          <w:sz w:val="24"/>
          <w:szCs w:val="24"/>
        </w:rPr>
      </w:pPr>
    </w:p>
    <w:tbl>
      <w:tblPr>
        <w:tblW w:w="10695" w:type="dxa"/>
        <w:tblInd w:w="-856" w:type="dxa"/>
        <w:tblLayout w:type="fixed"/>
        <w:tblLook w:val="04A0" w:firstRow="1" w:lastRow="0" w:firstColumn="1" w:lastColumn="0" w:noHBand="0" w:noVBand="1"/>
      </w:tblPr>
      <w:tblGrid>
        <w:gridCol w:w="10065"/>
        <w:gridCol w:w="630"/>
      </w:tblGrid>
      <w:tr w:rsidR="006804C1" w:rsidRPr="006804C1" w14:paraId="59DDCA5A" w14:textId="77777777" w:rsidTr="00E63797">
        <w:tc>
          <w:tcPr>
            <w:tcW w:w="10065" w:type="dxa"/>
            <w:shd w:val="clear" w:color="auto" w:fill="auto"/>
          </w:tcPr>
          <w:p w14:paraId="0E102466" w14:textId="77777777" w:rsidR="006804C1" w:rsidRPr="006804C1" w:rsidRDefault="006804C1" w:rsidP="006804C1">
            <w:pPr>
              <w:spacing w:after="0" w:line="240" w:lineRule="auto"/>
              <w:ind w:firstLine="210"/>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1. Основные итоги социально - экономического развития</w:t>
            </w:r>
          </w:p>
          <w:p w14:paraId="1C51249D" w14:textId="77777777" w:rsidR="006804C1" w:rsidRPr="006804C1" w:rsidRDefault="006804C1" w:rsidP="006804C1">
            <w:pPr>
              <w:spacing w:after="0" w:line="240" w:lineRule="auto"/>
              <w:ind w:firstLine="210"/>
              <w:rPr>
                <w:rFonts w:ascii="Times New Roman" w:eastAsia="Calibri" w:hAnsi="Times New Roman" w:cs="Times New Roman"/>
                <w:sz w:val="26"/>
                <w:szCs w:val="26"/>
              </w:rPr>
            </w:pPr>
          </w:p>
        </w:tc>
        <w:tc>
          <w:tcPr>
            <w:tcW w:w="630" w:type="dxa"/>
            <w:shd w:val="clear" w:color="auto" w:fill="auto"/>
          </w:tcPr>
          <w:p w14:paraId="6FF6606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20D99F20" w14:textId="77777777" w:rsidTr="00E63797">
        <w:tc>
          <w:tcPr>
            <w:tcW w:w="10065" w:type="dxa"/>
            <w:shd w:val="clear" w:color="auto" w:fill="auto"/>
          </w:tcPr>
          <w:p w14:paraId="2CA8C4AD"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Демографическая ситуация</w:t>
            </w:r>
          </w:p>
          <w:p w14:paraId="618DDC7D"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1A5097B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4A250530" w14:textId="77777777" w:rsidTr="00E63797">
        <w:tc>
          <w:tcPr>
            <w:tcW w:w="10065" w:type="dxa"/>
            <w:shd w:val="clear" w:color="auto" w:fill="auto"/>
          </w:tcPr>
          <w:p w14:paraId="57BA5F52"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Промышленность</w:t>
            </w:r>
          </w:p>
          <w:p w14:paraId="23E7BEAF"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0C8AF6A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4</w:t>
            </w:r>
          </w:p>
        </w:tc>
      </w:tr>
      <w:tr w:rsidR="006804C1" w:rsidRPr="006804C1" w14:paraId="177F0F8D" w14:textId="77777777" w:rsidTr="00E63797">
        <w:tc>
          <w:tcPr>
            <w:tcW w:w="10065" w:type="dxa"/>
            <w:shd w:val="clear" w:color="auto" w:fill="auto"/>
          </w:tcPr>
          <w:p w14:paraId="0944D5D6"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Инвестиции</w:t>
            </w:r>
          </w:p>
          <w:p w14:paraId="30CC2C97"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23D7590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5</w:t>
            </w:r>
          </w:p>
        </w:tc>
      </w:tr>
      <w:tr w:rsidR="006804C1" w:rsidRPr="006804C1" w14:paraId="27CC1C75" w14:textId="77777777" w:rsidTr="00E63797">
        <w:tc>
          <w:tcPr>
            <w:tcW w:w="10065" w:type="dxa"/>
            <w:shd w:val="clear" w:color="auto" w:fill="auto"/>
          </w:tcPr>
          <w:p w14:paraId="00845BEF"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Занятость населения</w:t>
            </w:r>
          </w:p>
          <w:p w14:paraId="70C78CC7"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3270ADE6"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6</w:t>
            </w:r>
          </w:p>
        </w:tc>
      </w:tr>
      <w:tr w:rsidR="006804C1" w:rsidRPr="006804C1" w14:paraId="69551385" w14:textId="77777777" w:rsidTr="00E63797">
        <w:tc>
          <w:tcPr>
            <w:tcW w:w="10065" w:type="dxa"/>
            <w:shd w:val="clear" w:color="auto" w:fill="auto"/>
          </w:tcPr>
          <w:p w14:paraId="5C6C8E6B"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Денежные доходы и расходы населения</w:t>
            </w:r>
          </w:p>
          <w:p w14:paraId="4BA07783"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6615B1DB"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7</w:t>
            </w:r>
          </w:p>
        </w:tc>
      </w:tr>
      <w:tr w:rsidR="006804C1" w:rsidRPr="006804C1" w14:paraId="7DD78F6A" w14:textId="77777777" w:rsidTr="00E63797">
        <w:tc>
          <w:tcPr>
            <w:tcW w:w="10065" w:type="dxa"/>
            <w:shd w:val="clear" w:color="auto" w:fill="auto"/>
          </w:tcPr>
          <w:p w14:paraId="7FDAC3E8"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Times New Roman" w:hAnsi="Times New Roman" w:cs="Times New Roman"/>
                <w:sz w:val="26"/>
                <w:szCs w:val="26"/>
                <w:lang w:eastAsia="ru-RU"/>
              </w:rPr>
              <w:t>Потребительский рынок</w:t>
            </w:r>
          </w:p>
          <w:p w14:paraId="069A9F62"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74E12F11" w14:textId="64944A69"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6804C1" w:rsidRPr="006804C1" w14:paraId="44294C97" w14:textId="77777777" w:rsidTr="00E63797">
        <w:tc>
          <w:tcPr>
            <w:tcW w:w="10065" w:type="dxa"/>
            <w:shd w:val="clear" w:color="auto" w:fill="auto"/>
          </w:tcPr>
          <w:p w14:paraId="51A5D99B"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Calibri" w:hAnsi="Times New Roman" w:cs="Times New Roman"/>
                <w:sz w:val="26"/>
                <w:szCs w:val="26"/>
              </w:rPr>
              <w:t>Криминогенная обстановка</w:t>
            </w:r>
          </w:p>
          <w:p w14:paraId="6299F223"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46EB18F5" w14:textId="77777777"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9</w:t>
            </w:r>
          </w:p>
        </w:tc>
      </w:tr>
      <w:tr w:rsidR="006804C1" w:rsidRPr="006804C1" w14:paraId="74C49F6F" w14:textId="77777777" w:rsidTr="00E63797">
        <w:tc>
          <w:tcPr>
            <w:tcW w:w="10065" w:type="dxa"/>
            <w:shd w:val="clear" w:color="auto" w:fill="auto"/>
          </w:tcPr>
          <w:p w14:paraId="7F6C11AC"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hAnsi="Times New Roman" w:cs="Times New Roman"/>
                <w:sz w:val="26"/>
                <w:szCs w:val="26"/>
              </w:rPr>
              <w:t xml:space="preserve">Состояние жилищного фонда, в том числе в соответствии с </w:t>
            </w:r>
            <w:hyperlink w:anchor="Par464" w:history="1">
              <w:r w:rsidRPr="006804C1">
                <w:rPr>
                  <w:rFonts w:ascii="Times New Roman" w:hAnsi="Times New Roman" w:cs="Times New Roman"/>
                  <w:sz w:val="26"/>
                  <w:szCs w:val="26"/>
                </w:rPr>
                <w:t>таблицей</w:t>
              </w:r>
            </w:hyperlink>
            <w:r w:rsidRPr="006804C1">
              <w:rPr>
                <w:rFonts w:ascii="Times New Roman" w:hAnsi="Times New Roman" w:cs="Times New Roman"/>
                <w:sz w:val="26"/>
                <w:szCs w:val="26"/>
              </w:rPr>
              <w:t xml:space="preserve"> 1</w:t>
            </w:r>
          </w:p>
          <w:p w14:paraId="6FEEE500"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3AD41208" w14:textId="5EE4CC23"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C901B7">
              <w:rPr>
                <w:rFonts w:ascii="Times New Roman" w:eastAsia="Calibri" w:hAnsi="Times New Roman" w:cs="Times New Roman"/>
                <w:sz w:val="26"/>
                <w:szCs w:val="26"/>
              </w:rPr>
              <w:t>2</w:t>
            </w:r>
          </w:p>
        </w:tc>
      </w:tr>
      <w:tr w:rsidR="006804C1" w:rsidRPr="006804C1" w14:paraId="0A48A438" w14:textId="77777777" w:rsidTr="00E63797">
        <w:tc>
          <w:tcPr>
            <w:tcW w:w="10065" w:type="dxa"/>
            <w:shd w:val="clear" w:color="auto" w:fill="auto"/>
          </w:tcPr>
          <w:p w14:paraId="3625600F"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hAnsi="Times New Roman" w:cs="Times New Roman"/>
                <w:sz w:val="26"/>
                <w:szCs w:val="26"/>
              </w:rPr>
              <w:t xml:space="preserve">Охрана прав граждан и юридических лиц, в том числе, в соответствии с  </w:t>
            </w:r>
            <w:hyperlink w:anchor="Par464" w:history="1">
              <w:r w:rsidRPr="006804C1">
                <w:rPr>
                  <w:rFonts w:ascii="Times New Roman" w:hAnsi="Times New Roman" w:cs="Times New Roman"/>
                  <w:sz w:val="26"/>
                  <w:szCs w:val="26"/>
                </w:rPr>
                <w:t>таблицей</w:t>
              </w:r>
            </w:hyperlink>
            <w:r w:rsidRPr="006804C1">
              <w:rPr>
                <w:rFonts w:ascii="Times New Roman" w:hAnsi="Times New Roman" w:cs="Times New Roman"/>
                <w:sz w:val="26"/>
                <w:szCs w:val="26"/>
              </w:rPr>
              <w:t xml:space="preserve"> 2</w:t>
            </w:r>
          </w:p>
          <w:p w14:paraId="52E2E74E"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65D07C97" w14:textId="409EDC18"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C901B7">
              <w:rPr>
                <w:rFonts w:ascii="Times New Roman" w:eastAsia="Calibri" w:hAnsi="Times New Roman" w:cs="Times New Roman"/>
                <w:sz w:val="26"/>
                <w:szCs w:val="26"/>
              </w:rPr>
              <w:t>5</w:t>
            </w:r>
          </w:p>
        </w:tc>
      </w:tr>
      <w:tr w:rsidR="006804C1" w:rsidRPr="006804C1" w14:paraId="46875B67" w14:textId="77777777" w:rsidTr="00E63797">
        <w:tc>
          <w:tcPr>
            <w:tcW w:w="10065" w:type="dxa"/>
            <w:shd w:val="clear" w:color="auto" w:fill="auto"/>
          </w:tcPr>
          <w:p w14:paraId="1FD0B962"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Times New Roman" w:hAnsi="Times New Roman" w:cs="Times New Roman"/>
                <w:sz w:val="26"/>
                <w:szCs w:val="26"/>
                <w:lang w:eastAsia="ru-RU"/>
              </w:rPr>
            </w:pPr>
            <w:r w:rsidRPr="006804C1">
              <w:rPr>
                <w:rFonts w:ascii="Times New Roman" w:eastAsia="Calibri" w:hAnsi="Times New Roman" w:cs="Times New Roman"/>
                <w:sz w:val="26"/>
                <w:szCs w:val="26"/>
              </w:rPr>
              <w:t xml:space="preserve">Состояние платежной дисциплины и инвестиционной политики </w:t>
            </w:r>
            <w:r w:rsidRPr="006804C1">
              <w:rPr>
                <w:rFonts w:ascii="Times New Roman" w:eastAsia="Calibri" w:hAnsi="Times New Roman" w:cs="Times New Roman"/>
                <w:sz w:val="26"/>
                <w:szCs w:val="26"/>
              </w:rPr>
              <w:br/>
              <w:t xml:space="preserve">в жилищно-коммунальном комплексе, в том числе в соответствии </w:t>
            </w:r>
            <w:r w:rsidRPr="006804C1">
              <w:rPr>
                <w:rFonts w:ascii="Times New Roman" w:eastAsia="Calibri" w:hAnsi="Times New Roman" w:cs="Times New Roman"/>
                <w:sz w:val="26"/>
                <w:szCs w:val="26"/>
              </w:rPr>
              <w:br/>
              <w:t>с таблицей 3</w:t>
            </w:r>
          </w:p>
          <w:p w14:paraId="2564B18E"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Times New Roman" w:hAnsi="Times New Roman" w:cs="Times New Roman"/>
                <w:sz w:val="26"/>
                <w:szCs w:val="26"/>
                <w:lang w:eastAsia="ru-RU"/>
              </w:rPr>
            </w:pPr>
          </w:p>
        </w:tc>
        <w:tc>
          <w:tcPr>
            <w:tcW w:w="630" w:type="dxa"/>
            <w:shd w:val="clear" w:color="auto" w:fill="auto"/>
          </w:tcPr>
          <w:p w14:paraId="22FC5CF8" w14:textId="0A4E0434"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1</w:t>
            </w:r>
            <w:r w:rsidR="00C901B7">
              <w:rPr>
                <w:rFonts w:ascii="Times New Roman" w:eastAsia="Calibri" w:hAnsi="Times New Roman" w:cs="Times New Roman"/>
                <w:sz w:val="26"/>
                <w:szCs w:val="26"/>
              </w:rPr>
              <w:t>7</w:t>
            </w:r>
          </w:p>
        </w:tc>
      </w:tr>
      <w:tr w:rsidR="006804C1" w:rsidRPr="006804C1" w14:paraId="782956B6" w14:textId="77777777" w:rsidTr="00E63797">
        <w:tc>
          <w:tcPr>
            <w:tcW w:w="10065" w:type="dxa"/>
            <w:shd w:val="clear" w:color="auto" w:fill="auto"/>
          </w:tcPr>
          <w:p w14:paraId="51CA58EE"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w:t>
            </w:r>
          </w:p>
          <w:p w14:paraId="5AC28C7C"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Calibri" w:hAnsi="Times New Roman" w:cs="Times New Roman"/>
                <w:sz w:val="26"/>
                <w:szCs w:val="26"/>
              </w:rPr>
            </w:pPr>
          </w:p>
        </w:tc>
        <w:tc>
          <w:tcPr>
            <w:tcW w:w="630" w:type="dxa"/>
            <w:shd w:val="clear" w:color="auto" w:fill="auto"/>
          </w:tcPr>
          <w:p w14:paraId="74944BB5" w14:textId="7694433B"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21</w:t>
            </w:r>
          </w:p>
        </w:tc>
      </w:tr>
      <w:tr w:rsidR="006804C1" w:rsidRPr="006804C1" w14:paraId="48E59739" w14:textId="77777777" w:rsidTr="00E63797">
        <w:tc>
          <w:tcPr>
            <w:tcW w:w="10065" w:type="dxa"/>
            <w:shd w:val="clear" w:color="auto" w:fill="auto"/>
          </w:tcPr>
          <w:p w14:paraId="64F07CF9" w14:textId="77777777" w:rsidR="006804C1" w:rsidRPr="006804C1" w:rsidRDefault="006804C1" w:rsidP="006804C1">
            <w:pPr>
              <w:numPr>
                <w:ilvl w:val="1"/>
                <w:numId w:val="8"/>
              </w:numPr>
              <w:tabs>
                <w:tab w:val="left" w:pos="720"/>
                <w:tab w:val="left" w:pos="1061"/>
              </w:tabs>
              <w:autoSpaceDE w:val="0"/>
              <w:autoSpaceDN w:val="0"/>
              <w:adjustRightInd w:val="0"/>
              <w:spacing w:after="0" w:line="240" w:lineRule="auto"/>
              <w:ind w:left="0" w:firstLine="352"/>
              <w:contextualSpacing/>
              <w:jc w:val="both"/>
              <w:rPr>
                <w:rFonts w:ascii="Times New Roman" w:eastAsia="Calibri" w:hAnsi="Times New Roman" w:cs="Times New Roman"/>
                <w:sz w:val="26"/>
                <w:szCs w:val="26"/>
              </w:rPr>
            </w:pPr>
            <w:bookmarkStart w:id="0" w:name="_Hlk131406567"/>
            <w:r w:rsidRPr="006804C1">
              <w:rPr>
                <w:rFonts w:ascii="Times New Roman" w:eastAsia="Calibri" w:hAnsi="Times New Roman" w:cs="Times New Roman"/>
                <w:sz w:val="26"/>
                <w:szCs w:val="26"/>
              </w:rPr>
              <w:t>Эффективность деятельности по обращению с отходами, в том числе в соответствии с таблицей 5</w:t>
            </w:r>
            <w:bookmarkEnd w:id="0"/>
          </w:p>
          <w:p w14:paraId="78F75C35" w14:textId="77777777" w:rsidR="006804C1" w:rsidRPr="006804C1" w:rsidRDefault="006804C1" w:rsidP="006804C1">
            <w:pPr>
              <w:tabs>
                <w:tab w:val="left" w:pos="720"/>
                <w:tab w:val="left" w:pos="1061"/>
              </w:tabs>
              <w:autoSpaceDE w:val="0"/>
              <w:autoSpaceDN w:val="0"/>
              <w:adjustRightInd w:val="0"/>
              <w:spacing w:after="0" w:line="240" w:lineRule="auto"/>
              <w:ind w:left="352"/>
              <w:contextualSpacing/>
              <w:jc w:val="both"/>
              <w:rPr>
                <w:rFonts w:ascii="Times New Roman" w:eastAsia="Calibri" w:hAnsi="Times New Roman" w:cs="Times New Roman"/>
                <w:sz w:val="26"/>
                <w:szCs w:val="26"/>
              </w:rPr>
            </w:pPr>
          </w:p>
        </w:tc>
        <w:tc>
          <w:tcPr>
            <w:tcW w:w="630" w:type="dxa"/>
            <w:shd w:val="clear" w:color="auto" w:fill="auto"/>
          </w:tcPr>
          <w:p w14:paraId="449951D8" w14:textId="3AA4CE92"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2</w:t>
            </w:r>
            <w:r w:rsidR="00C901B7">
              <w:rPr>
                <w:rFonts w:ascii="Times New Roman" w:eastAsia="Calibri" w:hAnsi="Times New Roman" w:cs="Times New Roman"/>
                <w:sz w:val="26"/>
                <w:szCs w:val="26"/>
              </w:rPr>
              <w:t>3</w:t>
            </w:r>
          </w:p>
        </w:tc>
      </w:tr>
      <w:tr w:rsidR="006804C1" w:rsidRPr="006804C1" w14:paraId="3EF4F7BC" w14:textId="77777777" w:rsidTr="00E63797">
        <w:tc>
          <w:tcPr>
            <w:tcW w:w="10065" w:type="dxa"/>
            <w:shd w:val="clear" w:color="auto" w:fill="auto"/>
          </w:tcPr>
          <w:p w14:paraId="2AE731B0" w14:textId="77777777" w:rsidR="006804C1" w:rsidRPr="006804C1" w:rsidRDefault="006804C1" w:rsidP="006804C1">
            <w:pPr>
              <w:autoSpaceDE w:val="0"/>
              <w:autoSpaceDN w:val="0"/>
              <w:adjustRightInd w:val="0"/>
              <w:spacing w:after="0" w:line="240" w:lineRule="auto"/>
              <w:ind w:firstLine="210"/>
              <w:jc w:val="both"/>
              <w:outlineLvl w:val="1"/>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2. Показатели, характеризующие социально - 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14:paraId="0269E776" w14:textId="77777777" w:rsidR="006804C1" w:rsidRPr="006804C1" w:rsidRDefault="006804C1" w:rsidP="006804C1">
            <w:pPr>
              <w:autoSpaceDE w:val="0"/>
              <w:autoSpaceDN w:val="0"/>
              <w:adjustRightInd w:val="0"/>
              <w:spacing w:after="0" w:line="240" w:lineRule="auto"/>
              <w:ind w:firstLine="210"/>
              <w:jc w:val="both"/>
              <w:outlineLvl w:val="1"/>
              <w:rPr>
                <w:rFonts w:ascii="Times New Roman" w:eastAsia="Calibri" w:hAnsi="Times New Roman" w:cs="Times New Roman"/>
                <w:sz w:val="26"/>
                <w:szCs w:val="26"/>
              </w:rPr>
            </w:pPr>
          </w:p>
        </w:tc>
        <w:tc>
          <w:tcPr>
            <w:tcW w:w="630" w:type="dxa"/>
            <w:shd w:val="clear" w:color="auto" w:fill="auto"/>
          </w:tcPr>
          <w:p w14:paraId="33E14806" w14:textId="04AADE88" w:rsidR="006804C1" w:rsidRPr="006804C1" w:rsidRDefault="006804C1" w:rsidP="006804C1">
            <w:pPr>
              <w:spacing w:after="0" w:line="240" w:lineRule="auto"/>
              <w:rPr>
                <w:rFonts w:ascii="Times New Roman" w:eastAsia="Calibri" w:hAnsi="Times New Roman" w:cs="Times New Roman"/>
                <w:sz w:val="26"/>
                <w:szCs w:val="26"/>
              </w:rPr>
            </w:pPr>
            <w:r w:rsidRPr="006804C1">
              <w:rPr>
                <w:rFonts w:ascii="Times New Roman" w:eastAsia="Calibri" w:hAnsi="Times New Roman" w:cs="Times New Roman"/>
                <w:sz w:val="26"/>
                <w:szCs w:val="26"/>
              </w:rPr>
              <w:t>2</w:t>
            </w:r>
            <w:r w:rsidR="00C901B7">
              <w:rPr>
                <w:rFonts w:ascii="Times New Roman" w:eastAsia="Calibri" w:hAnsi="Times New Roman" w:cs="Times New Roman"/>
                <w:sz w:val="26"/>
                <w:szCs w:val="26"/>
              </w:rPr>
              <w:t>5</w:t>
            </w:r>
          </w:p>
          <w:p w14:paraId="6494E3D3" w14:textId="77777777" w:rsidR="006804C1" w:rsidRPr="006804C1" w:rsidRDefault="006804C1" w:rsidP="006804C1">
            <w:pPr>
              <w:spacing w:after="0" w:line="240" w:lineRule="auto"/>
              <w:rPr>
                <w:rFonts w:ascii="Times New Roman" w:eastAsia="Calibri" w:hAnsi="Times New Roman" w:cs="Times New Roman"/>
                <w:sz w:val="26"/>
                <w:szCs w:val="26"/>
              </w:rPr>
            </w:pPr>
          </w:p>
        </w:tc>
      </w:tr>
      <w:tr w:rsidR="006804C1" w:rsidRPr="006804C1" w14:paraId="6A841127" w14:textId="77777777" w:rsidTr="00E63797">
        <w:tc>
          <w:tcPr>
            <w:tcW w:w="10065" w:type="dxa"/>
            <w:shd w:val="clear" w:color="auto" w:fill="auto"/>
          </w:tcPr>
          <w:p w14:paraId="56D0B838" w14:textId="77777777" w:rsidR="006804C1" w:rsidRPr="006804C1" w:rsidRDefault="006804C1" w:rsidP="006804C1">
            <w:pPr>
              <w:autoSpaceDE w:val="0"/>
              <w:autoSpaceDN w:val="0"/>
              <w:adjustRightInd w:val="0"/>
              <w:spacing w:after="0" w:line="240" w:lineRule="auto"/>
              <w:ind w:firstLine="210"/>
              <w:jc w:val="both"/>
              <w:outlineLvl w:val="1"/>
              <w:rPr>
                <w:rFonts w:ascii="Times New Roman" w:eastAsia="Calibri" w:hAnsi="Times New Roman" w:cs="Times New Roman"/>
                <w:sz w:val="26"/>
                <w:szCs w:val="26"/>
              </w:rPr>
            </w:pPr>
            <w:r w:rsidRPr="006804C1">
              <w:rPr>
                <w:rFonts w:ascii="Times New Roman" w:eastAsia="Calibri" w:hAnsi="Times New Roman" w:cs="Times New Roman"/>
                <w:sz w:val="26"/>
                <w:szCs w:val="26"/>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p>
          <w:p w14:paraId="20381CC7" w14:textId="77777777" w:rsidR="006804C1" w:rsidRPr="006804C1" w:rsidRDefault="006804C1" w:rsidP="006804C1">
            <w:pPr>
              <w:autoSpaceDE w:val="0"/>
              <w:autoSpaceDN w:val="0"/>
              <w:adjustRightInd w:val="0"/>
              <w:spacing w:after="0" w:line="240" w:lineRule="auto"/>
              <w:ind w:firstLine="210"/>
              <w:jc w:val="both"/>
              <w:outlineLvl w:val="1"/>
              <w:rPr>
                <w:rFonts w:ascii="Times New Roman" w:eastAsia="Calibri" w:hAnsi="Times New Roman" w:cs="Times New Roman"/>
                <w:sz w:val="26"/>
                <w:szCs w:val="26"/>
              </w:rPr>
            </w:pPr>
          </w:p>
        </w:tc>
        <w:tc>
          <w:tcPr>
            <w:tcW w:w="630" w:type="dxa"/>
            <w:shd w:val="clear" w:color="auto" w:fill="auto"/>
          </w:tcPr>
          <w:p w14:paraId="23B4CF5E" w14:textId="0AE95EA6" w:rsidR="006804C1" w:rsidRPr="006804C1" w:rsidRDefault="008B7C32"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59</w:t>
            </w:r>
          </w:p>
        </w:tc>
      </w:tr>
      <w:tr w:rsidR="006804C1" w:rsidRPr="006804C1" w14:paraId="2CE0706E" w14:textId="77777777" w:rsidTr="00E63797">
        <w:tc>
          <w:tcPr>
            <w:tcW w:w="10065" w:type="dxa"/>
            <w:shd w:val="clear" w:color="auto" w:fill="auto"/>
          </w:tcPr>
          <w:p w14:paraId="6792F45C" w14:textId="77777777" w:rsidR="006804C1" w:rsidRPr="006804C1" w:rsidRDefault="006804C1" w:rsidP="006804C1">
            <w:pPr>
              <w:autoSpaceDE w:val="0"/>
              <w:autoSpaceDN w:val="0"/>
              <w:adjustRightInd w:val="0"/>
              <w:spacing w:after="0" w:line="240" w:lineRule="auto"/>
              <w:ind w:firstLine="750"/>
              <w:jc w:val="both"/>
              <w:outlineLvl w:val="1"/>
              <w:rPr>
                <w:rFonts w:ascii="Times New Roman" w:eastAsia="Calibri" w:hAnsi="Times New Roman" w:cs="Times New Roman"/>
                <w:sz w:val="26"/>
                <w:szCs w:val="26"/>
              </w:rPr>
            </w:pPr>
            <w:r w:rsidRPr="006804C1">
              <w:rPr>
                <w:rFonts w:ascii="Times New Roman" w:eastAsia="Calibri" w:hAnsi="Times New Roman" w:cs="Times New Roman"/>
                <w:sz w:val="26"/>
                <w:szCs w:val="26"/>
              </w:rPr>
              <w:t>3.1.  Утратил силу. - Распоряжение Правительства ХМАО - Югры от 16.12.2016 N 692-рп</w:t>
            </w:r>
          </w:p>
          <w:p w14:paraId="0BB55C8B" w14:textId="77777777" w:rsidR="006804C1" w:rsidRPr="006804C1" w:rsidRDefault="006804C1" w:rsidP="006804C1">
            <w:pPr>
              <w:autoSpaceDE w:val="0"/>
              <w:autoSpaceDN w:val="0"/>
              <w:adjustRightInd w:val="0"/>
              <w:spacing w:after="0" w:line="240" w:lineRule="auto"/>
              <w:ind w:firstLine="210"/>
              <w:jc w:val="both"/>
              <w:outlineLvl w:val="1"/>
              <w:rPr>
                <w:rFonts w:ascii="Times New Roman" w:eastAsia="Calibri" w:hAnsi="Times New Roman" w:cs="Times New Roman"/>
                <w:sz w:val="26"/>
                <w:szCs w:val="26"/>
              </w:rPr>
            </w:pPr>
          </w:p>
        </w:tc>
        <w:tc>
          <w:tcPr>
            <w:tcW w:w="630" w:type="dxa"/>
            <w:shd w:val="clear" w:color="auto" w:fill="auto"/>
          </w:tcPr>
          <w:p w14:paraId="47AC0248" w14:textId="5C636FEA" w:rsidR="006804C1" w:rsidRPr="006804C1" w:rsidRDefault="0028098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60</w:t>
            </w:r>
          </w:p>
        </w:tc>
      </w:tr>
      <w:tr w:rsidR="006804C1" w:rsidRPr="006804C1" w14:paraId="0F4199A8" w14:textId="77777777" w:rsidTr="00E63797">
        <w:tc>
          <w:tcPr>
            <w:tcW w:w="10065" w:type="dxa"/>
            <w:shd w:val="clear" w:color="auto" w:fill="auto"/>
          </w:tcPr>
          <w:p w14:paraId="3945F17F" w14:textId="77777777" w:rsidR="006804C1" w:rsidRPr="006804C1" w:rsidRDefault="006804C1" w:rsidP="006804C1">
            <w:pPr>
              <w:autoSpaceDE w:val="0"/>
              <w:autoSpaceDN w:val="0"/>
              <w:adjustRightInd w:val="0"/>
              <w:spacing w:after="0" w:line="240" w:lineRule="auto"/>
              <w:ind w:firstLine="750"/>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lastRenderedPageBreak/>
              <w:t xml:space="preserve">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14:paraId="4B4E5E31" w14:textId="77777777" w:rsidR="006804C1" w:rsidRPr="006804C1" w:rsidRDefault="006804C1" w:rsidP="006804C1">
            <w:pPr>
              <w:autoSpaceDE w:val="0"/>
              <w:autoSpaceDN w:val="0"/>
              <w:adjustRightInd w:val="0"/>
              <w:spacing w:after="0" w:line="240" w:lineRule="auto"/>
              <w:ind w:firstLine="210"/>
              <w:jc w:val="both"/>
              <w:rPr>
                <w:rFonts w:ascii="Times New Roman" w:eastAsia="Calibri" w:hAnsi="Times New Roman" w:cs="Times New Roman"/>
                <w:sz w:val="26"/>
                <w:szCs w:val="26"/>
              </w:rPr>
            </w:pPr>
          </w:p>
        </w:tc>
        <w:tc>
          <w:tcPr>
            <w:tcW w:w="630" w:type="dxa"/>
            <w:shd w:val="clear" w:color="auto" w:fill="auto"/>
          </w:tcPr>
          <w:p w14:paraId="18805B77" w14:textId="264FEF9A" w:rsidR="006804C1" w:rsidRPr="006804C1" w:rsidRDefault="0028098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60</w:t>
            </w:r>
          </w:p>
        </w:tc>
      </w:tr>
      <w:tr w:rsidR="006804C1" w:rsidRPr="006804C1" w14:paraId="6E60DC0F" w14:textId="77777777" w:rsidTr="00E63797">
        <w:tc>
          <w:tcPr>
            <w:tcW w:w="10065" w:type="dxa"/>
            <w:shd w:val="clear" w:color="auto" w:fill="auto"/>
          </w:tcPr>
          <w:p w14:paraId="62B08910" w14:textId="77777777"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w:t>
            </w:r>
          </w:p>
          <w:p w14:paraId="29870C25" w14:textId="77777777"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p>
        </w:tc>
        <w:tc>
          <w:tcPr>
            <w:tcW w:w="630" w:type="dxa"/>
            <w:shd w:val="clear" w:color="auto" w:fill="auto"/>
          </w:tcPr>
          <w:p w14:paraId="3CE9BF68" w14:textId="31F57AB9"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280987">
              <w:rPr>
                <w:rFonts w:ascii="Times New Roman" w:eastAsia="Calibri" w:hAnsi="Times New Roman" w:cs="Times New Roman"/>
                <w:sz w:val="26"/>
                <w:szCs w:val="26"/>
              </w:rPr>
              <w:t>2</w:t>
            </w:r>
          </w:p>
        </w:tc>
      </w:tr>
      <w:tr w:rsidR="006804C1" w:rsidRPr="006804C1" w14:paraId="4F3A0A41" w14:textId="77777777" w:rsidTr="00E63797">
        <w:tc>
          <w:tcPr>
            <w:tcW w:w="10065" w:type="dxa"/>
            <w:shd w:val="clear" w:color="auto" w:fill="auto"/>
          </w:tcPr>
          <w:p w14:paraId="14E71F24" w14:textId="77777777" w:rsidR="006804C1" w:rsidRPr="006804C1" w:rsidRDefault="006804C1" w:rsidP="006804C1">
            <w:pPr>
              <w:autoSpaceDE w:val="0"/>
              <w:autoSpaceDN w:val="0"/>
              <w:adjustRightInd w:val="0"/>
              <w:spacing w:after="0" w:line="240" w:lineRule="auto"/>
              <w:ind w:left="34" w:firstLine="675"/>
              <w:jc w:val="both"/>
              <w:rPr>
                <w:rFonts w:ascii="Times New Roman" w:eastAsia="Calibri" w:hAnsi="Times New Roman" w:cs="Times New Roman"/>
                <w:sz w:val="26"/>
                <w:szCs w:val="26"/>
              </w:rPr>
            </w:pPr>
            <w:r w:rsidRPr="006804C1">
              <w:rPr>
                <w:rFonts w:ascii="Times New Roman" w:eastAsia="Calibri" w:hAnsi="Times New Roman" w:cs="Times New Roman"/>
                <w:sz w:val="26"/>
                <w:szCs w:val="26"/>
              </w:rPr>
              <w:t xml:space="preserve">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w:t>
            </w:r>
            <w:r w:rsidRPr="006804C1">
              <w:rPr>
                <w:rFonts w:ascii="Times New Roman" w:eastAsia="Calibri" w:hAnsi="Times New Roman" w:cs="Times New Roman"/>
                <w:sz w:val="26"/>
                <w:szCs w:val="26"/>
              </w:rPr>
              <w:br/>
              <w:t xml:space="preserve">(в том числе в сфере физической культуры и спорта) и использования в этой сфере информационных технологий, а также учет общественного мнения </w:t>
            </w:r>
            <w:r w:rsidRPr="006804C1">
              <w:rPr>
                <w:rFonts w:ascii="Times New Roman" w:eastAsia="Calibri" w:hAnsi="Times New Roman" w:cs="Times New Roman"/>
                <w:sz w:val="26"/>
                <w:szCs w:val="26"/>
              </w:rPr>
              <w:br/>
              <w:t>об удовлетворенности населения социальными услугами по результатам социологических</w:t>
            </w:r>
          </w:p>
        </w:tc>
        <w:tc>
          <w:tcPr>
            <w:tcW w:w="630" w:type="dxa"/>
            <w:shd w:val="clear" w:color="auto" w:fill="auto"/>
          </w:tcPr>
          <w:p w14:paraId="01A26CF1" w14:textId="78DA35A0" w:rsidR="006804C1" w:rsidRPr="006804C1" w:rsidRDefault="00C901B7" w:rsidP="006804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280987">
              <w:rPr>
                <w:rFonts w:ascii="Times New Roman" w:eastAsia="Calibri" w:hAnsi="Times New Roman" w:cs="Times New Roman"/>
                <w:sz w:val="26"/>
                <w:szCs w:val="26"/>
              </w:rPr>
              <w:t>4</w:t>
            </w:r>
          </w:p>
        </w:tc>
      </w:tr>
    </w:tbl>
    <w:p w14:paraId="00A83C01" w14:textId="77777777" w:rsidR="006804C1" w:rsidRPr="006804C1" w:rsidRDefault="006804C1" w:rsidP="006804C1">
      <w:pPr>
        <w:autoSpaceDE w:val="0"/>
        <w:autoSpaceDN w:val="0"/>
        <w:adjustRightInd w:val="0"/>
        <w:spacing w:line="240" w:lineRule="auto"/>
        <w:ind w:firstLine="540"/>
        <w:jc w:val="both"/>
        <w:rPr>
          <w:rFonts w:ascii="Times New Roman" w:hAnsi="Times New Roman" w:cs="Times New Roman"/>
          <w:b/>
          <w:bCs/>
          <w:sz w:val="28"/>
          <w:szCs w:val="28"/>
        </w:rPr>
        <w:sectPr w:rsidR="006804C1" w:rsidRPr="006804C1" w:rsidSect="00EF79DA">
          <w:pgSz w:w="11906" w:h="16838"/>
          <w:pgMar w:top="1134" w:right="567" w:bottom="1134" w:left="1701" w:header="0" w:footer="0" w:gutter="0"/>
          <w:cols w:space="720"/>
          <w:noEndnote/>
          <w:titlePg/>
          <w:docGrid w:linePitch="299"/>
        </w:sectPr>
      </w:pPr>
    </w:p>
    <w:p w14:paraId="4F881C36" w14:textId="3F5D721B"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b/>
          <w:bCs/>
          <w:sz w:val="26"/>
          <w:szCs w:val="26"/>
        </w:rPr>
      </w:pPr>
      <w:r w:rsidRPr="002F47F3">
        <w:rPr>
          <w:rFonts w:ascii="Times New Roman" w:hAnsi="Times New Roman" w:cs="Times New Roman"/>
          <w:b/>
          <w:bCs/>
          <w:sz w:val="26"/>
          <w:szCs w:val="26"/>
        </w:rPr>
        <w:lastRenderedPageBreak/>
        <w:t>Раздел 1. Основные итоги социально-экономического развития.</w:t>
      </w:r>
    </w:p>
    <w:p w14:paraId="33AF1F8E"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p>
    <w:p w14:paraId="605A5F8E"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bookmarkStart w:id="1" w:name="_Hlk100139086"/>
      <w:r w:rsidRPr="002F47F3">
        <w:rPr>
          <w:rFonts w:ascii="Times New Roman" w:hAnsi="Times New Roman" w:cs="Times New Roman"/>
          <w:i/>
          <w:iCs/>
          <w:sz w:val="26"/>
          <w:szCs w:val="26"/>
        </w:rPr>
        <w:t>Демографическая ситуация.</w:t>
      </w:r>
    </w:p>
    <w:p w14:paraId="0610A3AE"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bookmarkStart w:id="2" w:name="_Hlk100139098"/>
      <w:bookmarkEnd w:id="1"/>
      <w:r w:rsidRPr="002F47F3">
        <w:rPr>
          <w:rFonts w:ascii="Times New Roman" w:eastAsia="Calibri" w:hAnsi="Times New Roman" w:cs="Times New Roman"/>
          <w:sz w:val="26"/>
          <w:szCs w:val="26"/>
          <w:lang w:eastAsia="ru-RU"/>
        </w:rPr>
        <w:t>Демографическая ситуация в муниципальном образовании Нефтеюганский район характеризуется положительными показателями естественного и миграционного процессов.</w:t>
      </w:r>
    </w:p>
    <w:p w14:paraId="4763FC90"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xml:space="preserve">Среднегодовая численность населения за 2023 год составила 47,3 тыс. человек, естественный прирост составил 40 человек (25,0% к уровню 2022 года), в Нефтеюганском районе родилось 310 младенцев (82,0% к уровню 2022 года), умерло 270 человек (123,9% к уровню 2022 года). Рождаемость превысила смертность                                     в 1,1 раза. </w:t>
      </w:r>
    </w:p>
    <w:p w14:paraId="61DCFC8C"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xml:space="preserve">Число прибывших на территорию Нефтеюганского района выросло на 4,5% к уровню 2022 года и составило 2 207 человек, число выбывших сократилось на 12,8% к уровню 2022 года и составило 1 773 человека. В отчетном периоде миграционный прирост населения составил 434 человека, рост в 3,0 раза к уровню 2022 года. </w:t>
      </w:r>
    </w:p>
    <w:p w14:paraId="75D177B3" w14:textId="77777777" w:rsidR="002F47F3" w:rsidRPr="002F47F3" w:rsidRDefault="002F47F3" w:rsidP="002F47F3">
      <w:pPr>
        <w:widowControl w:val="0"/>
        <w:autoSpaceDE w:val="0"/>
        <w:autoSpaceDN w:val="0"/>
        <w:adjustRightInd w:val="0"/>
        <w:spacing w:after="0" w:line="240" w:lineRule="auto"/>
        <w:ind w:left="360"/>
        <w:contextualSpacing/>
        <w:rPr>
          <w:rFonts w:ascii="Times New Roman" w:eastAsia="Calibri" w:hAnsi="Times New Roman" w:cs="Times New Roman"/>
          <w:sz w:val="26"/>
          <w:szCs w:val="26"/>
        </w:rPr>
      </w:pPr>
    </w:p>
    <w:p w14:paraId="7FE9FCFE" w14:textId="77777777" w:rsidR="002F47F3" w:rsidRPr="002F47F3" w:rsidRDefault="002F47F3" w:rsidP="002F47F3">
      <w:pPr>
        <w:widowControl w:val="0"/>
        <w:autoSpaceDE w:val="0"/>
        <w:autoSpaceDN w:val="0"/>
        <w:adjustRightInd w:val="0"/>
        <w:spacing w:after="0" w:line="240" w:lineRule="auto"/>
        <w:ind w:left="360"/>
        <w:contextualSpacing/>
        <w:jc w:val="center"/>
        <w:rPr>
          <w:rFonts w:ascii="Times New Roman" w:eastAsia="Calibri" w:hAnsi="Times New Roman" w:cs="Times New Roman"/>
          <w:b/>
          <w:bCs/>
          <w:sz w:val="26"/>
          <w:szCs w:val="26"/>
        </w:rPr>
      </w:pPr>
      <w:r w:rsidRPr="002F47F3">
        <w:rPr>
          <w:rFonts w:ascii="Times New Roman" w:eastAsia="Calibri" w:hAnsi="Times New Roman" w:cs="Times New Roman"/>
          <w:b/>
          <w:bCs/>
          <w:sz w:val="26"/>
          <w:szCs w:val="26"/>
        </w:rPr>
        <w:t>Динамика показателей демографической ситуации</w:t>
      </w:r>
    </w:p>
    <w:tbl>
      <w:tblPr>
        <w:tblpPr w:leftFromText="180" w:rightFromText="180" w:bottomFromText="200" w:vertAnchor="text" w:horzAnchor="margin" w:tblpY="204"/>
        <w:tblW w:w="9495" w:type="dxa"/>
        <w:tblLayout w:type="fixed"/>
        <w:tblCellMar>
          <w:left w:w="0" w:type="dxa"/>
          <w:right w:w="0" w:type="dxa"/>
        </w:tblCellMar>
        <w:tblLook w:val="04A0" w:firstRow="1" w:lastRow="0" w:firstColumn="1" w:lastColumn="0" w:noHBand="0" w:noVBand="1"/>
      </w:tblPr>
      <w:tblGrid>
        <w:gridCol w:w="4398"/>
        <w:gridCol w:w="991"/>
        <w:gridCol w:w="1133"/>
        <w:gridCol w:w="991"/>
        <w:gridCol w:w="991"/>
        <w:gridCol w:w="991"/>
      </w:tblGrid>
      <w:tr w:rsidR="002F47F3" w:rsidRPr="002F47F3" w14:paraId="766D33FD"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B9CED"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2E0054B"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2019 год</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737D5E1"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2020 год</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414E51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2021 год</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0A580B7"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2022 год</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847D2C1"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2023 год</w:t>
            </w:r>
          </w:p>
        </w:tc>
      </w:tr>
      <w:tr w:rsidR="002F47F3" w:rsidRPr="002F47F3" w14:paraId="478F11A8"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70771B"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Среднегодовая численность населения,</w:t>
            </w:r>
          </w:p>
          <w:p w14:paraId="33962CF0"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тыс.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6BCC5"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44,607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49347"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44,825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F01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45,073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1B8BC"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45,294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7A8F36B"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47,250</w:t>
            </w:r>
          </w:p>
        </w:tc>
      </w:tr>
      <w:tr w:rsidR="002F47F3" w:rsidRPr="002F47F3" w14:paraId="48E8CEE4" w14:textId="77777777" w:rsidTr="00E63797">
        <w:trPr>
          <w:trHeight w:val="270"/>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A5464D"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 xml:space="preserve">Число родившихся, человек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D86E3DF"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409</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AE0AB11"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386</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80F88D5"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351</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0701558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378</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93B0983"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310</w:t>
            </w:r>
          </w:p>
        </w:tc>
      </w:tr>
      <w:tr w:rsidR="002F47F3" w:rsidRPr="002F47F3" w14:paraId="143B4697"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55D4AD"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Число умерших,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5CCAE24"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222</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84164E2"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280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FC808B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316</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80353C9"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218</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2B210CC"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270</w:t>
            </w:r>
          </w:p>
        </w:tc>
      </w:tr>
      <w:tr w:rsidR="002F47F3" w:rsidRPr="002F47F3" w14:paraId="517E006B"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0FD896"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Естественный прирост (убыль (-)),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4C225"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+187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8BC24"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+106</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67B7B"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+35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C05AF"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+160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512E8E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+40</w:t>
            </w:r>
          </w:p>
        </w:tc>
      </w:tr>
      <w:tr w:rsidR="002F47F3" w:rsidRPr="002F47F3" w14:paraId="30D28ABE"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E2F78A"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 xml:space="preserve">Число прибывших, человек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433F4DD6"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2 195</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E99E960"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2 322</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19AF187"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2 256</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0308004"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2 172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FABE73A"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2 207</w:t>
            </w:r>
          </w:p>
        </w:tc>
      </w:tr>
      <w:tr w:rsidR="002F47F3" w:rsidRPr="002F47F3" w14:paraId="1131494D"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215971"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Число выбывших,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5271034A"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2 278</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4981369"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2 091</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692D81B4"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2 115</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1D5B913"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2 034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F29C9D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1 773</w:t>
            </w:r>
          </w:p>
        </w:tc>
      </w:tr>
      <w:tr w:rsidR="002F47F3" w:rsidRPr="002F47F3" w14:paraId="1B7813A0" w14:textId="77777777" w:rsidTr="00E63797">
        <w:trPr>
          <w:trHeight w:val="284"/>
        </w:trPr>
        <w:tc>
          <w:tcPr>
            <w:tcW w:w="4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5BCAE" w14:textId="77777777" w:rsidR="002F47F3" w:rsidRPr="002F47F3" w:rsidRDefault="002F47F3" w:rsidP="002F47F3">
            <w:pPr>
              <w:widowControl w:val="0"/>
              <w:autoSpaceDE w:val="0"/>
              <w:autoSpaceDN w:val="0"/>
              <w:adjustRightInd w:val="0"/>
              <w:spacing w:after="0" w:line="276" w:lineRule="auto"/>
              <w:rPr>
                <w:rFonts w:ascii="Times New Roman" w:eastAsia="Times New Roman" w:hAnsi="Times New Roman" w:cs="Times New Roman"/>
              </w:rPr>
            </w:pPr>
            <w:r w:rsidRPr="002F47F3">
              <w:rPr>
                <w:rFonts w:ascii="Times New Roman" w:eastAsia="Times New Roman" w:hAnsi="Times New Roman" w:cs="Times New Roman"/>
              </w:rPr>
              <w:t>Миграционный прирост (убыль (-)), человек</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43168"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-83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84695"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231</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8C03B"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141</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38C3F"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138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6782D8C" w14:textId="77777777" w:rsidR="002F47F3" w:rsidRPr="002F47F3" w:rsidRDefault="002F47F3" w:rsidP="002F47F3">
            <w:pPr>
              <w:widowControl w:val="0"/>
              <w:autoSpaceDE w:val="0"/>
              <w:autoSpaceDN w:val="0"/>
              <w:adjustRightInd w:val="0"/>
              <w:spacing w:after="0" w:line="276"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rPr>
              <w:t>434</w:t>
            </w:r>
          </w:p>
        </w:tc>
      </w:tr>
    </w:tbl>
    <w:p w14:paraId="6895AAB4"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Промышленность. </w:t>
      </w:r>
    </w:p>
    <w:bookmarkEnd w:id="2"/>
    <w:p w14:paraId="50C2A377"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за 2023 год составил 2 493 209,1 млн. рублей (в 2022 году 446 498,6 млн. рублей), св.200% к уровню 2022 года (в действующих ценах), рост показателя связан с включением данных НК «Роснефть». По видам деятельности объем промышленного производства в 2023 году составил:</w:t>
      </w:r>
    </w:p>
    <w:p w14:paraId="5605F188" w14:textId="77777777" w:rsidR="002F47F3" w:rsidRPr="002F47F3" w:rsidRDefault="002F47F3" w:rsidP="002F47F3">
      <w:pPr>
        <w:widowControl w:val="0"/>
        <w:tabs>
          <w:tab w:val="left" w:pos="708"/>
          <w:tab w:val="left" w:pos="1416"/>
          <w:tab w:val="left" w:pos="2124"/>
          <w:tab w:val="left" w:pos="2832"/>
          <w:tab w:val="left" w:pos="3540"/>
          <w:tab w:val="left" w:pos="4248"/>
          <w:tab w:val="left" w:pos="4956"/>
          <w:tab w:val="left" w:pos="720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«Добыча полезных ископаемых» 2 478 530,7 млн. рублей, св.200% к уровню           2022 года (в 2022 году 446 498,6 млн. рублей);</w:t>
      </w:r>
      <w:r w:rsidRPr="002F47F3">
        <w:rPr>
          <w:rFonts w:ascii="Times New Roman" w:eastAsia="Calibri" w:hAnsi="Times New Roman" w:cs="Times New Roman"/>
          <w:sz w:val="26"/>
          <w:szCs w:val="26"/>
          <w:lang w:eastAsia="ru-RU"/>
        </w:rPr>
        <w:tab/>
      </w:r>
      <w:r w:rsidRPr="002F47F3">
        <w:rPr>
          <w:rFonts w:ascii="Times New Roman" w:eastAsia="Calibri" w:hAnsi="Times New Roman" w:cs="Times New Roman"/>
          <w:sz w:val="26"/>
          <w:szCs w:val="26"/>
          <w:lang w:eastAsia="ru-RU"/>
        </w:rPr>
        <w:tab/>
      </w:r>
    </w:p>
    <w:p w14:paraId="3D0FDE6D" w14:textId="77777777" w:rsidR="002F47F3" w:rsidRPr="002F47F3" w:rsidRDefault="002F47F3" w:rsidP="002F47F3">
      <w:pPr>
        <w:widowControl w:val="0"/>
        <w:tabs>
          <w:tab w:val="left" w:pos="708"/>
          <w:tab w:val="left" w:pos="1416"/>
          <w:tab w:val="left" w:pos="2124"/>
          <w:tab w:val="left" w:pos="2832"/>
          <w:tab w:val="left" w:pos="3540"/>
          <w:tab w:val="left" w:pos="4248"/>
          <w:tab w:val="left" w:pos="4956"/>
          <w:tab w:val="left" w:pos="720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«Обрабатывающие производства» 10 119,6 млн. рублей, 99,4% к уровню               2022 года (в 2022 году 10 176,1 млн. рублей);</w:t>
      </w:r>
    </w:p>
    <w:p w14:paraId="24D4C448"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xml:space="preserve">- «Обеспечение электрической энергией, газом и паром; кондиционирование воздуха» 4 371,6 млн. рублей, 88,2% к уровню 2022 года (в 2022 году 4 956,8 млн. рублей); </w:t>
      </w:r>
    </w:p>
    <w:p w14:paraId="117AB8FA" w14:textId="77777777" w:rsidR="002F47F3" w:rsidRPr="002F47F3" w:rsidRDefault="002F47F3" w:rsidP="002F47F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ru-RU"/>
        </w:rPr>
      </w:pPr>
      <w:r w:rsidRPr="002F47F3">
        <w:rPr>
          <w:rFonts w:ascii="Times New Roman" w:eastAsia="Calibri" w:hAnsi="Times New Roman" w:cs="Times New Roman"/>
          <w:sz w:val="26"/>
          <w:szCs w:val="26"/>
          <w:lang w:eastAsia="ru-RU"/>
        </w:rPr>
        <w:t>- «Водоснабжение; водоотведение, организация сбора и утилизации отходов, деятельность по ликвидации загрязнений» 187,2 млн. рублей, 104,5% к уровню                   2022 года (в 2022 году 179,1 млн. рублей).</w:t>
      </w:r>
    </w:p>
    <w:p w14:paraId="2C1718DA"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Производство важнейших видов промышленной продукции в Нефтеюганском районе в 2023 году (к уровню 2022 года) составило:</w:t>
      </w:r>
    </w:p>
    <w:p w14:paraId="0D21285C" w14:textId="77777777" w:rsidR="002F47F3" w:rsidRPr="002F47F3" w:rsidRDefault="002F47F3" w:rsidP="002F47F3">
      <w:pPr>
        <w:tabs>
          <w:tab w:val="left" w:pos="709"/>
        </w:tabs>
        <w:spacing w:after="0" w:line="240" w:lineRule="auto"/>
        <w:ind w:firstLine="709"/>
        <w:contextualSpacing/>
        <w:jc w:val="both"/>
        <w:rPr>
          <w:rFonts w:ascii="Times New Roman" w:hAnsi="Times New Roman"/>
          <w:sz w:val="26"/>
          <w:szCs w:val="26"/>
        </w:rPr>
      </w:pPr>
      <w:r w:rsidRPr="002F47F3">
        <w:rPr>
          <w:rFonts w:ascii="Times New Roman" w:hAnsi="Times New Roman"/>
          <w:sz w:val="26"/>
          <w:szCs w:val="26"/>
        </w:rPr>
        <w:lastRenderedPageBreak/>
        <w:t>- добыча газа (природного и попутного) 5 140,6 млн. куб. м, св.200% (в 2022 году 2 303,0 млн. куб. м);</w:t>
      </w:r>
    </w:p>
    <w:p w14:paraId="4C15F7A3" w14:textId="77777777" w:rsidR="002F47F3" w:rsidRPr="002F47F3" w:rsidRDefault="002F47F3" w:rsidP="002F47F3">
      <w:pPr>
        <w:tabs>
          <w:tab w:val="left" w:pos="709"/>
        </w:tabs>
        <w:spacing w:after="0" w:line="240" w:lineRule="auto"/>
        <w:ind w:firstLine="709"/>
        <w:contextualSpacing/>
        <w:jc w:val="both"/>
        <w:rPr>
          <w:rFonts w:ascii="Times New Roman" w:hAnsi="Times New Roman"/>
          <w:sz w:val="26"/>
          <w:szCs w:val="26"/>
        </w:rPr>
      </w:pPr>
      <w:r w:rsidRPr="002F47F3">
        <w:rPr>
          <w:rFonts w:ascii="Times New Roman" w:hAnsi="Times New Roman"/>
          <w:sz w:val="26"/>
          <w:szCs w:val="26"/>
        </w:rPr>
        <w:t xml:space="preserve">- производство электроэнергии 1 317,9 млн. кВт. ч, 74,8% (в 2022 году                    1 761,4 млн. кВт. ч); </w:t>
      </w:r>
    </w:p>
    <w:p w14:paraId="01C9F41F" w14:textId="77777777" w:rsidR="002F47F3" w:rsidRPr="002F47F3" w:rsidRDefault="002F47F3" w:rsidP="002F47F3">
      <w:pPr>
        <w:tabs>
          <w:tab w:val="left" w:pos="709"/>
        </w:tabs>
        <w:spacing w:after="0" w:line="240" w:lineRule="auto"/>
        <w:ind w:firstLine="709"/>
        <w:contextualSpacing/>
        <w:jc w:val="both"/>
        <w:rPr>
          <w:rFonts w:ascii="Times New Roman" w:hAnsi="Times New Roman"/>
          <w:sz w:val="26"/>
          <w:szCs w:val="26"/>
        </w:rPr>
      </w:pPr>
      <w:r w:rsidRPr="002F47F3">
        <w:rPr>
          <w:rFonts w:ascii="Times New Roman" w:hAnsi="Times New Roman"/>
          <w:sz w:val="26"/>
          <w:szCs w:val="26"/>
        </w:rPr>
        <w:t>- производство древесины необработанной 9,2 тыс. куб. м, 65,2% (в 2022 году                14,1 тыс. куб. м);</w:t>
      </w:r>
    </w:p>
    <w:p w14:paraId="3BA6FCD0" w14:textId="77777777" w:rsidR="002F47F3" w:rsidRPr="002F47F3" w:rsidRDefault="002F47F3" w:rsidP="002F47F3">
      <w:pPr>
        <w:tabs>
          <w:tab w:val="left" w:pos="709"/>
        </w:tabs>
        <w:spacing w:after="0" w:line="240" w:lineRule="auto"/>
        <w:ind w:left="360" w:firstLine="349"/>
        <w:contextualSpacing/>
        <w:jc w:val="both"/>
        <w:rPr>
          <w:rFonts w:ascii="Times New Roman" w:hAnsi="Times New Roman"/>
          <w:sz w:val="26"/>
          <w:szCs w:val="26"/>
        </w:rPr>
      </w:pPr>
      <w:r w:rsidRPr="002F47F3">
        <w:rPr>
          <w:rFonts w:ascii="Times New Roman" w:hAnsi="Times New Roman"/>
          <w:sz w:val="26"/>
          <w:szCs w:val="26"/>
        </w:rPr>
        <w:t>- производство пиломатериалов 3,2 тыс. куб. м, 65,3% (в 2022 году 4,9 тыс. куб. м).</w:t>
      </w:r>
    </w:p>
    <w:p w14:paraId="103D9035" w14:textId="77777777" w:rsidR="002F47F3" w:rsidRPr="002F47F3" w:rsidRDefault="002F47F3" w:rsidP="002F47F3">
      <w:pPr>
        <w:spacing w:after="0" w:line="240" w:lineRule="auto"/>
        <w:ind w:firstLine="851"/>
        <w:rPr>
          <w:rFonts w:ascii="Times New Roman" w:eastAsia="Calibri" w:hAnsi="Times New Roman" w:cs="Times New Roman"/>
          <w:sz w:val="24"/>
          <w:szCs w:val="24"/>
        </w:rPr>
      </w:pPr>
    </w:p>
    <w:p w14:paraId="24D2072A" w14:textId="77777777" w:rsidR="002F47F3" w:rsidRPr="002F47F3" w:rsidRDefault="002F47F3" w:rsidP="002F47F3">
      <w:pPr>
        <w:numPr>
          <w:ilvl w:val="1"/>
          <w:numId w:val="1"/>
        </w:numPr>
        <w:shd w:val="clear" w:color="auto" w:fill="FFFFFF"/>
        <w:tabs>
          <w:tab w:val="left" w:pos="0"/>
        </w:tabs>
        <w:spacing w:after="0" w:line="240" w:lineRule="auto"/>
        <w:ind w:left="1134"/>
        <w:contextualSpacing/>
        <w:rPr>
          <w:rFonts w:ascii="Times New Roman" w:eastAsia="Times New Roman" w:hAnsi="Times New Roman" w:cs="Times New Roman"/>
          <w:bCs/>
          <w:i/>
          <w:iCs/>
          <w:sz w:val="26"/>
          <w:szCs w:val="26"/>
          <w:lang w:eastAsia="ru-RU"/>
        </w:rPr>
      </w:pPr>
      <w:r w:rsidRPr="002F47F3">
        <w:rPr>
          <w:rFonts w:ascii="Times New Roman" w:eastAsia="Times New Roman" w:hAnsi="Times New Roman" w:cs="Times New Roman"/>
          <w:bCs/>
          <w:i/>
          <w:iCs/>
          <w:sz w:val="26"/>
          <w:szCs w:val="26"/>
          <w:lang w:eastAsia="ru-RU"/>
        </w:rPr>
        <w:t xml:space="preserve">Инвестиции </w:t>
      </w:r>
    </w:p>
    <w:p w14:paraId="28699BCB"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Наращивание инвестиций, усиление предпринимательской активности – основа экономического роста и увеличения ресурсов для развития других сфер жизни населения.</w:t>
      </w:r>
    </w:p>
    <w:p w14:paraId="768A83CC"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 итогам 2023 года объем инвестиций в основной капитал составил                   222,6 млрд. рублей, или 119,1% к уровню 2022 года (в сопоставимых ценах). </w:t>
      </w:r>
    </w:p>
    <w:p w14:paraId="3AEF2D22"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Проведена актуализация Стратегии социально-экономического развития Нефтеюганского района до 2036 года с целевыми ориентирами 2050 года с учетом целей, задач, направлений развития Стратегии социально-экономического развития Ханты-Мансийского автономного округа – Югры до 2036 года с целевыми ориентирами до 2050 года. Стратегией определена основная задача инвестиционной политики района – расширение отраслей инвестирования, привлечение инвестиций в эффективные и конкурентоспособные производства, способствующие диверсификации экономики (обрабатывающей промышленности, туризма, сектора услуг).</w:t>
      </w:r>
    </w:p>
    <w:p w14:paraId="04A34D4B"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Для создания благоприятных условий развития инвестиционной деятельности на территории района внедряется Муниципальный инвестиционный стандарт, цель которого – сократить путь инвестора от возникновения идеи до осуществления капиталовложений, показать сильные стороны района для выбора инвестором оптимальной площадки для реализации проекта.</w:t>
      </w:r>
    </w:p>
    <w:p w14:paraId="07D8E4DB"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Для координации работы по вопросам повышения эффективности инвестиционной политики назначен инвестиционный уполномоченный – заместитель Главы Нефтеюганского района Щегульная Людмила Ивановна.</w:t>
      </w:r>
    </w:p>
    <w:p w14:paraId="26D05849"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Нефтеюганский район стал одним из шести пилотных муниципалитетов Югры, в котором разработан инвестиционный профиль. Это документ тактического развития инвестиционной активности муниципального образования с опорой на ресурсный потенциал и социально-экономическое положение, содержащий перечень актуальных бизнес-идей, типовые проекты в форме кейсов.</w:t>
      </w:r>
    </w:p>
    <w:p w14:paraId="21D7C13D"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 рейтинге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Нефтеюганский район улучшил результат, заняв 5 место, и получив в 2023 году почетную грамоту Губернатора Ханты-Мансийского автономного округа – Югры Комаровой Н.В.</w:t>
      </w:r>
    </w:p>
    <w:p w14:paraId="6D1CF708"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Важным направлением остается формирование муниципальной базы для реализации бизнес-идей в соответствии с дорожной картой по формированию инвестиционных площадок. В 2023 году сформированы 10 инвестиционных площадок площадью 33,29 га в направлениях: техническое обслуживание и ремонт автотранспортных средств, служебные гаражи, дорожный сервис, торговля, сельское хозяйство и промышленность.</w:t>
      </w:r>
    </w:p>
    <w:p w14:paraId="0B3DDEC0"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lastRenderedPageBreak/>
        <w:t>Прослеживается положительная динамика сопровождения инвестиционных проектов по принципу «одного окна». В 2023 году осуществлялось сопровождение           12 инвестиционных проектов, из которых реализованы 3 проекта с общим объемом вложенных средств инвесторов 50 млн. рублей и созданием 59 рабочих мест                             (в 2022 году осуществлялось сопровождение 7 инвестиционных проектов).</w:t>
      </w:r>
    </w:p>
    <w:p w14:paraId="5F973481"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Осуществляется сопровождение 9 инвестиционных проектов (срок реализации 2024-2025 годы):</w:t>
      </w:r>
    </w:p>
    <w:p w14:paraId="46C62103"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1. ООО «Агропродукт» «Строительство бройлерной птицефабрики с полным технологическим циклом производства мяса бройлеров и продуктов его глубокой переработки» на межселенной территории района;</w:t>
      </w:r>
    </w:p>
    <w:p w14:paraId="39ED5C5D"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2. ООО «ЭкордЮгра» «Модернизация цеха переработки изношенных автомобильных шин в резиновую крошку для изготовления травмобезопасного покрытия и фигур для детских площадок» в сп.Сингапай;</w:t>
      </w:r>
    </w:p>
    <w:p w14:paraId="61FD2151"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3. ИП Абдулкафаров Артур Замудинович «Строительство дорожного сервиса: в составе сервисного центра и придорожного кафе» в сп.Салым;</w:t>
      </w:r>
    </w:p>
    <w:p w14:paraId="46F40FD8"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4. ИП Орлова Алена Юрьевна «Рыборазведение и переработка в гп.Пойковский»;</w:t>
      </w:r>
    </w:p>
    <w:p w14:paraId="1C10AF22"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5. ИП Карапита Александр Викторович «Предоставление бытовых услуг в сп.Салым»;</w:t>
      </w:r>
    </w:p>
    <w:p w14:paraId="471B60C6"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6. ООО «Сельскохозяйственное предприятие «Чеускино» «Модернизация производственного оборудования предприятия по переработке сельскохозяйственной продукции»;</w:t>
      </w:r>
    </w:p>
    <w:p w14:paraId="005C7954"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7. ИП Зайдуллин Дмитрий Ильдусович «Строительство станции технического обслуживания» в сп.Сентябрьский;</w:t>
      </w:r>
    </w:p>
    <w:p w14:paraId="76A7467B"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8. ИП Опалев Максим Алексеевич «Строительство объектов придорожного сервиса в сп.Салым»;</w:t>
      </w:r>
    </w:p>
    <w:p w14:paraId="0A47DB05"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9. ИП Олимкулов Сохибназар Кучкорович «Строительство цеха деревообработки в сп.Сингапай».</w:t>
      </w:r>
    </w:p>
    <w:p w14:paraId="01A9F3C3" w14:textId="77777777" w:rsidR="002F47F3" w:rsidRPr="002F47F3" w:rsidRDefault="002F47F3" w:rsidP="002F47F3">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Администрация района заинтересована в эффективности и стабильности бизнеса в районе, поступлении налогов в местный бюджет, создании новых рабочих мест. </w:t>
      </w:r>
    </w:p>
    <w:p w14:paraId="6FF92201"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439A79F9"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Занятость населения. </w:t>
      </w:r>
    </w:p>
    <w:p w14:paraId="18462358"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Среднесписочная численность работников по организациям, не относящимся к субъектам малого предпринимательства в 2023 году, составила 26,6 тыс. человек. </w:t>
      </w:r>
    </w:p>
    <w:p w14:paraId="55C6B14C"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Наибольшая часть работающих занята в сфере добычи полезных ископаемых 13,8 тыс. человек, строительства 3,0 тыс. человек, транспортировки и хранения 2,6 тыс. человек, образования 1,6 тыс. человек, в области здравоохранения и предоставления социальных услуг 1,0 тыс. человек.</w:t>
      </w:r>
    </w:p>
    <w:p w14:paraId="428C91A4"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В целях улучшения качества жизни жителей Нефтеюганского района еженедельно отслеживается ситуация на рынке труда по сведениям, предоставляемым Казенным учреждением Ханты-Мансийского автономного округа – Югры «Нефтеюганский центр занятости населения» (далее – КУ ХМАО – Югры «НЦЗН»). </w:t>
      </w:r>
    </w:p>
    <w:p w14:paraId="25BC2309"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По результатам мониторинга в 2023 году из числа ищущих работу граждан при содействии центра занятости населения трудоустроено 660 человек. По состоянию на 01.01.2024 количество вакансий составило 1 144 единицы (976 единиц на 01.01.2023). </w:t>
      </w:r>
    </w:p>
    <w:p w14:paraId="3D98DDAC" w14:textId="77777777" w:rsidR="002F47F3" w:rsidRPr="002F47F3" w:rsidRDefault="002F47F3" w:rsidP="002F47F3">
      <w:pPr>
        <w:shd w:val="clear" w:color="auto" w:fill="FFFFFF"/>
        <w:tabs>
          <w:tab w:val="left" w:pos="0"/>
        </w:tabs>
        <w:spacing w:after="0" w:line="240" w:lineRule="auto"/>
        <w:ind w:firstLine="709"/>
        <w:jc w:val="both"/>
        <w:rPr>
          <w:rFonts w:ascii="Times New Roman" w:hAnsi="Times New Roman" w:cs="Times New Roman"/>
          <w:sz w:val="26"/>
          <w:szCs w:val="26"/>
        </w:rPr>
      </w:pPr>
      <w:r w:rsidRPr="002F47F3">
        <w:rPr>
          <w:rFonts w:ascii="Times New Roman" w:hAnsi="Times New Roman" w:cs="Times New Roman"/>
          <w:sz w:val="26"/>
          <w:szCs w:val="26"/>
        </w:rPr>
        <w:lastRenderedPageBreak/>
        <w:t>Коэффициент напряженности на рынке труда составляет 0,02 единиц на одного незанятого (в 2022 году 0,03 единицы). Численность официально зарегистрированных безработных граждан составила 17 человек (121,4% к аналогичному периоду                         2022 года).</w:t>
      </w:r>
    </w:p>
    <w:p w14:paraId="2C7CDB50" w14:textId="77777777" w:rsidR="002F47F3" w:rsidRPr="002F47F3" w:rsidRDefault="002F47F3" w:rsidP="002F47F3">
      <w:pPr>
        <w:shd w:val="clear" w:color="auto" w:fill="FFFFFF"/>
        <w:tabs>
          <w:tab w:val="left" w:pos="0"/>
        </w:tabs>
        <w:spacing w:after="0" w:line="240" w:lineRule="auto"/>
        <w:ind w:firstLine="709"/>
        <w:jc w:val="both"/>
        <w:rPr>
          <w:rFonts w:ascii="Times New Roman" w:hAnsi="Times New Roman" w:cs="Times New Roman"/>
          <w:sz w:val="26"/>
          <w:szCs w:val="26"/>
        </w:rPr>
      </w:pPr>
      <w:r w:rsidRPr="002F47F3">
        <w:rPr>
          <w:rFonts w:ascii="Times New Roman" w:hAnsi="Times New Roman" w:cs="Times New Roman"/>
          <w:sz w:val="26"/>
          <w:szCs w:val="26"/>
        </w:rPr>
        <w:t>Уровень регистрируемой безработицы на конец отчетного периода составил 0,06% (0,05% на 01.01.2023).</w:t>
      </w:r>
    </w:p>
    <w:p w14:paraId="4CF65F02"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Ситуация на рынке труда муниципального образования за 5-ти летний период оставалась контролируемой, уровень регистрируемой безработицы в Нефтеюганском районе один из самых низких по Ханты-Мансийскому автономном округу – Югре.</w:t>
      </w:r>
    </w:p>
    <w:p w14:paraId="22A7AC7D"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Необходимо отметить, что в Нефтеюганском районе в отчетном периоде оставался высоким уровень занятости инвалидов. По итогам 2023 года на регистрационном учете в органах службы занятости состоит 1 инвалид – житель Нефтеюганского района. </w:t>
      </w:r>
    </w:p>
    <w:p w14:paraId="15910C4F"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Надежным социальным партнером в соблюдении конституционного права на труд инвалидов является Нефтеюганская районная местная организация Ханты-Мансийской общественной региональной организации Общероссийской общественной организации «Всероссийское общество инвалидов» в Ханты-Мансийском автономном округе – Югре, которая обеспечила рабочими местами                        110 жителей Нефтеюганского района (по договору финансирования, заключенного работодателем в целях создания или выделения рабочих мест для трудоустройства инвалидов в других организациях).</w:t>
      </w:r>
    </w:p>
    <w:p w14:paraId="7891DE74"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В 2023 году в рамках организация временного трудоустройства несовершеннолетних граждан в возрасте от 14 до 18 лет в свободное от учёбы время на временные рабочие места трудоустроено 601 несовершеннолетний житель Нефтеюганского района. </w:t>
      </w:r>
    </w:p>
    <w:p w14:paraId="0F100B58"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bookmarkStart w:id="3" w:name="_Hlk164246741"/>
      <w:r w:rsidRPr="002F47F3">
        <w:rPr>
          <w:rFonts w:ascii="Times New Roman" w:hAnsi="Times New Roman" w:cs="Times New Roman"/>
          <w:sz w:val="26"/>
          <w:szCs w:val="26"/>
        </w:rPr>
        <w:t xml:space="preserve">В рамках Межведомственной рабочей группы по снижению неформальной занятости в муниципальном образовании Нефтеюганский район продолжена совместная работа с Межрайонной инспекцией Федеральной налоговой службы России № 7 по Ханты-Мансийскому автономному округу – Югре, КУ ХМАО – Югры «НЦЗН», Государственной инспекцией труда в Ханты-Мансийском автономном округе – Югре, отделением Фонда пенсионного и социального страхования Российской Федерации по Ханты-Мансийскому автономному округу – Югре. </w:t>
      </w:r>
    </w:p>
    <w:bookmarkEnd w:id="3"/>
    <w:p w14:paraId="758FE48A"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Охват профилактическими мероприятиями составил 300 человек, что составляет 100,0% от установленного значения (2022 год 300 человек исполнение 100,0%).</w:t>
      </w:r>
    </w:p>
    <w:p w14:paraId="2C3F7D77" w14:textId="77777777" w:rsidR="002F47F3" w:rsidRPr="002F47F3" w:rsidRDefault="002F47F3" w:rsidP="002F47F3">
      <w:pPr>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Руководители организаций Нефтеюганского района регулярно информируются (посредством СМИ и рассылки информационных писем) о требованиях трудового законодательства Российской Федерации по вопросам трудовых отношений.</w:t>
      </w:r>
    </w:p>
    <w:p w14:paraId="1ABD1779" w14:textId="77777777" w:rsidR="002F47F3" w:rsidRPr="002F47F3" w:rsidRDefault="002F47F3" w:rsidP="002F47F3">
      <w:pPr>
        <w:spacing w:after="0" w:line="240" w:lineRule="auto"/>
        <w:ind w:firstLine="709"/>
        <w:contextualSpacing/>
        <w:jc w:val="both"/>
        <w:rPr>
          <w:rFonts w:ascii="Times New Roman" w:hAnsi="Times New Roman" w:cs="Times New Roman"/>
          <w:i/>
          <w:iCs/>
          <w:sz w:val="26"/>
          <w:szCs w:val="26"/>
        </w:rPr>
      </w:pPr>
    </w:p>
    <w:p w14:paraId="633A3D3E"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bookmarkStart w:id="4" w:name="_Hlk100139118"/>
      <w:r w:rsidRPr="002F47F3">
        <w:rPr>
          <w:rFonts w:ascii="Times New Roman" w:hAnsi="Times New Roman" w:cs="Times New Roman"/>
          <w:i/>
          <w:iCs/>
          <w:sz w:val="26"/>
          <w:szCs w:val="26"/>
        </w:rPr>
        <w:t>Денежные доходы и расходы населения</w:t>
      </w:r>
      <w:bookmarkEnd w:id="4"/>
      <w:r w:rsidRPr="002F47F3">
        <w:rPr>
          <w:rFonts w:ascii="Times New Roman" w:hAnsi="Times New Roman" w:cs="Times New Roman"/>
          <w:i/>
          <w:iCs/>
          <w:sz w:val="26"/>
          <w:szCs w:val="26"/>
        </w:rPr>
        <w:t xml:space="preserve">. </w:t>
      </w:r>
    </w:p>
    <w:p w14:paraId="4C4C6DE2"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Денежные доходы в расчете на душу населения в январе-декабре 2023 года составили 64 639,3 рублей или 104,7% к аналогичному периоду 2022 года (без учета доходов и расходов населения, представленных финансово-кредитными организациями). </w:t>
      </w:r>
    </w:p>
    <w:p w14:paraId="2B204255"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lastRenderedPageBreak/>
        <w:t xml:space="preserve">Реальные располагаемые доходы населения составили 99,6% к аналогичному периоду 2022 года с учетом индекса потребительских цен (105,0% к январю-декабрю 2022 года по ХМАО – Югре). </w:t>
      </w:r>
    </w:p>
    <w:p w14:paraId="0F9D7872"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Среднемесячная начисленная заработная плата одного работника по крупным и средним предприятиям составила 117 712,8 рублей или 111,8% к аналогичному периоду 2022 года.</w:t>
      </w:r>
    </w:p>
    <w:p w14:paraId="27225E6B"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По данным Отделения Фонда пенсионного и социального страхования РФ по Ханты-Мансийскому автономному округу – Югре средний размер дохода пенсионера на 01.01.2024 составил 30 303,2 рублей (с учетом данных по г.Нефтеюганск), соотношение дохода пенсионера и прожиточного минимума составили 178,8%.  </w:t>
      </w:r>
    </w:p>
    <w:p w14:paraId="6C8D00C4"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2F47F3">
        <w:rPr>
          <w:rFonts w:ascii="Times New Roman" w:hAnsi="Times New Roman" w:cs="Times New Roman"/>
          <w:sz w:val="26"/>
          <w:szCs w:val="26"/>
        </w:rPr>
        <w:t>Отсутствует просроченная задолженность по заработной плате на предприятиях и организациях Нефтеюганского района.</w:t>
      </w:r>
    </w:p>
    <w:p w14:paraId="78634D7F"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14A0E95D"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Потребительский рынок. </w:t>
      </w:r>
    </w:p>
    <w:p w14:paraId="7C2561BC"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14:paraId="4123580B"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За 2023 год в структуре потребительского рынка наиболее распространенной отраслью, как и в предыдущие годы, остается торговля.</w:t>
      </w:r>
    </w:p>
    <w:p w14:paraId="03F56375"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По состоянию на 01.01.2024 общее количество объектов потребительского рынка в районе составляет 473 единиц (в 2022 году 475 единиц), в том числе:</w:t>
      </w:r>
    </w:p>
    <w:p w14:paraId="77F54196"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- 217 объектов розничной торговли с общей торговой площадью 23 418,80 кв. м (в 2022 году 216 объектов с общей торговой площадью 22 862,95 кв. м);</w:t>
      </w:r>
    </w:p>
    <w:p w14:paraId="16E21FA4"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- 72 объекта общественного питания на 2 527 посадочных мест (в 2022 году                  71 объект на 2 544 посадочных места);</w:t>
      </w:r>
    </w:p>
    <w:p w14:paraId="7BE48BB3"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- 133 объекта сферы платных услуг (2022 год 132 объекта);</w:t>
      </w:r>
    </w:p>
    <w:p w14:paraId="09D049EB"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- 41 объект, оказывающий бытовые услуги (2022 год 46 объектов);</w:t>
      </w:r>
    </w:p>
    <w:p w14:paraId="16B06177"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- 10 объектов хлебопечения (2022 год 10 объектов).</w:t>
      </w:r>
    </w:p>
    <w:p w14:paraId="0797C257"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Оборот розничной торговли за 2023 год составил 3 563,5 млн. рублей или 102,3% к уровню 2022 года в сопоставимых ценах. </w:t>
      </w:r>
    </w:p>
    <w:p w14:paraId="6407283E"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Объем общественного питания за 2023 год составил 1 709,6 млн. рублей или 100,8% к уровню 2022 года в сопоставимых ценах.</w:t>
      </w:r>
    </w:p>
    <w:p w14:paraId="019FCBE9"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 целях содействия в продвижении на потребительский рынок товаров местных производителей, на территории муниципальных образований поселений Нефтеюганского района организовано и проведено 98 ярмарок, в том числе ярмарки «выходного дня», в ходе которых создавались благоприятные условия населению для приобретения продовольственных товаров по ценам производителей, а также для обеспечения рынка сбыта фермерским хозяйствам, что позволяет поддерживать социальную стабильность в обществе. </w:t>
      </w:r>
    </w:p>
    <w:p w14:paraId="44371E52" w14:textId="16CA2A58" w:rsidR="009253C5" w:rsidRDefault="002F47F3" w:rsidP="009253C5">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С 08 по 10 декабря 2023 года в окружной выставке-форуме товаропроизводителей «Товары земли Югорской» от муниципального образования Нефтеюганский район</w:t>
      </w:r>
      <w:r w:rsidRPr="002F47F3">
        <w:t xml:space="preserve"> </w:t>
      </w:r>
      <w:r w:rsidRPr="002F47F3">
        <w:rPr>
          <w:rFonts w:ascii="Times New Roman" w:eastAsia="Calibri" w:hAnsi="Times New Roman" w:cs="Times New Roman"/>
          <w:sz w:val="26"/>
          <w:szCs w:val="26"/>
        </w:rPr>
        <w:t>приняли участие 4 субъекта</w:t>
      </w:r>
      <w:r w:rsidR="006A0418">
        <w:rPr>
          <w:rFonts w:ascii="Times New Roman" w:eastAsia="Calibri" w:hAnsi="Times New Roman" w:cs="Times New Roman"/>
          <w:sz w:val="26"/>
          <w:szCs w:val="26"/>
        </w:rPr>
        <w:t xml:space="preserve"> </w:t>
      </w:r>
      <w:proofErr w:type="gramStart"/>
      <w:r w:rsidRPr="002F47F3">
        <w:rPr>
          <w:rFonts w:ascii="Times New Roman" w:eastAsia="Calibri" w:hAnsi="Times New Roman" w:cs="Times New Roman"/>
          <w:sz w:val="26"/>
          <w:szCs w:val="26"/>
        </w:rPr>
        <w:t xml:space="preserve">предпринимательства,   </w:t>
      </w:r>
      <w:proofErr w:type="gramEnd"/>
      <w:r w:rsidRPr="002F47F3">
        <w:rPr>
          <w:rFonts w:ascii="Times New Roman" w:eastAsia="Calibri" w:hAnsi="Times New Roman" w:cs="Times New Roman"/>
          <w:sz w:val="26"/>
          <w:szCs w:val="26"/>
        </w:rPr>
        <w:t xml:space="preserve">                                         4 крестьянско-фермерских хозяйства, 3 самозанятых гражданина. </w:t>
      </w:r>
    </w:p>
    <w:p w14:paraId="42A2AEDD" w14:textId="6E12042D" w:rsidR="002F47F3" w:rsidRPr="002F47F3" w:rsidRDefault="002F47F3" w:rsidP="009253C5">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 итогам 2023 года финансовая поддержка предоставлена                                                        24 предпринимателям на общую сумму 3 490,22 тыс. рублей (8 субъектам на </w:t>
      </w:r>
      <w:r w:rsidRPr="002F47F3">
        <w:rPr>
          <w:rFonts w:ascii="Times New Roman" w:eastAsia="Calibri" w:hAnsi="Times New Roman" w:cs="Times New Roman"/>
          <w:sz w:val="26"/>
          <w:szCs w:val="26"/>
        </w:rPr>
        <w:lastRenderedPageBreak/>
        <w:t xml:space="preserve">компенсацию части затрат на аренду нежилых помещений, 15 субъектам по возмещению части затрат при приобретении оборудования (основных средств),                            4 субъектам малого и среднего предпринимательства по возмещению затрат на оплату коммунальных услуг, 1 начинающему предпринимателю возмещение части затрат по передаче прав на франшизу). </w:t>
      </w:r>
    </w:p>
    <w:p w14:paraId="761B323E" w14:textId="4D63B194"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 2023 году проведены 18 мероприятий, в том числе заседаний (онлайн, офлайн формат) с участием субъектов малого и среднего предпринимательства и самозанятых граждан (247</w:t>
      </w:r>
      <w:r w:rsidR="00FF5FD8">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 xml:space="preserve">участника), направленные на повышение образовательного уровня и информированности предпринимателей и жителей Нефтеюганского района. </w:t>
      </w:r>
    </w:p>
    <w:p w14:paraId="0C636C30"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Для создания позитивного образа предпринимателя в рамках муниципального контракта на оказание услуг по изготовлению и трансляции в телевизионном эфире, радиоэфире информационных материалов организована информационно-консультационная поддержка субъектов малого и среднего предпринимательства и граждан, желающих открыть свой бизнес, в средствах массовой информации размещено 8 информационных материалов.</w:t>
      </w:r>
    </w:p>
    <w:p w14:paraId="5D3A240F"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Информационно-консультационная и методическая поддержка оказана                             439 субъекту предпринимательства и гражданам, желающим открыть свой бизнес.</w:t>
      </w:r>
    </w:p>
    <w:p w14:paraId="1A863D40"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2F47F3">
        <w:rPr>
          <w:rFonts w:ascii="Times New Roman" w:eastAsia="Calibri" w:hAnsi="Times New Roman" w:cs="Times New Roman"/>
          <w:sz w:val="26"/>
          <w:szCs w:val="26"/>
        </w:rPr>
        <w:t xml:space="preserve">В реестр субъектов креативных индустрий в Ханты-Мансийском автономном округе – Югре включены 10 субъектов, осуществляющих деятельность на территории Нефтеюганского района и 3 субъекта подтвердили статус социального предпринимателя. </w:t>
      </w:r>
    </w:p>
    <w:p w14:paraId="2AE88603"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Вся информация о формах и видах муниципальной поддержки в сфере развития малого и среднего предпринимательства, о муниципальной программе развития предпринимательства, об организациях инфраструктуры поддержки предпринимательства в Нефтеюганском районе, о нормативно правовой базе и иной информации, направленной на развитие предпринимательской деятельности в районе размещена на официальном сайте органов местного самоуправления Нефтеюганского района в разделе «Предпринимательство» https://admoil.gosuslugi.ru/deyatelnost/napravleniya-deyatelnosti/ekonomika/predprinimatelstvo/.</w:t>
      </w:r>
    </w:p>
    <w:p w14:paraId="3569D8B0"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 целях информирования предпринимателей, а также для прямой обратной связи с бизнесом используются следующие ресурсы: официальный сайт органов местного самоуправления Нефтеюганского района (раздел «Предпринимательство»), Инвестиционный портал Нефтеюганского района, сообщество «Предприниматели Нефтеюганского района» в социальной сети ВКонтакте, группа «ПРЕДПРИНИМАТЕЛИ НР» в мессенджере Viber, </w:t>
      </w:r>
      <w:r w:rsidRPr="002F47F3">
        <w:rPr>
          <w:rFonts w:ascii="Times New Roman" w:eastAsia="Calibri" w:hAnsi="Times New Roman" w:cs="Times New Roman"/>
          <w:sz w:val="26"/>
          <w:szCs w:val="26"/>
          <w:lang w:val="en-US"/>
        </w:rPr>
        <w:t>Telegram</w:t>
      </w:r>
      <w:r w:rsidRPr="002F47F3">
        <w:rPr>
          <w:rFonts w:ascii="Times New Roman" w:eastAsia="Calibri" w:hAnsi="Times New Roman" w:cs="Times New Roman"/>
          <w:sz w:val="26"/>
          <w:szCs w:val="26"/>
        </w:rPr>
        <w:t>-канал «Предприниматели Нефтеюганского района.</w:t>
      </w:r>
    </w:p>
    <w:p w14:paraId="4A64F724" w14:textId="1192FFE4" w:rsidR="009253C5" w:rsidRDefault="009253C5"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9253C5">
        <w:rPr>
          <w:rFonts w:ascii="Times New Roman" w:eastAsia="Calibri" w:hAnsi="Times New Roman" w:cs="Times New Roman"/>
          <w:sz w:val="26"/>
          <w:szCs w:val="26"/>
        </w:rPr>
        <w:t>По состоянию на 01.01.2024 число субъектов малого и среднего предпринимательства составляет 987 единиц, из них 765 индивидуальных предпринимателей.</w:t>
      </w:r>
    </w:p>
    <w:p w14:paraId="38AAA93C" w14:textId="0F9E63BD"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На территории Нефтеюганского района зарегистрировано 1 630 человек, являющихся плательщиками налога на профессиональный доход, что выше на 43,0% уровня 2022 года (в 2022 году 1 140 человек).</w:t>
      </w:r>
    </w:p>
    <w:p w14:paraId="0DA146D8" w14:textId="77777777" w:rsidR="006804C1" w:rsidRPr="002F47F3" w:rsidRDefault="006804C1" w:rsidP="002F47F3">
      <w:pPr>
        <w:spacing w:after="0" w:line="240" w:lineRule="auto"/>
        <w:ind w:firstLine="709"/>
        <w:contextualSpacing/>
        <w:jc w:val="both"/>
        <w:rPr>
          <w:rFonts w:ascii="Times New Roman" w:hAnsi="Times New Roman" w:cs="Times New Roman"/>
          <w:sz w:val="26"/>
          <w:szCs w:val="26"/>
        </w:rPr>
      </w:pPr>
    </w:p>
    <w:p w14:paraId="4437E596" w14:textId="77777777" w:rsidR="002F47F3" w:rsidRPr="002F47F3" w:rsidRDefault="002F47F3" w:rsidP="002F47F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Криминогенная обстановка. </w:t>
      </w:r>
    </w:p>
    <w:p w14:paraId="2F6F755F" w14:textId="77777777" w:rsidR="002F47F3" w:rsidRPr="002F47F3" w:rsidRDefault="002F47F3" w:rsidP="002F47F3">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bookmarkStart w:id="5" w:name="_Hlk131694829"/>
      <w:bookmarkStart w:id="6" w:name="_Hlk164243527"/>
      <w:r w:rsidRPr="002F47F3">
        <w:rPr>
          <w:rFonts w:ascii="Times New Roman" w:eastAsia="Calibri" w:hAnsi="Times New Roman" w:cs="Times New Roman"/>
          <w:sz w:val="26"/>
          <w:szCs w:val="26"/>
        </w:rPr>
        <w:t xml:space="preserve">В целях обеспечения безопасности граждан, предупреждения и пресечения преступлений и административных правонарушений, обеспечения общественной </w:t>
      </w:r>
      <w:r w:rsidRPr="002F47F3">
        <w:rPr>
          <w:rFonts w:ascii="Times New Roman" w:eastAsia="Calibri" w:hAnsi="Times New Roman" w:cs="Times New Roman"/>
          <w:sz w:val="26"/>
          <w:szCs w:val="26"/>
        </w:rPr>
        <w:lastRenderedPageBreak/>
        <w:t>безопасности в Нефтеюганском районе действует муниципальная программа «Профилактика правонарушений и обеспечение отдельных прав граждан». Реализация мероприятий по профилактике правонарушений, предусмотренных муниципальной программой, имеет положительную динамику.</w:t>
      </w:r>
    </w:p>
    <w:bookmarkEnd w:id="5"/>
    <w:p w14:paraId="61F69B18" w14:textId="77777777" w:rsidR="002F47F3" w:rsidRPr="002F47F3" w:rsidRDefault="002F47F3" w:rsidP="002F47F3">
      <w:pPr>
        <w:tabs>
          <w:tab w:val="left" w:pos="776"/>
        </w:tabs>
        <w:suppressAutoHyphens/>
        <w:spacing w:after="0" w:line="240" w:lineRule="auto"/>
        <w:jc w:val="both"/>
        <w:rPr>
          <w:rFonts w:ascii="Times New Roman" w:eastAsia="Arial" w:hAnsi="Times New Roman" w:cs="Times New Roman"/>
          <w:sz w:val="26"/>
          <w:szCs w:val="26"/>
          <w:lang w:eastAsia="ar-SA"/>
        </w:rPr>
      </w:pPr>
      <w:r w:rsidRPr="002F47F3">
        <w:rPr>
          <w:rFonts w:ascii="Times New Roman" w:eastAsia="Arial" w:hAnsi="Times New Roman" w:cs="Times New Roman"/>
          <w:sz w:val="26"/>
          <w:szCs w:val="26"/>
          <w:lang w:eastAsia="ar-SA"/>
        </w:rPr>
        <w:t xml:space="preserve">           Анализ результатов оперативно-служебной деятельности ОМВД России по Нефтеюганскому району (далее – ОМВД) по итогам 2023 года выявил рост регистрации преступлений до 577 единиц, что на 9,7% выше уровня 2022 года                           (</w:t>
      </w:r>
      <w:r w:rsidRPr="002F47F3">
        <w:rPr>
          <w:rFonts w:ascii="Times New Roman" w:eastAsia="Arial" w:hAnsi="Times New Roman" w:cs="Times New Roman"/>
          <w:iCs/>
          <w:sz w:val="26"/>
          <w:szCs w:val="26"/>
          <w:lang w:eastAsia="ar-SA"/>
        </w:rPr>
        <w:t>526 преступлений в 2022 году).</w:t>
      </w:r>
      <w:r w:rsidRPr="002F47F3">
        <w:rPr>
          <w:rFonts w:ascii="Times New Roman" w:eastAsia="Arial" w:hAnsi="Times New Roman" w:cs="Times New Roman"/>
          <w:i/>
          <w:sz w:val="26"/>
          <w:szCs w:val="26"/>
          <w:lang w:eastAsia="ar-SA"/>
        </w:rPr>
        <w:t xml:space="preserve"> </w:t>
      </w:r>
      <w:r w:rsidRPr="002F47F3">
        <w:rPr>
          <w:rFonts w:ascii="Times New Roman" w:eastAsia="Arial" w:hAnsi="Times New Roman" w:cs="Times New Roman"/>
          <w:sz w:val="26"/>
          <w:szCs w:val="26"/>
          <w:lang w:eastAsia="ar-SA"/>
        </w:rPr>
        <w:t>Рост произошел за счет преступлений по линии следствие обязательно на 28,9%, в том числе тяжких и особо тяжких видов преступлений на 31,1% (148 преступлений в 2022 году).</w:t>
      </w:r>
    </w:p>
    <w:p w14:paraId="4CA8E2E7" w14:textId="19ADBC00" w:rsidR="002F47F3" w:rsidRPr="002F47F3" w:rsidRDefault="002F47F3" w:rsidP="002F47F3">
      <w:pPr>
        <w:tabs>
          <w:tab w:val="left" w:pos="993"/>
        </w:tabs>
        <w:spacing w:line="240" w:lineRule="auto"/>
        <w:ind w:right="-8" w:firstLine="709"/>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 2023 году совершено 8 тяжких и особо тяжких преступлений против личности, что на 38,5% меньше уровня 2022 года (в 2022 году 13 преступлений), однако совершено 3 убийства, что выше уровня 2022 года в 3 раза, по всем преступлениям лица установлены (с 1 преступления в 2022 году до 3 в 2023 году). Совершено</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1 изнасилование, это меньше уровня 2022 года на 66,7% (с 3 случаев в 2022 году до</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 xml:space="preserve">1 в 2023 году), умышленное причинение тяжкого вреда здоровью сократилось на 33,3% к уровню 2022 года (с 6 случаев в 2022 году до 4 в 20223 году). </w:t>
      </w:r>
    </w:p>
    <w:p w14:paraId="06158313" w14:textId="42850EC8" w:rsidR="002F47F3" w:rsidRPr="002F47F3" w:rsidRDefault="002F47F3" w:rsidP="002F47F3">
      <w:pPr>
        <w:tabs>
          <w:tab w:val="left" w:pos="993"/>
        </w:tabs>
        <w:spacing w:line="240" w:lineRule="auto"/>
        <w:ind w:right="-8" w:firstLine="709"/>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Доля преступлений против собственности составляет 53,5%, это большую часть зарегистрированных преступлений, их количество выросло на 22,5% </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w:t>
      </w:r>
      <w:proofErr w:type="gramEnd"/>
      <w:r w:rsidRPr="002F47F3">
        <w:rPr>
          <w:rFonts w:ascii="Times New Roman" w:eastAsia="Calibri" w:hAnsi="Times New Roman" w:cs="Times New Roman"/>
          <w:sz w:val="26"/>
          <w:szCs w:val="26"/>
        </w:rPr>
        <w:t xml:space="preserve">с 227 случаев в 2022 году до 278 случаев в 2023 году). На 1,2% увеличилось количество краж (со 167 случаев в 2022 году до 169 случаев в 2023 году), из них 22,4% кражи с объектов </w:t>
      </w:r>
      <w:r>
        <w:rPr>
          <w:rFonts w:ascii="Times New Roman" w:eastAsia="Calibri" w:hAnsi="Times New Roman" w:cs="Times New Roman"/>
          <w:sz w:val="26"/>
          <w:szCs w:val="26"/>
        </w:rPr>
        <w:t>топливно-энергетического комплекса</w:t>
      </w:r>
      <w:r w:rsidRPr="002F47F3">
        <w:rPr>
          <w:rFonts w:ascii="Times New Roman" w:eastAsia="Calibri" w:hAnsi="Times New Roman" w:cs="Times New Roman"/>
          <w:sz w:val="26"/>
          <w:szCs w:val="26"/>
        </w:rPr>
        <w:t xml:space="preserve"> (41). На 106,7% больше совершено мошенничеств (с 45 случаев в 2022 году до</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 xml:space="preserve">93 случаев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в 2023 году). Сократилось количество угонов на 66,7%, грабежей на 33,3%, вымогательств на 33,3%, не совершено разбойных нападений.</w:t>
      </w:r>
    </w:p>
    <w:p w14:paraId="02522A80" w14:textId="77777777" w:rsidR="002F47F3" w:rsidRPr="002F47F3" w:rsidRDefault="002F47F3" w:rsidP="002F47F3">
      <w:pPr>
        <w:tabs>
          <w:tab w:val="left" w:pos="993"/>
        </w:tabs>
        <w:spacing w:line="240" w:lineRule="auto"/>
        <w:ind w:right="-8" w:firstLine="709"/>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Актуальна проблема по IT-преступлениям, больше совершено дистанционных краж на 14,8% (с 27 случаев в 2022 году до 31 случая в 2023 году) и мошенничеств на 70% (с 40 случаев в 2022 году до 68 случаев в 2023 году).  </w:t>
      </w:r>
    </w:p>
    <w:p w14:paraId="253525A0"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Активизирована работа по выявлению преступлений в сфере незаконного оборота наркотических средств на 23,3% (с 73 случаев в 2022 году до 90 случаев в             2023 году, из них 70% сбыты) и незаконного оборота оружия на 33,3% (с 12 случаев в 2022 году до 16 случаев в 2023 году, в том числе 62,5 % категории ТиОТ). Значительно увеличился вес наркотических средств, изъятый из оборота, по зарегистрированным данным с 2 460 грамм в 2022 году до 9 972 грамм в 2023 году. Основная масса – это синтетические наркотики 9 818 грамм, марихуана 14 грамм, гашиш 140 грамм. В сфере незаконного оборота наркотических средств, психотропных веществ и их аналогов пресечено 21 административных правонарушений по ст. 6.8-6.9 КоАП РФ.</w:t>
      </w:r>
    </w:p>
    <w:p w14:paraId="02F13CA7" w14:textId="599DDB63"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 2023 году выявлено 32 преступления экономической направленности, из которых 8 составов категории тяжких, 8 в сфере топливно-энергетического комплекса. Управлением экономической безопасности и противодействия коррупции выявлено</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1 преступление налоговой направленности.</w:t>
      </w:r>
    </w:p>
    <w:p w14:paraId="7BB08EC2"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Преступлений в общественных местах в 2023 году в сравнении с 2022 годом совершено на 55,6% меньше, на улицах на 64,3%, в состоянии алкогольного опьянения на 27%, несовершеннолетними не совершались преступления, совершение преступлений в развлекательных заведениях не зафиксировано. Однако допущен рост преступных деяний иностранцами на 40,0%.</w:t>
      </w:r>
    </w:p>
    <w:p w14:paraId="3F619C3E"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lastRenderedPageBreak/>
        <w:t xml:space="preserve">Выявлено снижение произведенных работ по документированию преступных деяний по линии незаконной миграции на 60,0%, административного надзора на 57,1%, превентивной направленности на 36,0%, экологической направленности на 18,8%. </w:t>
      </w:r>
    </w:p>
    <w:p w14:paraId="1EB3D95B"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Коррупционных преступлений выявлено меньше на 6,7%. Низкая организация работы в сфере ЖКХ и по выявлению преступлений, связанных с национальными проектами и защитой бюджетных средств.  </w:t>
      </w:r>
    </w:p>
    <w:p w14:paraId="74A641EF"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Увеличилась раскрываемость преступлений:</w:t>
      </w:r>
    </w:p>
    <w:p w14:paraId="293C71C6"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по линии следствие обязательно на 56,7% (с 90 случаев в 2022 году до                        141 случая в 2023 году);</w:t>
      </w:r>
    </w:p>
    <w:p w14:paraId="0EE58DD4"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тяжкие и особо тяжкие на 72% (с 50 случаев в 2022 году до 86 случаев в                        2023 году);</w:t>
      </w:r>
    </w:p>
    <w:p w14:paraId="177EA9C7"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преступлений, совершенных с применением ИТТ на 129,7% (с 37 случаев в 2022 году до 85 случаев в 2023 году);</w:t>
      </w:r>
    </w:p>
    <w:p w14:paraId="7143EDC3"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краж совершенных с помощью ИТТ на 100% (с 6 случаев в 2022 году до                          12 случаев в 2023 году);</w:t>
      </w:r>
    </w:p>
    <w:p w14:paraId="56055410"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мошенничеств в 4,5 раза больше (с 4 случаев в 2022 году до 22 случаев в                  2023 году);</w:t>
      </w:r>
    </w:p>
    <w:p w14:paraId="2576DE54" w14:textId="139B4FA8"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присвоение и растрата в 9 раз (с 1 случая в 2022 году до 9 случаев в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2023 году);</w:t>
      </w:r>
    </w:p>
    <w:p w14:paraId="5C3C014C"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незаконный оборот оружия на 55,6% (с 9 случаев в 2022 году до 14 случаев в 2023 году), из них тяжкие в 9 раз (с 1 случая в 2022 году до 9 случаев в 2023 году);</w:t>
      </w:r>
    </w:p>
    <w:p w14:paraId="050AB713" w14:textId="10AB7CA9"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незаконный оборот наркотиков на 142,3% (с 26 случаев в 2022 году до                       63 случаев в 2023 году), из них тяжкие в 3,7 раза (с 10 случаев в 2022 году до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37 случаев в 2023 году);</w:t>
      </w:r>
    </w:p>
    <w:p w14:paraId="071E0E0D" w14:textId="12C0B9D1"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нарушение ПДД на 64,3% (с 14 случав в 2022 году до 23 случаев в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2023 году).</w:t>
      </w:r>
    </w:p>
    <w:p w14:paraId="270DBA67"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Применение служебно-разыскных собак способствовало раскрытию                                14 преступлений, что в 2,3 раза выше показателя уровня 2022 года. </w:t>
      </w:r>
    </w:p>
    <w:p w14:paraId="54B4C54D"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Положительно оценивается работа по возмещению ущерба (Следственный отдел 98%, отдел дознания 98,8%).</w:t>
      </w:r>
    </w:p>
    <w:p w14:paraId="36020A8B"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Административно – правовая деятельность является важным фактором обеспечения общественного порядка и общественной безопасности. Она оказывает существенное влияние на предупреждение преступлений и на правопорядок в целом.</w:t>
      </w:r>
    </w:p>
    <w:p w14:paraId="075B3BBC" w14:textId="77777777"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Осуществлен комплекс мероприятий, направленный на профилактику правонарушений и преступлений среди лиц, склонных к их совершению. На 14,8% снизилась эффективность административного воздействия сотрудниками отделения </w:t>
      </w:r>
      <w:bookmarkStart w:id="7" w:name="_Hlk164189080"/>
      <w:r w:rsidRPr="002F47F3">
        <w:rPr>
          <w:rFonts w:ascii="Times New Roman" w:eastAsia="Calibri" w:hAnsi="Times New Roman" w:cs="Times New Roman"/>
          <w:sz w:val="26"/>
          <w:szCs w:val="26"/>
        </w:rPr>
        <w:t xml:space="preserve">участковых уполномоченных полиции </w:t>
      </w:r>
      <w:bookmarkEnd w:id="7"/>
      <w:r w:rsidRPr="002F47F3">
        <w:rPr>
          <w:rFonts w:ascii="Times New Roman" w:eastAsia="Calibri" w:hAnsi="Times New Roman" w:cs="Times New Roman"/>
          <w:sz w:val="26"/>
          <w:szCs w:val="26"/>
        </w:rPr>
        <w:t xml:space="preserve">и </w:t>
      </w:r>
      <w:bookmarkStart w:id="8" w:name="_Hlk164189648"/>
      <w:r w:rsidRPr="002F47F3">
        <w:rPr>
          <w:rFonts w:ascii="Times New Roman" w:eastAsia="Calibri" w:hAnsi="Times New Roman" w:cs="Times New Roman"/>
          <w:sz w:val="26"/>
          <w:szCs w:val="26"/>
        </w:rPr>
        <w:t xml:space="preserve">подразделения по делам несовершеннолетних </w:t>
      </w:r>
      <w:bookmarkEnd w:id="8"/>
      <w:r w:rsidRPr="002F47F3">
        <w:rPr>
          <w:rFonts w:ascii="Times New Roman" w:eastAsia="Calibri" w:hAnsi="Times New Roman" w:cs="Times New Roman"/>
          <w:sz w:val="26"/>
          <w:szCs w:val="26"/>
        </w:rPr>
        <w:t>(с 1 770 случаев в 2022 году до 1 508 случаев в 2023 году). Недостаточно проводилась работа по выявлению ст.6.1.1 КоАП (-10%), ст.6.24 КоАП (-52,3%), ст.17.7 (-100%), ст.19.15-19.15.2 КоАП (-38,7%), ст.19.24 КоАП (-75,3%), ст.20.21 КоАП (-30%), ст.20.22 (-52%). Сотрудниками участковых уполномоченных полиции количество пресеченных административных правонарушений сократилось на 15,2%, подразделением по делам несовершеннолетних на 10,0%. Взыскаемость в 2023 году составила 99,0%.</w:t>
      </w:r>
    </w:p>
    <w:p w14:paraId="520F487A" w14:textId="519725AC" w:rsidR="002F47F3" w:rsidRPr="002F47F3" w:rsidRDefault="002F47F3" w:rsidP="002F47F3">
      <w:pPr>
        <w:spacing w:after="0" w:line="240" w:lineRule="auto"/>
        <w:ind w:firstLine="851"/>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 подведомственности направлено для рассмотрения и принятия решения            645 административных материалов, что составляет 42% от общего числа выявленных правонарушений, из которых 361 материал (24%) направлен на </w:t>
      </w:r>
      <w:r w:rsidRPr="002F47F3">
        <w:rPr>
          <w:rFonts w:ascii="Times New Roman" w:eastAsia="Calibri" w:hAnsi="Times New Roman" w:cs="Times New Roman"/>
          <w:sz w:val="26"/>
          <w:szCs w:val="26"/>
        </w:rPr>
        <w:lastRenderedPageBreak/>
        <w:t>рассмотрение в суд, в комиссию по делам несовершеннолетних и защите их прав Нефтеюганского района  139 материалов (9,2%), в административную комиссию Нефтеюганского района</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 xml:space="preserve">103 материала (6,8%), ОТУ «Роспотребнадзор»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 xml:space="preserve">10 материалов (0,7%), в Управление Росгвардии по Ханты-Мансийскому автономному округу – Югре 17 материалов (1,1%), «Роспотребнадзор» </w:t>
      </w:r>
      <w:r>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26 материалов (1,5%), Росгвардию 10 материалов (0,6%).</w:t>
      </w:r>
      <w:bookmarkStart w:id="9" w:name="_Hlk131694955"/>
    </w:p>
    <w:p w14:paraId="2F5C5E7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 w:val="left" w:pos="634"/>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 xml:space="preserve">В 2023 году уделено значительное внимание проведению совместно с субъектами профилактики мероприятий в сфере предупреждения подростковой преступности и профилактике семейного благополучия. </w:t>
      </w:r>
    </w:p>
    <w:p w14:paraId="05A0D586"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 w:val="left" w:pos="634"/>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В рамках проведения оперативно-профилактических мероприятий «Семья» поставлено на учет 4 родителя, ненадлежащим образом исполняющие родительские обязанности.</w:t>
      </w:r>
    </w:p>
    <w:p w14:paraId="062C2470"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 w:val="left" w:pos="634"/>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На профилактическом учете в подразделении по делам несовершеннолетних за совершение различных правонарушений состоит 14 несовершеннолетних;                                  25 родителей, отрицательно влияющих на своих детей; 1 группа антиобщественной направленности, в состав которой входят 12 несовершеннолетних, участники проживают на территории п.Юганская Обь (сп.Усть-Юган), сп.Сингапай, сп.Куть-Ях (местом концентрации является сп.Салым) гп.Пойковский. Участников данных групп объединяет факт потребления алкогольной продукции.</w:t>
      </w:r>
      <w:bookmarkEnd w:id="9"/>
    </w:p>
    <w:p w14:paraId="667E9D5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 w:val="left" w:pos="634"/>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За истекший период преступлений, совершённых несовершеннолетними не зарегистрировано, в отношении несовершеннолетних зарегистрировано                                        17 преступлений.</w:t>
      </w:r>
    </w:p>
    <w:p w14:paraId="2267562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 w:val="left" w:pos="634"/>
        </w:tabs>
        <w:suppressAutoHyphens/>
        <w:autoSpaceDE w:val="0"/>
        <w:autoSpaceDN w:val="0"/>
        <w:adjustRightInd w:val="0"/>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Самовольных уходов из семьи и государственных учреждений не совершалось.</w:t>
      </w:r>
    </w:p>
    <w:p w14:paraId="71618C9B" w14:textId="6F957F9B"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40" w:lineRule="auto"/>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 xml:space="preserve">Проводимые профилактические мероприятия по линии безопасности дорожного движения привели к сокращению количества дорожно-транспортных происшествий на 2,9% (с 821 случая в 2022 году до 797 случаев в 2023 году). Однако допущен незначительный рост дорожно-транспортных происшествий с тяжкими последствиями на 0,7% (с 128 случаев в 2022 году до 129 случаев в 2023 году), в которых 33 человека погибло и 174 пострадало. В результате тяжесть последствий увеличилась с 14,0% до 15,9% погибших на 100 пострадавших. Снижена эффективность выявления административных правонарушений на 12,4% </w:t>
      </w:r>
      <w:r w:rsidR="006804C1" w:rsidRPr="006804C1">
        <w:rPr>
          <w:rFonts w:ascii="Times New Roman" w:eastAsia="Calibri" w:hAnsi="Times New Roman" w:cs="Times New Roman"/>
          <w:sz w:val="26"/>
          <w:szCs w:val="26"/>
        </w:rPr>
        <w:t xml:space="preserve">                                 </w:t>
      </w:r>
      <w:proofErr w:type="gramStart"/>
      <w:r w:rsidR="006804C1" w:rsidRPr="006804C1">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w:t>
      </w:r>
      <w:proofErr w:type="gramEnd"/>
      <w:r w:rsidRPr="002F47F3">
        <w:rPr>
          <w:rFonts w:ascii="Times New Roman" w:eastAsia="Calibri" w:hAnsi="Times New Roman" w:cs="Times New Roman"/>
          <w:sz w:val="26"/>
          <w:szCs w:val="26"/>
        </w:rPr>
        <w:t>с 11 217 случаев в 2022 году до 9 822 случаев в 2023 году), при этом больше выявлено грубых нарушений, влияющих на дорожно-транспортную обстановку: выезд на полосу встречного движения на 79,0%; перевозка пассажиров с нарушение требований на 117,2%; нарушение правил дорожного движения пешеходами на 52,0%.</w:t>
      </w:r>
      <w:bookmarkStart w:id="10" w:name="_Hlk131669425"/>
    </w:p>
    <w:bookmarkEnd w:id="6"/>
    <w:p w14:paraId="465C001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567"/>
        </w:tabs>
        <w:suppressAutoHyphens/>
        <w:spacing w:after="0" w:line="200" w:lineRule="exact"/>
        <w:jc w:val="both"/>
        <w:rPr>
          <w:rFonts w:ascii="Times New Roman" w:eastAsia="Calibri" w:hAnsi="Times New Roman" w:cs="Times New Roman"/>
          <w:sz w:val="26"/>
          <w:szCs w:val="26"/>
        </w:rPr>
      </w:pPr>
    </w:p>
    <w:p w14:paraId="527CF7EE" w14:textId="77777777" w:rsidR="002F47F3" w:rsidRPr="002F47F3" w:rsidRDefault="002F47F3" w:rsidP="002F47F3">
      <w:pPr>
        <w:widowControl w:val="0"/>
        <w:numPr>
          <w:ilvl w:val="1"/>
          <w:numId w:val="1"/>
        </w:numPr>
        <w:pBdr>
          <w:top w:val="single" w:sz="4" w:space="1" w:color="FFFFFF"/>
          <w:left w:val="single" w:sz="4" w:space="0" w:color="FFFFFF"/>
          <w:bottom w:val="single" w:sz="4" w:space="30" w:color="FFFFFF"/>
          <w:right w:val="single" w:sz="4" w:space="4" w:color="FFFFFF"/>
        </w:pBdr>
        <w:tabs>
          <w:tab w:val="left" w:pos="567"/>
          <w:tab w:val="left" w:pos="993"/>
        </w:tabs>
        <w:suppressAutoHyphens/>
        <w:autoSpaceDE w:val="0"/>
        <w:autoSpaceDN w:val="0"/>
        <w:adjustRightInd w:val="0"/>
        <w:spacing w:after="0" w:line="240" w:lineRule="auto"/>
        <w:ind w:left="0"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Состояние жилищного фонда, в том числе в соответствии с </w:t>
      </w:r>
      <w:hyperlink w:anchor="Par32" w:history="1">
        <w:r w:rsidRPr="002F47F3">
          <w:rPr>
            <w:rFonts w:ascii="Times New Roman" w:hAnsi="Times New Roman" w:cs="Times New Roman"/>
            <w:i/>
            <w:iCs/>
            <w:sz w:val="26"/>
            <w:szCs w:val="26"/>
          </w:rPr>
          <w:t>таблицей 1</w:t>
        </w:r>
      </w:hyperlink>
      <w:r w:rsidRPr="002F47F3">
        <w:rPr>
          <w:rFonts w:ascii="Times New Roman" w:hAnsi="Times New Roman" w:cs="Times New Roman"/>
          <w:i/>
          <w:iCs/>
          <w:sz w:val="26"/>
          <w:szCs w:val="26"/>
        </w:rPr>
        <w:t xml:space="preserve">. </w:t>
      </w:r>
    </w:p>
    <w:p w14:paraId="1F40436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Одним из важнейших направлений социально-экономического развития Нефтеюганского района является жилищная сфера, создающая необходимые условия для проживания и жизнедеятельности населения. Стратегической задачей функционирования данной отрасли является создание условий для устойчивого и эффективного оборота жилищного фонда, в рамках которого удовлетворяются жилищные потребности граждан, поддерживаются, и развиваются стандарты качества строительства и содержания жилья.</w:t>
      </w:r>
    </w:p>
    <w:p w14:paraId="7F67578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Общая площадь жилищного фонда района по состоянию на 01.01.2024 составила 770,8 тыс. кв. м, в том числе площадь жилых помещений пригодная для проживания 652,0 тыс. кв. м.</w:t>
      </w:r>
    </w:p>
    <w:p w14:paraId="3A95D951"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F47F3">
        <w:rPr>
          <w:rFonts w:ascii="Times New Roman" w:hAnsi="Times New Roman" w:cs="Times New Roman"/>
          <w:sz w:val="26"/>
          <w:szCs w:val="26"/>
        </w:rPr>
        <w:lastRenderedPageBreak/>
        <w:t>В 2023 году площадь жилых помещений, расположенных в аварийных домах, составила 95,8 тыс. кв. м, произведен снос 19,8 тыс. кв. м. аварийных жилых помещений</w:t>
      </w:r>
      <w:r w:rsidRPr="002F47F3">
        <w:rPr>
          <w:rFonts w:ascii="Times New Roman" w:hAnsi="Times New Roman" w:cs="Times New Roman"/>
          <w:sz w:val="24"/>
          <w:szCs w:val="24"/>
        </w:rPr>
        <w:t>.</w:t>
      </w:r>
    </w:p>
    <w:p w14:paraId="21BEDB42" w14:textId="19C681E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В 2023 году на территории Нефтеюганского района осуществлен ввод в эксплуатацию 62 606,5 кв. м жилья, что в 2,7 раза выше запланированного на </w:t>
      </w:r>
      <w:r>
        <w:rPr>
          <w:rFonts w:ascii="Times New Roman" w:hAnsi="Times New Roman" w:cs="Times New Roman"/>
          <w:sz w:val="26"/>
          <w:szCs w:val="26"/>
        </w:rPr>
        <w:t xml:space="preserve">                   </w:t>
      </w:r>
      <w:r w:rsidRPr="002F47F3">
        <w:rPr>
          <w:rFonts w:ascii="Times New Roman" w:hAnsi="Times New Roman" w:cs="Times New Roman"/>
          <w:sz w:val="26"/>
          <w:szCs w:val="26"/>
        </w:rPr>
        <w:t>2023 год (план 23 300 кв. м), из них 279 индивидуальных жилых домов (далее – ИЖС)</w:t>
      </w:r>
      <w:r w:rsidR="00E44DD3">
        <w:rPr>
          <w:rFonts w:ascii="Times New Roman" w:hAnsi="Times New Roman" w:cs="Times New Roman"/>
          <w:sz w:val="26"/>
          <w:szCs w:val="26"/>
        </w:rPr>
        <w:t xml:space="preserve"> </w:t>
      </w:r>
      <w:r w:rsidR="00E44DD3" w:rsidRPr="00E44DD3">
        <w:rPr>
          <w:rFonts w:ascii="Times New Roman" w:hAnsi="Times New Roman" w:cs="Times New Roman"/>
          <w:sz w:val="26"/>
          <w:szCs w:val="26"/>
        </w:rPr>
        <w:t>общей площадью</w:t>
      </w:r>
      <w:r w:rsidRPr="002F47F3">
        <w:rPr>
          <w:rFonts w:ascii="Times New Roman" w:hAnsi="Times New Roman" w:cs="Times New Roman"/>
          <w:sz w:val="26"/>
          <w:szCs w:val="26"/>
        </w:rPr>
        <w:t xml:space="preserve"> </w:t>
      </w:r>
      <w:r w:rsidR="00E44DD3" w:rsidRPr="002F47F3">
        <w:rPr>
          <w:rFonts w:ascii="Times New Roman" w:hAnsi="Times New Roman" w:cs="Times New Roman"/>
          <w:sz w:val="26"/>
          <w:szCs w:val="26"/>
        </w:rPr>
        <w:t>24 281 кв. м</w:t>
      </w:r>
      <w:r w:rsidR="00E44DD3">
        <w:rPr>
          <w:rFonts w:ascii="Times New Roman" w:hAnsi="Times New Roman" w:cs="Times New Roman"/>
          <w:sz w:val="26"/>
          <w:szCs w:val="26"/>
        </w:rPr>
        <w:t>,</w:t>
      </w:r>
      <w:r w:rsidR="00E44DD3" w:rsidRPr="002F47F3">
        <w:rPr>
          <w:rFonts w:ascii="Times New Roman" w:hAnsi="Times New Roman" w:cs="Times New Roman"/>
          <w:sz w:val="26"/>
          <w:szCs w:val="26"/>
        </w:rPr>
        <w:t xml:space="preserve"> </w:t>
      </w:r>
      <w:r w:rsidRPr="002F47F3">
        <w:rPr>
          <w:rFonts w:ascii="Times New Roman" w:hAnsi="Times New Roman" w:cs="Times New Roman"/>
          <w:sz w:val="26"/>
          <w:szCs w:val="26"/>
        </w:rPr>
        <w:t>12 многоквартирных жилых домов (далее – МКД) общей площадью 38 325,5 кв. м (630 квартир):</w:t>
      </w:r>
    </w:p>
    <w:p w14:paraId="31EE3CD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p>
    <w:p w14:paraId="1BA17B26"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 в городском поселении Пойковский 9 МКД общей площадью 30 766,3 кв. м                  </w:t>
      </w:r>
      <w:proofErr w:type="gramStart"/>
      <w:r w:rsidRPr="002F47F3">
        <w:rPr>
          <w:rFonts w:ascii="Times New Roman" w:hAnsi="Times New Roman" w:cs="Times New Roman"/>
          <w:i/>
          <w:iCs/>
          <w:sz w:val="26"/>
          <w:szCs w:val="26"/>
        </w:rPr>
        <w:t xml:space="preserve">   (</w:t>
      </w:r>
      <w:proofErr w:type="gramEnd"/>
      <w:r w:rsidRPr="002F47F3">
        <w:rPr>
          <w:rFonts w:ascii="Times New Roman" w:hAnsi="Times New Roman" w:cs="Times New Roman"/>
          <w:i/>
          <w:iCs/>
          <w:sz w:val="26"/>
          <w:szCs w:val="26"/>
        </w:rPr>
        <w:t>494 квартиры), в том числе:</w:t>
      </w:r>
    </w:p>
    <w:p w14:paraId="1CFE0F4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125 общей площадью 2 291,7 кв. м. (39 квартир);</w:t>
      </w:r>
    </w:p>
    <w:p w14:paraId="599C487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123 общей площадью 2 331,4 кв. м. (39 квартир);</w:t>
      </w:r>
    </w:p>
    <w:p w14:paraId="5B95EAB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3 микрорайон, участок 36 общей площадью 2 899,2 кв. м. (56 квартир);</w:t>
      </w:r>
    </w:p>
    <w:p w14:paraId="215AE36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126 общей площадью 4 162,4 кв. м. (64 квартиры);</w:t>
      </w:r>
    </w:p>
    <w:p w14:paraId="36D377C2"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129 общей площадью 4 162,4 кв. м. (64 квартиры);</w:t>
      </w:r>
    </w:p>
    <w:p w14:paraId="69A618ED"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128 общей площадью 2 432,0 кв. м. (40 квартир);</w:t>
      </w:r>
    </w:p>
    <w:p w14:paraId="241738E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130 общей площадью 4 162,4 кв. м. (64 квартиры);</w:t>
      </w:r>
    </w:p>
    <w:p w14:paraId="29EFCD7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127 общей площадью 4 162,4 кв. м. (64 квартиры);</w:t>
      </w:r>
    </w:p>
    <w:p w14:paraId="6FAA2140"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131 общей площадью 4 162,4 кв. м. (64 квартиры);</w:t>
      </w:r>
    </w:p>
    <w:p w14:paraId="6CCA77FA"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2E69A908"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 в сельском поселении Сингапай 2 МКД общей площадью 5 031,1 кв. м                              </w:t>
      </w:r>
      <w:proofErr w:type="gramStart"/>
      <w:r w:rsidRPr="002F47F3">
        <w:rPr>
          <w:rFonts w:ascii="Times New Roman" w:hAnsi="Times New Roman" w:cs="Times New Roman"/>
          <w:i/>
          <w:iCs/>
          <w:sz w:val="26"/>
          <w:szCs w:val="26"/>
        </w:rPr>
        <w:t xml:space="preserve">   (</w:t>
      </w:r>
      <w:proofErr w:type="gramEnd"/>
      <w:r w:rsidRPr="002F47F3">
        <w:rPr>
          <w:rFonts w:ascii="Times New Roman" w:hAnsi="Times New Roman" w:cs="Times New Roman"/>
          <w:i/>
          <w:iCs/>
          <w:sz w:val="26"/>
          <w:szCs w:val="26"/>
        </w:rPr>
        <w:t>96 квартир), в том числе:</w:t>
      </w:r>
    </w:p>
    <w:p w14:paraId="2686717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ул. Круг В-1, участок 53 общей площадью 2 516,7 кв. м (48 квартир);</w:t>
      </w:r>
    </w:p>
    <w:p w14:paraId="0EBAFE94"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ул. Круг В-1, участок 52 общей площадью 2 514,4 кв. м (48 квартир);</w:t>
      </w:r>
    </w:p>
    <w:p w14:paraId="36C5374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p>
    <w:p w14:paraId="46E66B85"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eastAsia="Calibri" w:hAnsi="Times New Roman" w:cs="Times New Roman"/>
          <w:i/>
          <w:iCs/>
          <w:sz w:val="26"/>
          <w:szCs w:val="26"/>
        </w:rPr>
        <w:t>- в</w:t>
      </w:r>
      <w:r w:rsidRPr="002F47F3">
        <w:rPr>
          <w:rFonts w:ascii="Times New Roman" w:hAnsi="Times New Roman" w:cs="Times New Roman"/>
          <w:i/>
          <w:iCs/>
          <w:sz w:val="26"/>
          <w:szCs w:val="26"/>
        </w:rPr>
        <w:t xml:space="preserve"> сельском поселении Каркатеевы ул.Садовая 1 МКД общей площадью                   2 528,1 кв. м</w:t>
      </w:r>
      <w:r w:rsidRPr="002F47F3">
        <w:rPr>
          <w:rFonts w:ascii="Times New Roman" w:hAnsi="Times New Roman" w:cs="Times New Roman"/>
          <w:sz w:val="26"/>
          <w:szCs w:val="26"/>
        </w:rPr>
        <w:t xml:space="preserve"> (40 квартир). </w:t>
      </w:r>
    </w:p>
    <w:p w14:paraId="10B7A72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70947B3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2024 году в районе планируется к вводу 31 700,0 кв. м жилья, из них                               ИЖС общей площадью 19</w:t>
      </w:r>
      <w:r w:rsidRPr="002F47F3">
        <w:rPr>
          <w:rFonts w:ascii="Times New Roman" w:hAnsi="Times New Roman" w:cs="Times New Roman"/>
          <w:sz w:val="26"/>
          <w:szCs w:val="26"/>
          <w:lang w:val="en-US"/>
        </w:rPr>
        <w:t> </w:t>
      </w:r>
      <w:r w:rsidRPr="002F47F3">
        <w:rPr>
          <w:rFonts w:ascii="Times New Roman" w:hAnsi="Times New Roman" w:cs="Times New Roman"/>
          <w:sz w:val="26"/>
          <w:szCs w:val="26"/>
        </w:rPr>
        <w:t>262,6 кв. м, 5 МКД общей площадью 12</w:t>
      </w:r>
      <w:r w:rsidRPr="002F47F3">
        <w:rPr>
          <w:rFonts w:ascii="Times New Roman" w:hAnsi="Times New Roman" w:cs="Times New Roman"/>
          <w:sz w:val="26"/>
          <w:szCs w:val="26"/>
          <w:lang w:val="en-US"/>
        </w:rPr>
        <w:t> </w:t>
      </w:r>
      <w:r w:rsidRPr="002F47F3">
        <w:rPr>
          <w:rFonts w:ascii="Times New Roman" w:hAnsi="Times New Roman" w:cs="Times New Roman"/>
          <w:sz w:val="26"/>
          <w:szCs w:val="26"/>
        </w:rPr>
        <w:t xml:space="preserve">437,5 кв. м                 </w:t>
      </w:r>
      <w:proofErr w:type="gramStart"/>
      <w:r w:rsidRPr="002F47F3">
        <w:rPr>
          <w:rFonts w:ascii="Times New Roman" w:hAnsi="Times New Roman" w:cs="Times New Roman"/>
          <w:sz w:val="26"/>
          <w:szCs w:val="26"/>
        </w:rPr>
        <w:t xml:space="preserve">   (</w:t>
      </w:r>
      <w:proofErr w:type="gramEnd"/>
      <w:r w:rsidRPr="002F47F3">
        <w:rPr>
          <w:rFonts w:ascii="Times New Roman" w:hAnsi="Times New Roman" w:cs="Times New Roman"/>
          <w:sz w:val="26"/>
          <w:szCs w:val="26"/>
        </w:rPr>
        <w:t>241 квартира):</w:t>
      </w:r>
    </w:p>
    <w:p w14:paraId="0B47534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p>
    <w:p w14:paraId="4A52BF75"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 в городском поселении Пойковский 3 МКД общей площадью 9 134,0 кв. м                        </w:t>
      </w:r>
      <w:proofErr w:type="gramStart"/>
      <w:r w:rsidRPr="002F47F3">
        <w:rPr>
          <w:rFonts w:ascii="Times New Roman" w:hAnsi="Times New Roman" w:cs="Times New Roman"/>
          <w:i/>
          <w:iCs/>
          <w:sz w:val="26"/>
          <w:szCs w:val="26"/>
        </w:rPr>
        <w:t xml:space="preserve">   (</w:t>
      </w:r>
      <w:proofErr w:type="gramEnd"/>
      <w:r w:rsidRPr="002F47F3">
        <w:rPr>
          <w:rFonts w:ascii="Times New Roman" w:hAnsi="Times New Roman" w:cs="Times New Roman"/>
          <w:i/>
          <w:iCs/>
          <w:sz w:val="26"/>
          <w:szCs w:val="26"/>
        </w:rPr>
        <w:t>172 квартиры), в том числе:</w:t>
      </w:r>
    </w:p>
    <w:p w14:paraId="6387BE3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3 микрорайон, участок 68 общей площадью 4 666,8 кв. м (92 квартиры);</w:t>
      </w:r>
    </w:p>
    <w:p w14:paraId="69997EED"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микрорайон Дорожник, участок 8 общей площадью 1 763,2 кв. м (32 квартиры);</w:t>
      </w:r>
    </w:p>
    <w:p w14:paraId="40A72B5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1 микрорайон, участок 33 общей площадью 2 704,0 кв. м (48 квартир);</w:t>
      </w:r>
    </w:p>
    <w:p w14:paraId="6837130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23E2E77D"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 </w:t>
      </w:r>
      <w:r w:rsidRPr="002F47F3">
        <w:rPr>
          <w:rFonts w:ascii="Times New Roman" w:hAnsi="Times New Roman" w:cs="Times New Roman"/>
          <w:i/>
          <w:iCs/>
          <w:sz w:val="26"/>
          <w:szCs w:val="26"/>
        </w:rPr>
        <w:t xml:space="preserve">в сельском поселении Куть-Ях 1 МКД общей площадью 1 706,6 кв. м </w:t>
      </w:r>
      <w:r w:rsidRPr="002F47F3">
        <w:rPr>
          <w:rFonts w:ascii="Times New Roman" w:hAnsi="Times New Roman" w:cs="Times New Roman"/>
          <w:sz w:val="26"/>
          <w:szCs w:val="26"/>
        </w:rPr>
        <w:t xml:space="preserve">                           </w:t>
      </w:r>
      <w:proofErr w:type="gramStart"/>
      <w:r w:rsidRPr="002F47F3">
        <w:rPr>
          <w:rFonts w:ascii="Times New Roman" w:hAnsi="Times New Roman" w:cs="Times New Roman"/>
          <w:sz w:val="26"/>
          <w:szCs w:val="26"/>
        </w:rPr>
        <w:t xml:space="preserve">   (</w:t>
      </w:r>
      <w:proofErr w:type="gramEnd"/>
      <w:r w:rsidRPr="002F47F3">
        <w:rPr>
          <w:rFonts w:ascii="Times New Roman" w:hAnsi="Times New Roman" w:cs="Times New Roman"/>
          <w:sz w:val="26"/>
          <w:szCs w:val="26"/>
        </w:rPr>
        <w:t>32 квартиры);</w:t>
      </w:r>
    </w:p>
    <w:p w14:paraId="52D7735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2E717F2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i/>
          <w:iCs/>
          <w:sz w:val="26"/>
          <w:szCs w:val="26"/>
        </w:rPr>
        <w:t xml:space="preserve">- в сельском поселении Сингапай ул.Центральная, участок 10 1 МКД общей площадью 1 596,9 кв. м </w:t>
      </w:r>
      <w:r w:rsidRPr="002F47F3">
        <w:rPr>
          <w:rFonts w:ascii="Times New Roman" w:hAnsi="Times New Roman" w:cs="Times New Roman"/>
          <w:sz w:val="26"/>
          <w:szCs w:val="26"/>
        </w:rPr>
        <w:t>(37 квартир).</w:t>
      </w:r>
    </w:p>
    <w:p w14:paraId="532859E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4E0ED9F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2025 году в районе планируется к вводу 24 400,0 кв. м жилья, из них ИЖС общей площадью 8 541,0 кв. м, 5 МКД общей площадью 15 859,0 кв. м (276 квартир):</w:t>
      </w:r>
    </w:p>
    <w:p w14:paraId="2ACD0F7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p>
    <w:p w14:paraId="17D7BC5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lastRenderedPageBreak/>
        <w:t xml:space="preserve">- в городском поселении Пойковский 3 МКД общей площадью 11 228,7 кв. м                        </w:t>
      </w:r>
      <w:proofErr w:type="gramStart"/>
      <w:r w:rsidRPr="002F47F3">
        <w:rPr>
          <w:rFonts w:ascii="Times New Roman" w:hAnsi="Times New Roman" w:cs="Times New Roman"/>
          <w:i/>
          <w:iCs/>
          <w:sz w:val="26"/>
          <w:szCs w:val="26"/>
        </w:rPr>
        <w:t xml:space="preserve">   (</w:t>
      </w:r>
      <w:proofErr w:type="gramEnd"/>
      <w:r w:rsidRPr="002F47F3">
        <w:rPr>
          <w:rFonts w:ascii="Times New Roman" w:hAnsi="Times New Roman" w:cs="Times New Roman"/>
          <w:i/>
          <w:iCs/>
          <w:sz w:val="26"/>
          <w:szCs w:val="26"/>
        </w:rPr>
        <w:t>205 квартир), в том числе:</w:t>
      </w:r>
    </w:p>
    <w:p w14:paraId="4A6173E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3 микрорайон, участок 69 общей площадью 4 844,3 кв. м (84 квартиры);</w:t>
      </w:r>
    </w:p>
    <w:p w14:paraId="17A943E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3 микрорайон, участок 70 общей площадью 4 842,4 кв. м (84 квартиры);</w:t>
      </w:r>
    </w:p>
    <w:p w14:paraId="539E0772"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микрорайон Дорожник, участок 12 общей площадью 1 542,0 кв. м (37 квартир);</w:t>
      </w:r>
    </w:p>
    <w:p w14:paraId="7090922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7543D80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i/>
          <w:iCs/>
          <w:sz w:val="26"/>
          <w:szCs w:val="26"/>
        </w:rPr>
        <w:t>- в сельском поселении Каркатеевы, ул.Садовая 1 МКД общей площадью                   2 300,0 кв. м</w:t>
      </w:r>
      <w:r w:rsidRPr="002F47F3">
        <w:rPr>
          <w:rFonts w:ascii="Times New Roman" w:hAnsi="Times New Roman" w:cs="Times New Roman"/>
          <w:sz w:val="26"/>
          <w:szCs w:val="26"/>
        </w:rPr>
        <w:t xml:space="preserve"> (30 квартир);</w:t>
      </w:r>
    </w:p>
    <w:p w14:paraId="46C37A1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 </w:t>
      </w:r>
      <w:r w:rsidRPr="002F47F3">
        <w:rPr>
          <w:rFonts w:ascii="Times New Roman" w:hAnsi="Times New Roman" w:cs="Times New Roman"/>
          <w:i/>
          <w:iCs/>
          <w:sz w:val="26"/>
          <w:szCs w:val="26"/>
        </w:rPr>
        <w:t xml:space="preserve">в сельском поселении Лемпино 1 МКД общей площадью 2 330,2 кв. м  </w:t>
      </w:r>
      <w:r w:rsidRPr="002F47F3">
        <w:rPr>
          <w:rFonts w:ascii="Times New Roman" w:hAnsi="Times New Roman" w:cs="Times New Roman"/>
          <w:sz w:val="26"/>
          <w:szCs w:val="26"/>
        </w:rPr>
        <w:t xml:space="preserve">                        </w:t>
      </w:r>
      <w:proofErr w:type="gramStart"/>
      <w:r w:rsidRPr="002F47F3">
        <w:rPr>
          <w:rFonts w:ascii="Times New Roman" w:hAnsi="Times New Roman" w:cs="Times New Roman"/>
          <w:sz w:val="26"/>
          <w:szCs w:val="26"/>
        </w:rPr>
        <w:t xml:space="preserve">   (</w:t>
      </w:r>
      <w:proofErr w:type="gramEnd"/>
      <w:r w:rsidRPr="002F47F3">
        <w:rPr>
          <w:rFonts w:ascii="Times New Roman" w:hAnsi="Times New Roman" w:cs="Times New Roman"/>
          <w:sz w:val="26"/>
          <w:szCs w:val="26"/>
        </w:rPr>
        <w:t>36 квартир и одно нежилое помещение, учтенное в общей площади).</w:t>
      </w:r>
    </w:p>
    <w:p w14:paraId="5430377F"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58CDED3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2026 году в районе планируется к вводу 24 400,0 кв. м жилья, из них ИЖС общей площадью 5 015,4 кв. м, 3 МКД общей площадью 19 384,6 кв. м (239 квартир):</w:t>
      </w:r>
    </w:p>
    <w:p w14:paraId="6F12F86D"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45D16170"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 в городском поселении Пойковский 2 МКД общей площадью 15 751,2 кв. м                        </w:t>
      </w:r>
      <w:proofErr w:type="gramStart"/>
      <w:r w:rsidRPr="002F47F3">
        <w:rPr>
          <w:rFonts w:ascii="Times New Roman" w:hAnsi="Times New Roman" w:cs="Times New Roman"/>
          <w:i/>
          <w:iCs/>
          <w:sz w:val="26"/>
          <w:szCs w:val="26"/>
        </w:rPr>
        <w:t xml:space="preserve">   (</w:t>
      </w:r>
      <w:proofErr w:type="gramEnd"/>
      <w:r w:rsidRPr="002F47F3">
        <w:rPr>
          <w:rFonts w:ascii="Times New Roman" w:hAnsi="Times New Roman" w:cs="Times New Roman"/>
          <w:i/>
          <w:iCs/>
          <w:sz w:val="26"/>
          <w:szCs w:val="26"/>
        </w:rPr>
        <w:t>168 квартир), в том числе:</w:t>
      </w:r>
    </w:p>
    <w:p w14:paraId="0C93D8A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132 общей площадью 7 875,6 кв. м (84 квартиры);</w:t>
      </w:r>
    </w:p>
    <w:p w14:paraId="1EEA9B9D"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7 микрорайон, участок 133 общей площадью 7 875,6 кв. м (84 квартиры);</w:t>
      </w:r>
    </w:p>
    <w:p w14:paraId="2960AAEE"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p>
    <w:p w14:paraId="7C8A3E94"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 в сельском поселении Сингапай </w:t>
      </w:r>
      <w:r w:rsidRPr="002F47F3">
        <w:rPr>
          <w:rFonts w:ascii="Times New Roman" w:eastAsia="Calibri" w:hAnsi="Times New Roman" w:cs="Times New Roman"/>
          <w:sz w:val="26"/>
          <w:szCs w:val="26"/>
        </w:rPr>
        <w:t xml:space="preserve">ул. Круг В-1, участок 60, </w:t>
      </w:r>
      <w:r w:rsidRPr="002F47F3">
        <w:rPr>
          <w:rFonts w:ascii="Times New Roman" w:hAnsi="Times New Roman" w:cs="Times New Roman"/>
          <w:i/>
          <w:iCs/>
          <w:sz w:val="26"/>
          <w:szCs w:val="26"/>
        </w:rPr>
        <w:t>1 МКД общей площадью 3 633,4 кв. м (71 квартира).</w:t>
      </w:r>
    </w:p>
    <w:p w14:paraId="5E8FB6F7"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i/>
          <w:iCs/>
          <w:sz w:val="26"/>
          <w:szCs w:val="26"/>
        </w:rPr>
      </w:pPr>
    </w:p>
    <w:p w14:paraId="4A6AFDAB"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Администрацией Нефтеюганского района проводятся мероприятия направленные на повышение эффективности деятельности органов местного самоуправления в части своевременной подготовки и внесению изменений в градостроительную документацию поселений.</w:t>
      </w:r>
    </w:p>
    <w:p w14:paraId="05925E18"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2023 году разработан единый документ территориального планирования и градостроительного зонирования в гп.Пойковский и сп.Куть-Ях. Кроме того, разработана документация по планировке территории на автоматизированную газораспределительную станцию в сп.Куть-Ях.</w:t>
      </w:r>
    </w:p>
    <w:p w14:paraId="5B307172"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2024 году проходит процедуру заключения муниципальный контракт на выполнение научно-исследовательских работ по подготовке единых документов территориального планирования и градостроительного зонирования для сп.Салым и сп.Сингапай. Также планируется заключение муниципального контракта на разработку проекта внесения изменений в проект планировки и проект межевания в микрорайоне 3 Б гп.Пойковский.</w:t>
      </w:r>
    </w:p>
    <w:p w14:paraId="6C7CFB20"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ab/>
        <w:t>По состоянию на 01.04.2024 на учете по предоставлению земельных участков однократно бесплатно состоит 225 семей льготной категории граждан, в том числе               198 из числа многодетных, из них:</w:t>
      </w:r>
    </w:p>
    <w:p w14:paraId="11BAFD3A"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гп.Пойковский 171 семья, в том числе 151 из числа многодетных;</w:t>
      </w:r>
    </w:p>
    <w:p w14:paraId="4D9164A0"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сп.Салым 27 семей, в том числе 21 из числа многодетных;</w:t>
      </w:r>
    </w:p>
    <w:p w14:paraId="5DCE1DB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сп.Куть-Ях 1 многодетная семья;</w:t>
      </w:r>
    </w:p>
    <w:p w14:paraId="4756321F"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сп.Каркатеевы 2 многодетных семьи;</w:t>
      </w:r>
    </w:p>
    <w:p w14:paraId="50CD9DC9"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сп.Усть-Юган 4 многодетных семей;</w:t>
      </w:r>
    </w:p>
    <w:p w14:paraId="7B2B0FA4"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сп.Сингапай 20 семей, в том числе 19 из числа многодетных.</w:t>
      </w:r>
    </w:p>
    <w:p w14:paraId="3E040ECC"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В 2023 году сформировано 5 земельных участков в сп.Каркатеевы и 27 участков в сп.Салым. </w:t>
      </w:r>
    </w:p>
    <w:p w14:paraId="3CB88AA4"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 xml:space="preserve">На территории сп.Сингапай сформированы 5 земельных участков, но не </w:t>
      </w:r>
      <w:r w:rsidRPr="002F47F3">
        <w:rPr>
          <w:rFonts w:ascii="Times New Roman" w:hAnsi="Times New Roman" w:cs="Times New Roman"/>
          <w:sz w:val="26"/>
          <w:szCs w:val="26"/>
        </w:rPr>
        <w:lastRenderedPageBreak/>
        <w:t>обеспечены инженерной и транспортной инфраструктурой.</w:t>
      </w:r>
    </w:p>
    <w:p w14:paraId="0EAB89F3" w14:textId="77777777" w:rsidR="002F47F3" w:rsidRPr="002F47F3" w:rsidRDefault="002F47F3" w:rsidP="002F47F3">
      <w:pPr>
        <w:widowControl w:val="0"/>
        <w:pBdr>
          <w:top w:val="single" w:sz="4" w:space="1" w:color="FFFFFF"/>
          <w:left w:val="single" w:sz="4" w:space="0" w:color="FFFFFF"/>
          <w:bottom w:val="single" w:sz="4" w:space="30" w:color="FFFFFF"/>
          <w:right w:val="single" w:sz="4" w:space="4" w:color="FFFFFF"/>
        </w:pBdr>
        <w:tabs>
          <w:tab w:val="left" w:pos="709"/>
        </w:tabs>
        <w:suppressAutoHyphens/>
        <w:autoSpaceDE w:val="0"/>
        <w:autoSpaceDN w:val="0"/>
        <w:adjustRightInd w:val="0"/>
        <w:spacing w:after="0" w:line="240" w:lineRule="auto"/>
        <w:ind w:firstLine="567"/>
        <w:contextualSpacing/>
        <w:jc w:val="both"/>
        <w:rPr>
          <w:rFonts w:ascii="Times New Roman" w:hAnsi="Times New Roman" w:cs="Times New Roman"/>
          <w:sz w:val="26"/>
          <w:szCs w:val="26"/>
        </w:rPr>
      </w:pPr>
      <w:r w:rsidRPr="002F47F3">
        <w:rPr>
          <w:rFonts w:ascii="Times New Roman" w:hAnsi="Times New Roman" w:cs="Times New Roman"/>
          <w:sz w:val="26"/>
          <w:szCs w:val="26"/>
        </w:rPr>
        <w:t>В 2024 году запланировано к формированию 32 земельных участка для обеспечения льготных категорий граждан, в 2025 году запланировано 5 земельных участков, в 2026 году запланировано 97 земельных участков.</w:t>
      </w:r>
    </w:p>
    <w:p w14:paraId="65D7F6FB" w14:textId="77777777" w:rsidR="002F47F3" w:rsidRPr="002F47F3" w:rsidRDefault="002F47F3" w:rsidP="002F47F3">
      <w:pPr>
        <w:autoSpaceDE w:val="0"/>
        <w:autoSpaceDN w:val="0"/>
        <w:adjustRightInd w:val="0"/>
        <w:spacing w:after="0" w:line="240" w:lineRule="auto"/>
        <w:jc w:val="right"/>
        <w:outlineLvl w:val="0"/>
        <w:rPr>
          <w:rFonts w:ascii="Times New Roman" w:hAnsi="Times New Roman" w:cs="Times New Roman"/>
          <w:sz w:val="24"/>
          <w:szCs w:val="24"/>
        </w:rPr>
      </w:pPr>
      <w:r w:rsidRPr="002F47F3">
        <w:rPr>
          <w:rFonts w:ascii="Times New Roman" w:hAnsi="Times New Roman" w:cs="Times New Roman"/>
          <w:sz w:val="24"/>
          <w:szCs w:val="24"/>
        </w:rPr>
        <w:t>Таблица 1</w:t>
      </w:r>
    </w:p>
    <w:p w14:paraId="292AF4DE"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sz w:val="24"/>
          <w:szCs w:val="24"/>
        </w:rPr>
      </w:pPr>
    </w:p>
    <w:p w14:paraId="7000C1E3"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bookmarkStart w:id="11" w:name="Par32"/>
      <w:bookmarkEnd w:id="11"/>
      <w:r w:rsidRPr="002F47F3">
        <w:rPr>
          <w:rFonts w:ascii="Times New Roman" w:hAnsi="Times New Roman" w:cs="Times New Roman"/>
          <w:sz w:val="24"/>
          <w:szCs w:val="24"/>
        </w:rPr>
        <w:t>Информация о состоянии жилищного фонда в городских округах</w:t>
      </w:r>
    </w:p>
    <w:p w14:paraId="681B081D"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и муниципальных районах Ханты-Мансийского автономного</w:t>
      </w:r>
    </w:p>
    <w:p w14:paraId="70133B0A"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округа - Югры за отчетный период, тыс. кв. метров</w:t>
      </w:r>
    </w:p>
    <w:p w14:paraId="2CCCEE2A"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муниципального образования Нефтеюганский район</w:t>
      </w:r>
    </w:p>
    <w:tbl>
      <w:tblPr>
        <w:tblpPr w:leftFromText="180" w:rightFromText="180" w:vertAnchor="text" w:horzAnchor="margin" w:tblpXSpec="center" w:tblpY="704"/>
        <w:tblW w:w="10459" w:type="dxa"/>
        <w:tblLayout w:type="fixed"/>
        <w:tblLook w:val="04A0" w:firstRow="1" w:lastRow="0" w:firstColumn="1" w:lastColumn="0" w:noHBand="0" w:noVBand="1"/>
      </w:tblPr>
      <w:tblGrid>
        <w:gridCol w:w="851"/>
        <w:gridCol w:w="851"/>
        <w:gridCol w:w="992"/>
        <w:gridCol w:w="1014"/>
        <w:gridCol w:w="1154"/>
        <w:gridCol w:w="745"/>
        <w:gridCol w:w="1109"/>
        <w:gridCol w:w="895"/>
        <w:gridCol w:w="895"/>
        <w:gridCol w:w="992"/>
        <w:gridCol w:w="961"/>
      </w:tblGrid>
      <w:tr w:rsidR="002F47F3" w:rsidRPr="002F47F3" w14:paraId="48103AF6" w14:textId="77777777" w:rsidTr="00E63797">
        <w:trPr>
          <w:trHeight w:val="55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97AB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Отчетный период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6179F"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Общая площадь жилых помещений на начало года, всего</w:t>
            </w:r>
          </w:p>
        </w:tc>
        <w:tc>
          <w:tcPr>
            <w:tcW w:w="3905" w:type="dxa"/>
            <w:gridSpan w:val="4"/>
            <w:tcBorders>
              <w:top w:val="single" w:sz="4" w:space="0" w:color="auto"/>
              <w:left w:val="nil"/>
              <w:bottom w:val="single" w:sz="4" w:space="0" w:color="auto"/>
              <w:right w:val="single" w:sz="4" w:space="0" w:color="auto"/>
            </w:tcBorders>
            <w:shd w:val="clear" w:color="auto" w:fill="auto"/>
            <w:vAlign w:val="center"/>
            <w:hideMark/>
          </w:tcPr>
          <w:p w14:paraId="720517B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в том числе</w:t>
            </w: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14:paraId="486C737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Выбыло общей площади жилых помещений за год, всего</w:t>
            </w:r>
          </w:p>
        </w:tc>
        <w:tc>
          <w:tcPr>
            <w:tcW w:w="2782" w:type="dxa"/>
            <w:gridSpan w:val="3"/>
            <w:tcBorders>
              <w:top w:val="single" w:sz="4" w:space="0" w:color="auto"/>
              <w:left w:val="nil"/>
              <w:bottom w:val="single" w:sz="4" w:space="0" w:color="auto"/>
              <w:right w:val="single" w:sz="4" w:space="0" w:color="auto"/>
            </w:tcBorders>
            <w:shd w:val="clear" w:color="auto" w:fill="auto"/>
            <w:vAlign w:val="center"/>
            <w:hideMark/>
          </w:tcPr>
          <w:p w14:paraId="03978DB5"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в том числе</w:t>
            </w:r>
          </w:p>
        </w:tc>
        <w:tc>
          <w:tcPr>
            <w:tcW w:w="961" w:type="dxa"/>
            <w:vMerge w:val="restart"/>
            <w:tcBorders>
              <w:top w:val="single" w:sz="4" w:space="0" w:color="auto"/>
              <w:left w:val="single" w:sz="4" w:space="0" w:color="auto"/>
              <w:right w:val="single" w:sz="4" w:space="0" w:color="auto"/>
            </w:tcBorders>
            <w:shd w:val="clear" w:color="auto" w:fill="auto"/>
            <w:vAlign w:val="center"/>
            <w:hideMark/>
          </w:tcPr>
          <w:p w14:paraId="6823FF9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Общая площадь жилых помещений, введенная в действие за год</w:t>
            </w:r>
          </w:p>
        </w:tc>
      </w:tr>
      <w:tr w:rsidR="002F47F3" w:rsidRPr="002F47F3" w14:paraId="11C5A42C" w14:textId="77777777" w:rsidTr="00E63797">
        <w:trPr>
          <w:trHeight w:val="1261"/>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1B2CEAD" w14:textId="77777777" w:rsidR="002F47F3" w:rsidRPr="002F47F3" w:rsidRDefault="002F47F3" w:rsidP="002F47F3">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AF9E7C" w14:textId="77777777" w:rsidR="002F47F3" w:rsidRPr="002F47F3" w:rsidRDefault="002F47F3" w:rsidP="002F47F3">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35FDA8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площадь ветхого жилищного фонда</w:t>
            </w:r>
          </w:p>
        </w:tc>
        <w:tc>
          <w:tcPr>
            <w:tcW w:w="1014" w:type="dxa"/>
            <w:tcBorders>
              <w:top w:val="nil"/>
              <w:left w:val="nil"/>
              <w:bottom w:val="single" w:sz="4" w:space="0" w:color="auto"/>
              <w:right w:val="single" w:sz="4" w:space="0" w:color="auto"/>
            </w:tcBorders>
            <w:shd w:val="clear" w:color="auto" w:fill="auto"/>
            <w:vAlign w:val="center"/>
            <w:hideMark/>
          </w:tcPr>
          <w:p w14:paraId="3F4E707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площадь аварийного жилищного фонда</w:t>
            </w:r>
          </w:p>
        </w:tc>
        <w:tc>
          <w:tcPr>
            <w:tcW w:w="1154" w:type="dxa"/>
            <w:tcBorders>
              <w:top w:val="nil"/>
              <w:left w:val="nil"/>
              <w:bottom w:val="single" w:sz="4" w:space="0" w:color="auto"/>
              <w:right w:val="single" w:sz="4" w:space="0" w:color="auto"/>
            </w:tcBorders>
            <w:shd w:val="clear" w:color="auto" w:fill="auto"/>
            <w:vAlign w:val="center"/>
            <w:hideMark/>
          </w:tcPr>
          <w:p w14:paraId="3F3C4FF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площадь пригодного для проживания жилищного фонда</w:t>
            </w:r>
          </w:p>
        </w:tc>
        <w:tc>
          <w:tcPr>
            <w:tcW w:w="745" w:type="dxa"/>
            <w:tcBorders>
              <w:top w:val="nil"/>
              <w:left w:val="nil"/>
              <w:bottom w:val="single" w:sz="4" w:space="0" w:color="auto"/>
              <w:right w:val="single" w:sz="4" w:space="0" w:color="auto"/>
            </w:tcBorders>
            <w:shd w:val="clear" w:color="auto" w:fill="auto"/>
            <w:vAlign w:val="center"/>
            <w:hideMark/>
          </w:tcPr>
          <w:p w14:paraId="07D51B1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прочее</w:t>
            </w:r>
          </w:p>
        </w:tc>
        <w:tc>
          <w:tcPr>
            <w:tcW w:w="1109" w:type="dxa"/>
            <w:vMerge/>
            <w:tcBorders>
              <w:left w:val="single" w:sz="4" w:space="0" w:color="auto"/>
              <w:bottom w:val="single" w:sz="4" w:space="0" w:color="auto"/>
              <w:right w:val="single" w:sz="4" w:space="0" w:color="auto"/>
            </w:tcBorders>
            <w:vAlign w:val="center"/>
            <w:hideMark/>
          </w:tcPr>
          <w:p w14:paraId="157DF397" w14:textId="77777777" w:rsidR="002F47F3" w:rsidRPr="002F47F3" w:rsidRDefault="002F47F3" w:rsidP="002F47F3">
            <w:pPr>
              <w:spacing w:after="0" w:line="240" w:lineRule="auto"/>
              <w:rPr>
                <w:rFonts w:ascii="Times New Roman" w:eastAsia="Times New Roman" w:hAnsi="Times New Roman" w:cs="Times New Roman"/>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hideMark/>
          </w:tcPr>
          <w:p w14:paraId="1BF6A958"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снесено по причине ветхости</w:t>
            </w:r>
          </w:p>
        </w:tc>
        <w:tc>
          <w:tcPr>
            <w:tcW w:w="895" w:type="dxa"/>
            <w:tcBorders>
              <w:top w:val="nil"/>
              <w:left w:val="nil"/>
              <w:bottom w:val="single" w:sz="4" w:space="0" w:color="auto"/>
              <w:right w:val="single" w:sz="4" w:space="0" w:color="auto"/>
            </w:tcBorders>
            <w:shd w:val="clear" w:color="auto" w:fill="auto"/>
            <w:vAlign w:val="center"/>
            <w:hideMark/>
          </w:tcPr>
          <w:p w14:paraId="60CB655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снесено по причине аварийности</w:t>
            </w:r>
          </w:p>
        </w:tc>
        <w:tc>
          <w:tcPr>
            <w:tcW w:w="992" w:type="dxa"/>
            <w:tcBorders>
              <w:top w:val="nil"/>
              <w:left w:val="nil"/>
              <w:bottom w:val="single" w:sz="4" w:space="0" w:color="auto"/>
              <w:right w:val="single" w:sz="4" w:space="0" w:color="auto"/>
            </w:tcBorders>
            <w:shd w:val="clear" w:color="auto" w:fill="auto"/>
            <w:vAlign w:val="center"/>
            <w:hideMark/>
          </w:tcPr>
          <w:p w14:paraId="75FC9D2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иные причины</w:t>
            </w:r>
          </w:p>
        </w:tc>
        <w:tc>
          <w:tcPr>
            <w:tcW w:w="961" w:type="dxa"/>
            <w:vMerge/>
            <w:tcBorders>
              <w:left w:val="single" w:sz="4" w:space="0" w:color="auto"/>
              <w:bottom w:val="single" w:sz="4" w:space="0" w:color="auto"/>
              <w:right w:val="single" w:sz="4" w:space="0" w:color="auto"/>
            </w:tcBorders>
            <w:vAlign w:val="center"/>
            <w:hideMark/>
          </w:tcPr>
          <w:p w14:paraId="7726422D" w14:textId="77777777" w:rsidR="002F47F3" w:rsidRPr="002F47F3" w:rsidRDefault="002F47F3" w:rsidP="002F47F3">
            <w:pPr>
              <w:spacing w:after="0" w:line="240" w:lineRule="auto"/>
              <w:rPr>
                <w:rFonts w:ascii="Times New Roman" w:eastAsia="Times New Roman" w:hAnsi="Times New Roman" w:cs="Times New Roman"/>
                <w:sz w:val="18"/>
                <w:szCs w:val="18"/>
                <w:lang w:eastAsia="ru-RU"/>
              </w:rPr>
            </w:pPr>
          </w:p>
        </w:tc>
      </w:tr>
      <w:tr w:rsidR="002F47F3" w:rsidRPr="002F47F3" w14:paraId="6AE18354" w14:textId="77777777" w:rsidTr="00E63797">
        <w:trPr>
          <w:trHeight w:val="222"/>
        </w:trPr>
        <w:tc>
          <w:tcPr>
            <w:tcW w:w="851" w:type="dxa"/>
            <w:tcBorders>
              <w:top w:val="nil"/>
              <w:left w:val="single" w:sz="4" w:space="0" w:color="auto"/>
              <w:bottom w:val="single" w:sz="4" w:space="0" w:color="auto"/>
              <w:right w:val="single" w:sz="4" w:space="0" w:color="auto"/>
            </w:tcBorders>
            <w:shd w:val="clear" w:color="000000" w:fill="FFFFFF"/>
            <w:hideMark/>
          </w:tcPr>
          <w:p w14:paraId="6637EE25"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2020</w:t>
            </w:r>
          </w:p>
        </w:tc>
        <w:tc>
          <w:tcPr>
            <w:tcW w:w="851" w:type="dxa"/>
            <w:tcBorders>
              <w:top w:val="nil"/>
              <w:left w:val="nil"/>
              <w:bottom w:val="single" w:sz="4" w:space="0" w:color="auto"/>
              <w:right w:val="single" w:sz="4" w:space="0" w:color="auto"/>
            </w:tcBorders>
            <w:shd w:val="clear" w:color="auto" w:fill="auto"/>
            <w:hideMark/>
          </w:tcPr>
          <w:p w14:paraId="0AB7EA3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752,7</w:t>
            </w:r>
          </w:p>
        </w:tc>
        <w:tc>
          <w:tcPr>
            <w:tcW w:w="992" w:type="dxa"/>
            <w:tcBorders>
              <w:top w:val="nil"/>
              <w:left w:val="nil"/>
              <w:bottom w:val="single" w:sz="4" w:space="0" w:color="auto"/>
              <w:right w:val="single" w:sz="4" w:space="0" w:color="auto"/>
            </w:tcBorders>
            <w:shd w:val="clear" w:color="000000" w:fill="FFFFFF"/>
            <w:hideMark/>
          </w:tcPr>
          <w:p w14:paraId="4CA03117"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14:paraId="388830A6"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95,3</w:t>
            </w:r>
          </w:p>
        </w:tc>
        <w:tc>
          <w:tcPr>
            <w:tcW w:w="1154" w:type="dxa"/>
            <w:tcBorders>
              <w:top w:val="nil"/>
              <w:left w:val="nil"/>
              <w:bottom w:val="single" w:sz="4" w:space="0" w:color="auto"/>
              <w:right w:val="single" w:sz="4" w:space="0" w:color="auto"/>
            </w:tcBorders>
            <w:shd w:val="clear" w:color="000000" w:fill="FFFFFF"/>
            <w:hideMark/>
          </w:tcPr>
          <w:p w14:paraId="5BBF1C5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657,4</w:t>
            </w:r>
          </w:p>
        </w:tc>
        <w:tc>
          <w:tcPr>
            <w:tcW w:w="745" w:type="dxa"/>
            <w:tcBorders>
              <w:top w:val="nil"/>
              <w:left w:val="nil"/>
              <w:bottom w:val="single" w:sz="4" w:space="0" w:color="auto"/>
              <w:right w:val="single" w:sz="4" w:space="0" w:color="auto"/>
            </w:tcBorders>
            <w:shd w:val="clear" w:color="000000" w:fill="FFFFFF"/>
            <w:hideMark/>
          </w:tcPr>
          <w:p w14:paraId="4DAFB6E9"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14:paraId="6908D90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40,2</w:t>
            </w:r>
          </w:p>
        </w:tc>
        <w:tc>
          <w:tcPr>
            <w:tcW w:w="895" w:type="dxa"/>
            <w:tcBorders>
              <w:top w:val="nil"/>
              <w:left w:val="nil"/>
              <w:bottom w:val="single" w:sz="4" w:space="0" w:color="auto"/>
              <w:right w:val="single" w:sz="4" w:space="0" w:color="auto"/>
            </w:tcBorders>
            <w:shd w:val="clear" w:color="000000" w:fill="FFFFFF"/>
            <w:hideMark/>
          </w:tcPr>
          <w:p w14:paraId="137B510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14:paraId="7CDFCE0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8,8</w:t>
            </w:r>
          </w:p>
        </w:tc>
        <w:tc>
          <w:tcPr>
            <w:tcW w:w="992" w:type="dxa"/>
            <w:tcBorders>
              <w:top w:val="nil"/>
              <w:left w:val="nil"/>
              <w:bottom w:val="single" w:sz="4" w:space="0" w:color="auto"/>
              <w:right w:val="single" w:sz="4" w:space="0" w:color="auto"/>
            </w:tcBorders>
            <w:shd w:val="clear" w:color="000000" w:fill="FFFFFF"/>
            <w:hideMark/>
          </w:tcPr>
          <w:p w14:paraId="30EF0E7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31,4</w:t>
            </w:r>
          </w:p>
        </w:tc>
        <w:tc>
          <w:tcPr>
            <w:tcW w:w="961" w:type="dxa"/>
            <w:tcBorders>
              <w:top w:val="nil"/>
              <w:left w:val="nil"/>
              <w:bottom w:val="single" w:sz="4" w:space="0" w:color="auto"/>
              <w:right w:val="single" w:sz="4" w:space="0" w:color="auto"/>
            </w:tcBorders>
            <w:shd w:val="clear" w:color="000000" w:fill="FFFFFF"/>
            <w:hideMark/>
          </w:tcPr>
          <w:p w14:paraId="5E0B1996"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25,7</w:t>
            </w:r>
          </w:p>
        </w:tc>
      </w:tr>
      <w:tr w:rsidR="002F47F3" w:rsidRPr="002F47F3" w14:paraId="2C76E455" w14:textId="77777777" w:rsidTr="00E63797">
        <w:trPr>
          <w:trHeight w:val="254"/>
        </w:trPr>
        <w:tc>
          <w:tcPr>
            <w:tcW w:w="851" w:type="dxa"/>
            <w:tcBorders>
              <w:top w:val="nil"/>
              <w:left w:val="single" w:sz="4" w:space="0" w:color="auto"/>
              <w:bottom w:val="single" w:sz="4" w:space="0" w:color="auto"/>
              <w:right w:val="single" w:sz="4" w:space="0" w:color="auto"/>
            </w:tcBorders>
            <w:shd w:val="clear" w:color="000000" w:fill="FFFFFF"/>
            <w:hideMark/>
          </w:tcPr>
          <w:p w14:paraId="687826A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2021</w:t>
            </w:r>
          </w:p>
        </w:tc>
        <w:tc>
          <w:tcPr>
            <w:tcW w:w="851" w:type="dxa"/>
            <w:tcBorders>
              <w:top w:val="nil"/>
              <w:left w:val="nil"/>
              <w:bottom w:val="single" w:sz="4" w:space="0" w:color="auto"/>
              <w:right w:val="single" w:sz="4" w:space="0" w:color="auto"/>
            </w:tcBorders>
            <w:shd w:val="clear" w:color="auto" w:fill="auto"/>
            <w:hideMark/>
          </w:tcPr>
          <w:p w14:paraId="647089BF"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738,2</w:t>
            </w:r>
          </w:p>
        </w:tc>
        <w:tc>
          <w:tcPr>
            <w:tcW w:w="992" w:type="dxa"/>
            <w:tcBorders>
              <w:top w:val="nil"/>
              <w:left w:val="nil"/>
              <w:bottom w:val="single" w:sz="4" w:space="0" w:color="auto"/>
              <w:right w:val="single" w:sz="4" w:space="0" w:color="auto"/>
            </w:tcBorders>
            <w:shd w:val="clear" w:color="000000" w:fill="FFFFFF"/>
            <w:hideMark/>
          </w:tcPr>
          <w:p w14:paraId="4C61487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14:paraId="4B26D706"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109,5</w:t>
            </w:r>
          </w:p>
        </w:tc>
        <w:tc>
          <w:tcPr>
            <w:tcW w:w="1154" w:type="dxa"/>
            <w:tcBorders>
              <w:top w:val="nil"/>
              <w:left w:val="nil"/>
              <w:bottom w:val="single" w:sz="4" w:space="0" w:color="auto"/>
              <w:right w:val="single" w:sz="4" w:space="0" w:color="auto"/>
            </w:tcBorders>
            <w:shd w:val="clear" w:color="000000" w:fill="FFFFFF"/>
            <w:hideMark/>
          </w:tcPr>
          <w:p w14:paraId="2C13E56F"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628,7</w:t>
            </w:r>
          </w:p>
        </w:tc>
        <w:tc>
          <w:tcPr>
            <w:tcW w:w="745" w:type="dxa"/>
            <w:tcBorders>
              <w:top w:val="nil"/>
              <w:left w:val="nil"/>
              <w:bottom w:val="single" w:sz="4" w:space="0" w:color="auto"/>
              <w:right w:val="single" w:sz="4" w:space="0" w:color="auto"/>
            </w:tcBorders>
            <w:shd w:val="clear" w:color="000000" w:fill="FFFFFF"/>
            <w:hideMark/>
          </w:tcPr>
          <w:p w14:paraId="1255AE8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14:paraId="7C14B399"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22,2</w:t>
            </w:r>
          </w:p>
        </w:tc>
        <w:tc>
          <w:tcPr>
            <w:tcW w:w="895" w:type="dxa"/>
            <w:tcBorders>
              <w:top w:val="nil"/>
              <w:left w:val="nil"/>
              <w:bottom w:val="single" w:sz="4" w:space="0" w:color="auto"/>
              <w:right w:val="single" w:sz="4" w:space="0" w:color="auto"/>
            </w:tcBorders>
            <w:shd w:val="clear" w:color="000000" w:fill="FFFFFF"/>
            <w:hideMark/>
          </w:tcPr>
          <w:p w14:paraId="413AF6E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nil"/>
              <w:left w:val="nil"/>
              <w:bottom w:val="single" w:sz="4" w:space="0" w:color="auto"/>
              <w:right w:val="single" w:sz="4" w:space="0" w:color="auto"/>
            </w:tcBorders>
            <w:shd w:val="clear" w:color="000000" w:fill="FFFFFF"/>
            <w:hideMark/>
          </w:tcPr>
          <w:p w14:paraId="0E1E1126"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14,4</w:t>
            </w:r>
          </w:p>
        </w:tc>
        <w:tc>
          <w:tcPr>
            <w:tcW w:w="992" w:type="dxa"/>
            <w:tcBorders>
              <w:top w:val="nil"/>
              <w:left w:val="nil"/>
              <w:bottom w:val="single" w:sz="4" w:space="0" w:color="auto"/>
              <w:right w:val="single" w:sz="4" w:space="0" w:color="auto"/>
            </w:tcBorders>
            <w:shd w:val="clear" w:color="000000" w:fill="FFFFFF"/>
            <w:hideMark/>
          </w:tcPr>
          <w:p w14:paraId="3284988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7,8</w:t>
            </w:r>
          </w:p>
        </w:tc>
        <w:tc>
          <w:tcPr>
            <w:tcW w:w="961" w:type="dxa"/>
            <w:tcBorders>
              <w:top w:val="nil"/>
              <w:left w:val="nil"/>
              <w:bottom w:val="single" w:sz="4" w:space="0" w:color="auto"/>
              <w:right w:val="single" w:sz="4" w:space="0" w:color="auto"/>
            </w:tcBorders>
            <w:shd w:val="clear" w:color="000000" w:fill="FFFFFF"/>
            <w:hideMark/>
          </w:tcPr>
          <w:p w14:paraId="23DB3B19"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22,0</w:t>
            </w:r>
          </w:p>
        </w:tc>
      </w:tr>
      <w:tr w:rsidR="002F47F3" w:rsidRPr="002F47F3" w14:paraId="7BCFC5E1" w14:textId="77777777" w:rsidTr="00E63797">
        <w:trPr>
          <w:trHeight w:val="286"/>
        </w:trPr>
        <w:tc>
          <w:tcPr>
            <w:tcW w:w="851" w:type="dxa"/>
            <w:tcBorders>
              <w:top w:val="nil"/>
              <w:left w:val="single" w:sz="4" w:space="0" w:color="auto"/>
              <w:bottom w:val="single" w:sz="4" w:space="0" w:color="auto"/>
              <w:right w:val="single" w:sz="4" w:space="0" w:color="auto"/>
            </w:tcBorders>
            <w:shd w:val="clear" w:color="000000" w:fill="FFFFFF"/>
            <w:hideMark/>
          </w:tcPr>
          <w:p w14:paraId="682257D5"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2022</w:t>
            </w:r>
          </w:p>
        </w:tc>
        <w:tc>
          <w:tcPr>
            <w:tcW w:w="851" w:type="dxa"/>
            <w:tcBorders>
              <w:top w:val="nil"/>
              <w:left w:val="nil"/>
              <w:bottom w:val="single" w:sz="4" w:space="0" w:color="auto"/>
              <w:right w:val="single" w:sz="4" w:space="0" w:color="auto"/>
            </w:tcBorders>
            <w:shd w:val="clear" w:color="auto" w:fill="auto"/>
            <w:hideMark/>
          </w:tcPr>
          <w:p w14:paraId="0890871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738,0</w:t>
            </w:r>
          </w:p>
        </w:tc>
        <w:tc>
          <w:tcPr>
            <w:tcW w:w="992" w:type="dxa"/>
            <w:tcBorders>
              <w:top w:val="nil"/>
              <w:left w:val="nil"/>
              <w:bottom w:val="single" w:sz="4" w:space="0" w:color="auto"/>
              <w:right w:val="single" w:sz="4" w:space="0" w:color="auto"/>
            </w:tcBorders>
            <w:shd w:val="clear" w:color="000000" w:fill="FFFFFF"/>
            <w:hideMark/>
          </w:tcPr>
          <w:p w14:paraId="2B9BF2E6"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nil"/>
              <w:left w:val="nil"/>
              <w:bottom w:val="single" w:sz="4" w:space="0" w:color="auto"/>
              <w:right w:val="single" w:sz="4" w:space="0" w:color="auto"/>
            </w:tcBorders>
            <w:shd w:val="clear" w:color="000000" w:fill="FFFFFF"/>
            <w:hideMark/>
          </w:tcPr>
          <w:p w14:paraId="18C21E19"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88,2</w:t>
            </w:r>
          </w:p>
        </w:tc>
        <w:tc>
          <w:tcPr>
            <w:tcW w:w="1154" w:type="dxa"/>
            <w:tcBorders>
              <w:top w:val="nil"/>
              <w:left w:val="nil"/>
              <w:bottom w:val="single" w:sz="4" w:space="0" w:color="auto"/>
              <w:right w:val="single" w:sz="4" w:space="0" w:color="auto"/>
            </w:tcBorders>
            <w:shd w:val="clear" w:color="000000" w:fill="FFFFFF"/>
            <w:hideMark/>
          </w:tcPr>
          <w:p w14:paraId="6A0975E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649,8</w:t>
            </w:r>
          </w:p>
        </w:tc>
        <w:tc>
          <w:tcPr>
            <w:tcW w:w="745" w:type="dxa"/>
            <w:tcBorders>
              <w:top w:val="nil"/>
              <w:left w:val="nil"/>
              <w:bottom w:val="single" w:sz="4" w:space="0" w:color="auto"/>
              <w:right w:val="single" w:sz="4" w:space="0" w:color="auto"/>
            </w:tcBorders>
            <w:shd w:val="clear" w:color="000000" w:fill="FFFFFF"/>
            <w:hideMark/>
          </w:tcPr>
          <w:p w14:paraId="07FE04E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nil"/>
              <w:left w:val="nil"/>
              <w:bottom w:val="single" w:sz="4" w:space="0" w:color="auto"/>
              <w:right w:val="single" w:sz="4" w:space="0" w:color="auto"/>
            </w:tcBorders>
            <w:shd w:val="clear" w:color="auto" w:fill="auto"/>
            <w:noWrap/>
            <w:hideMark/>
          </w:tcPr>
          <w:p w14:paraId="370FCD4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9,4</w:t>
            </w:r>
          </w:p>
        </w:tc>
        <w:tc>
          <w:tcPr>
            <w:tcW w:w="895" w:type="dxa"/>
            <w:tcBorders>
              <w:top w:val="nil"/>
              <w:left w:val="nil"/>
              <w:bottom w:val="single" w:sz="4" w:space="0" w:color="auto"/>
              <w:right w:val="single" w:sz="4" w:space="0" w:color="auto"/>
            </w:tcBorders>
            <w:shd w:val="clear" w:color="000000" w:fill="FFFFFF"/>
            <w:hideMark/>
          </w:tcPr>
          <w:p w14:paraId="74437DE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nil"/>
              <w:left w:val="nil"/>
              <w:bottom w:val="single" w:sz="4" w:space="0" w:color="auto"/>
              <w:right w:val="single" w:sz="8" w:space="0" w:color="auto"/>
            </w:tcBorders>
            <w:shd w:val="clear" w:color="auto" w:fill="auto"/>
            <w:hideMark/>
          </w:tcPr>
          <w:p w14:paraId="5C40ED17"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9,4</w:t>
            </w:r>
          </w:p>
        </w:tc>
        <w:tc>
          <w:tcPr>
            <w:tcW w:w="992" w:type="dxa"/>
            <w:tcBorders>
              <w:top w:val="nil"/>
              <w:left w:val="single" w:sz="4" w:space="0" w:color="auto"/>
              <w:bottom w:val="single" w:sz="4" w:space="0" w:color="auto"/>
              <w:right w:val="single" w:sz="4" w:space="0" w:color="auto"/>
            </w:tcBorders>
            <w:shd w:val="clear" w:color="000000" w:fill="FFFFFF"/>
            <w:hideMark/>
          </w:tcPr>
          <w:p w14:paraId="41D468C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961" w:type="dxa"/>
            <w:tcBorders>
              <w:top w:val="nil"/>
              <w:left w:val="nil"/>
              <w:bottom w:val="single" w:sz="4" w:space="0" w:color="auto"/>
              <w:right w:val="single" w:sz="4" w:space="0" w:color="auto"/>
            </w:tcBorders>
            <w:shd w:val="clear" w:color="000000" w:fill="FFFFFF"/>
            <w:hideMark/>
          </w:tcPr>
          <w:p w14:paraId="0CC4FAA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23,7</w:t>
            </w:r>
          </w:p>
        </w:tc>
      </w:tr>
      <w:tr w:rsidR="002F47F3" w:rsidRPr="002F47F3" w14:paraId="096CE711" w14:textId="77777777" w:rsidTr="00E63797">
        <w:trPr>
          <w:trHeight w:val="262"/>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CE74F4F"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DA6C3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752,3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676E7E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single" w:sz="4" w:space="0" w:color="auto"/>
              <w:left w:val="single" w:sz="4" w:space="0" w:color="auto"/>
              <w:bottom w:val="single" w:sz="4" w:space="0" w:color="auto"/>
              <w:right w:val="single" w:sz="4" w:space="0" w:color="auto"/>
            </w:tcBorders>
            <w:shd w:val="clear" w:color="000000" w:fill="FFFFFF"/>
            <w:hideMark/>
          </w:tcPr>
          <w:p w14:paraId="2AAA716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95.8</w:t>
            </w:r>
          </w:p>
        </w:tc>
        <w:tc>
          <w:tcPr>
            <w:tcW w:w="1154" w:type="dxa"/>
            <w:tcBorders>
              <w:top w:val="single" w:sz="4" w:space="0" w:color="auto"/>
              <w:left w:val="single" w:sz="4" w:space="0" w:color="auto"/>
              <w:bottom w:val="single" w:sz="4" w:space="0" w:color="auto"/>
              <w:right w:val="single" w:sz="4" w:space="0" w:color="auto"/>
            </w:tcBorders>
            <w:shd w:val="clear" w:color="000000" w:fill="FFFFFF"/>
            <w:hideMark/>
          </w:tcPr>
          <w:p w14:paraId="67CDCA2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656.5</w:t>
            </w:r>
          </w:p>
        </w:tc>
        <w:tc>
          <w:tcPr>
            <w:tcW w:w="745" w:type="dxa"/>
            <w:tcBorders>
              <w:top w:val="single" w:sz="4" w:space="0" w:color="auto"/>
              <w:left w:val="single" w:sz="4" w:space="0" w:color="auto"/>
              <w:bottom w:val="single" w:sz="4" w:space="0" w:color="auto"/>
              <w:right w:val="single" w:sz="4" w:space="0" w:color="auto"/>
            </w:tcBorders>
            <w:shd w:val="clear" w:color="000000" w:fill="FFFFFF"/>
            <w:hideMark/>
          </w:tcPr>
          <w:p w14:paraId="5CD1CB9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777BE58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19.8</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14:paraId="6722249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23E1C07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19.8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6A2783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961" w:type="dxa"/>
            <w:tcBorders>
              <w:top w:val="single" w:sz="4" w:space="0" w:color="auto"/>
              <w:left w:val="single" w:sz="4" w:space="0" w:color="auto"/>
              <w:bottom w:val="single" w:sz="4" w:space="0" w:color="auto"/>
              <w:right w:val="single" w:sz="4" w:space="0" w:color="auto"/>
            </w:tcBorders>
            <w:shd w:val="clear" w:color="000000" w:fill="FFFFFF"/>
            <w:hideMark/>
          </w:tcPr>
          <w:p w14:paraId="41EBAD87"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38.3</w:t>
            </w:r>
          </w:p>
        </w:tc>
      </w:tr>
      <w:tr w:rsidR="002F47F3" w:rsidRPr="002F47F3" w14:paraId="16D7662F" w14:textId="77777777" w:rsidTr="00E63797">
        <w:trPr>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1E9348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2024</w:t>
            </w:r>
          </w:p>
        </w:tc>
        <w:tc>
          <w:tcPr>
            <w:tcW w:w="851" w:type="dxa"/>
            <w:tcBorders>
              <w:top w:val="single" w:sz="4" w:space="0" w:color="auto"/>
              <w:left w:val="nil"/>
              <w:bottom w:val="single" w:sz="4" w:space="0" w:color="auto"/>
              <w:right w:val="single" w:sz="4" w:space="0" w:color="auto"/>
            </w:tcBorders>
            <w:shd w:val="clear" w:color="auto" w:fill="auto"/>
            <w:hideMark/>
          </w:tcPr>
          <w:p w14:paraId="5A91894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770.8</w:t>
            </w:r>
          </w:p>
        </w:tc>
        <w:tc>
          <w:tcPr>
            <w:tcW w:w="992" w:type="dxa"/>
            <w:tcBorders>
              <w:top w:val="single" w:sz="4" w:space="0" w:color="auto"/>
              <w:left w:val="nil"/>
              <w:bottom w:val="single" w:sz="4" w:space="0" w:color="auto"/>
              <w:right w:val="single" w:sz="4" w:space="0" w:color="auto"/>
            </w:tcBorders>
            <w:shd w:val="clear" w:color="000000" w:fill="FFFFFF"/>
            <w:hideMark/>
          </w:tcPr>
          <w:p w14:paraId="1C4BEE9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p>
        </w:tc>
        <w:tc>
          <w:tcPr>
            <w:tcW w:w="1014" w:type="dxa"/>
            <w:tcBorders>
              <w:top w:val="single" w:sz="4" w:space="0" w:color="auto"/>
              <w:left w:val="nil"/>
              <w:bottom w:val="single" w:sz="4" w:space="0" w:color="auto"/>
              <w:right w:val="single" w:sz="4" w:space="0" w:color="auto"/>
            </w:tcBorders>
            <w:shd w:val="clear" w:color="000000" w:fill="FFFFFF"/>
            <w:hideMark/>
          </w:tcPr>
          <w:p w14:paraId="280BE3A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118.8</w:t>
            </w:r>
          </w:p>
        </w:tc>
        <w:tc>
          <w:tcPr>
            <w:tcW w:w="1154" w:type="dxa"/>
            <w:tcBorders>
              <w:top w:val="single" w:sz="4" w:space="0" w:color="auto"/>
              <w:left w:val="nil"/>
              <w:bottom w:val="single" w:sz="4" w:space="0" w:color="auto"/>
              <w:right w:val="single" w:sz="4" w:space="0" w:color="auto"/>
            </w:tcBorders>
            <w:shd w:val="clear" w:color="000000" w:fill="FFFFFF"/>
            <w:hideMark/>
          </w:tcPr>
          <w:p w14:paraId="6B285EB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652.0</w:t>
            </w:r>
          </w:p>
        </w:tc>
        <w:tc>
          <w:tcPr>
            <w:tcW w:w="745" w:type="dxa"/>
            <w:tcBorders>
              <w:top w:val="single" w:sz="4" w:space="0" w:color="auto"/>
              <w:left w:val="nil"/>
              <w:bottom w:val="single" w:sz="4" w:space="0" w:color="auto"/>
              <w:right w:val="single" w:sz="4" w:space="0" w:color="auto"/>
            </w:tcBorders>
            <w:shd w:val="clear" w:color="000000" w:fill="FFFFFF"/>
            <w:hideMark/>
          </w:tcPr>
          <w:p w14:paraId="06C7954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hideMark/>
          </w:tcPr>
          <w:p w14:paraId="31B5F718"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34.1</w:t>
            </w:r>
          </w:p>
        </w:tc>
        <w:tc>
          <w:tcPr>
            <w:tcW w:w="895" w:type="dxa"/>
            <w:tcBorders>
              <w:top w:val="single" w:sz="4" w:space="0" w:color="auto"/>
              <w:left w:val="nil"/>
              <w:bottom w:val="single" w:sz="4" w:space="0" w:color="auto"/>
              <w:right w:val="single" w:sz="4" w:space="0" w:color="auto"/>
            </w:tcBorders>
            <w:shd w:val="clear" w:color="000000" w:fill="FFFFFF"/>
            <w:hideMark/>
          </w:tcPr>
          <w:p w14:paraId="2CD51FB3"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4" w:space="0" w:color="auto"/>
              <w:right w:val="single" w:sz="8" w:space="0" w:color="auto"/>
            </w:tcBorders>
            <w:shd w:val="clear" w:color="auto" w:fill="auto"/>
            <w:hideMark/>
          </w:tcPr>
          <w:p w14:paraId="072DD08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34.1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3A65F6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hideMark/>
          </w:tcPr>
          <w:p w14:paraId="20A5E1E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1</w:t>
            </w:r>
            <w:r w:rsidRPr="002F47F3">
              <w:rPr>
                <w:rFonts w:ascii="Times New Roman" w:eastAsia="Times New Roman" w:hAnsi="Times New Roman" w:cs="Times New Roman"/>
                <w:sz w:val="18"/>
                <w:szCs w:val="18"/>
                <w:lang w:val="en-US" w:eastAsia="ru-RU"/>
              </w:rPr>
              <w:t>2</w:t>
            </w:r>
            <w:r w:rsidRPr="002F47F3">
              <w:rPr>
                <w:rFonts w:ascii="Times New Roman" w:eastAsia="Times New Roman" w:hAnsi="Times New Roman" w:cs="Times New Roman"/>
                <w:sz w:val="18"/>
                <w:szCs w:val="18"/>
                <w:lang w:eastAsia="ru-RU"/>
              </w:rPr>
              <w:t>,</w:t>
            </w:r>
            <w:r w:rsidRPr="002F47F3">
              <w:rPr>
                <w:rFonts w:ascii="Times New Roman" w:eastAsia="Times New Roman" w:hAnsi="Times New Roman" w:cs="Times New Roman"/>
                <w:sz w:val="18"/>
                <w:szCs w:val="18"/>
                <w:lang w:val="en-US" w:eastAsia="ru-RU"/>
              </w:rPr>
              <w:t>4</w:t>
            </w:r>
          </w:p>
        </w:tc>
      </w:tr>
      <w:tr w:rsidR="002F47F3" w:rsidRPr="002F47F3" w14:paraId="1253132A" w14:textId="77777777" w:rsidTr="00E63797">
        <w:trPr>
          <w:trHeight w:val="281"/>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6077CCB3"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2025</w:t>
            </w:r>
          </w:p>
        </w:tc>
        <w:tc>
          <w:tcPr>
            <w:tcW w:w="851" w:type="dxa"/>
            <w:tcBorders>
              <w:top w:val="single" w:sz="4" w:space="0" w:color="auto"/>
              <w:left w:val="nil"/>
              <w:bottom w:val="single" w:sz="4" w:space="0" w:color="auto"/>
              <w:right w:val="single" w:sz="4" w:space="0" w:color="auto"/>
            </w:tcBorders>
            <w:shd w:val="clear" w:color="auto" w:fill="auto"/>
          </w:tcPr>
          <w:p w14:paraId="6EF4CEA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749.1</w:t>
            </w:r>
          </w:p>
        </w:tc>
        <w:tc>
          <w:tcPr>
            <w:tcW w:w="992" w:type="dxa"/>
            <w:tcBorders>
              <w:top w:val="single" w:sz="4" w:space="0" w:color="auto"/>
              <w:left w:val="nil"/>
              <w:bottom w:val="single" w:sz="4" w:space="0" w:color="auto"/>
              <w:right w:val="single" w:sz="4" w:space="0" w:color="auto"/>
            </w:tcBorders>
            <w:shd w:val="clear" w:color="000000" w:fill="FFFFFF"/>
          </w:tcPr>
          <w:p w14:paraId="40A8145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0B2202D7"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84.7</w:t>
            </w:r>
          </w:p>
        </w:tc>
        <w:tc>
          <w:tcPr>
            <w:tcW w:w="1154" w:type="dxa"/>
            <w:tcBorders>
              <w:top w:val="single" w:sz="4" w:space="0" w:color="auto"/>
              <w:left w:val="nil"/>
              <w:bottom w:val="single" w:sz="4" w:space="0" w:color="auto"/>
              <w:right w:val="single" w:sz="4" w:space="0" w:color="auto"/>
            </w:tcBorders>
            <w:shd w:val="clear" w:color="000000" w:fill="FFFFFF"/>
          </w:tcPr>
          <w:p w14:paraId="32D3976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664.4</w:t>
            </w:r>
          </w:p>
        </w:tc>
        <w:tc>
          <w:tcPr>
            <w:tcW w:w="745" w:type="dxa"/>
            <w:tcBorders>
              <w:top w:val="single" w:sz="4" w:space="0" w:color="auto"/>
              <w:left w:val="nil"/>
              <w:bottom w:val="single" w:sz="4" w:space="0" w:color="auto"/>
              <w:right w:val="single" w:sz="4" w:space="0" w:color="auto"/>
            </w:tcBorders>
            <w:shd w:val="clear" w:color="000000" w:fill="FFFFFF"/>
          </w:tcPr>
          <w:p w14:paraId="7A64CF3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086F6288"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12.8</w:t>
            </w:r>
          </w:p>
        </w:tc>
        <w:tc>
          <w:tcPr>
            <w:tcW w:w="895" w:type="dxa"/>
            <w:tcBorders>
              <w:top w:val="single" w:sz="4" w:space="0" w:color="auto"/>
              <w:left w:val="nil"/>
              <w:bottom w:val="single" w:sz="4" w:space="0" w:color="auto"/>
              <w:right w:val="single" w:sz="4" w:space="0" w:color="auto"/>
            </w:tcBorders>
            <w:shd w:val="clear" w:color="000000" w:fill="FFFFFF"/>
          </w:tcPr>
          <w:p w14:paraId="3423A93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8" w:space="0" w:color="auto"/>
              <w:right w:val="single" w:sz="8" w:space="0" w:color="auto"/>
            </w:tcBorders>
            <w:shd w:val="clear" w:color="auto" w:fill="auto"/>
          </w:tcPr>
          <w:p w14:paraId="571E6F9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12.8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AC46A1"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7D1E669A"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15,</w:t>
            </w:r>
            <w:r w:rsidRPr="002F47F3">
              <w:rPr>
                <w:rFonts w:ascii="Times New Roman" w:eastAsia="Times New Roman" w:hAnsi="Times New Roman" w:cs="Times New Roman"/>
                <w:sz w:val="18"/>
                <w:szCs w:val="18"/>
                <w:lang w:val="en-US" w:eastAsia="ru-RU"/>
              </w:rPr>
              <w:t>8</w:t>
            </w:r>
          </w:p>
        </w:tc>
      </w:tr>
      <w:tr w:rsidR="002F47F3" w:rsidRPr="002F47F3" w14:paraId="32522ED5" w14:textId="77777777" w:rsidTr="00E63797">
        <w:trPr>
          <w:trHeight w:val="272"/>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1812F76B"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202</w:t>
            </w:r>
            <w:r w:rsidRPr="002F47F3">
              <w:rPr>
                <w:rFonts w:ascii="Times New Roman" w:eastAsia="Times New Roman" w:hAnsi="Times New Roman" w:cs="Times New Roman"/>
                <w:sz w:val="18"/>
                <w:szCs w:val="18"/>
                <w:lang w:val="en-US"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2AAA9073"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7</w:t>
            </w:r>
            <w:r w:rsidRPr="002F47F3">
              <w:rPr>
                <w:rFonts w:ascii="Times New Roman" w:eastAsia="Times New Roman" w:hAnsi="Times New Roman" w:cs="Times New Roman"/>
                <w:sz w:val="18"/>
                <w:szCs w:val="18"/>
                <w:lang w:val="en-US" w:eastAsia="ru-RU"/>
              </w:rPr>
              <w:t>52</w:t>
            </w:r>
            <w:r w:rsidRPr="002F47F3">
              <w:rPr>
                <w:rFonts w:ascii="Times New Roman" w:eastAsia="Times New Roman" w:hAnsi="Times New Roman" w:cs="Times New Roman"/>
                <w:sz w:val="18"/>
                <w:szCs w:val="18"/>
                <w:lang w:eastAsia="ru-RU"/>
              </w:rPr>
              <w:t>,</w:t>
            </w:r>
            <w:r w:rsidRPr="002F47F3">
              <w:rPr>
                <w:rFonts w:ascii="Times New Roman" w:eastAsia="Times New Roman" w:hAnsi="Times New Roman" w:cs="Times New Roman"/>
                <w:sz w:val="18"/>
                <w:szCs w:val="18"/>
                <w:lang w:val="en-US" w:eastAsia="ru-RU"/>
              </w:rPr>
              <w:t>1</w:t>
            </w:r>
          </w:p>
        </w:tc>
        <w:tc>
          <w:tcPr>
            <w:tcW w:w="992" w:type="dxa"/>
            <w:tcBorders>
              <w:top w:val="single" w:sz="4" w:space="0" w:color="auto"/>
              <w:left w:val="nil"/>
              <w:bottom w:val="single" w:sz="4" w:space="0" w:color="auto"/>
              <w:right w:val="single" w:sz="4" w:space="0" w:color="auto"/>
            </w:tcBorders>
            <w:shd w:val="clear" w:color="000000" w:fill="FFFFFF"/>
          </w:tcPr>
          <w:p w14:paraId="6C7457AD"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014" w:type="dxa"/>
            <w:tcBorders>
              <w:top w:val="single" w:sz="4" w:space="0" w:color="auto"/>
              <w:left w:val="nil"/>
              <w:bottom w:val="single" w:sz="4" w:space="0" w:color="auto"/>
              <w:right w:val="single" w:sz="4" w:space="0" w:color="auto"/>
            </w:tcBorders>
            <w:shd w:val="clear" w:color="000000" w:fill="FFFFFF"/>
          </w:tcPr>
          <w:p w14:paraId="4654882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7</w:t>
            </w:r>
            <w:r w:rsidRPr="002F47F3">
              <w:rPr>
                <w:rFonts w:ascii="Times New Roman" w:eastAsia="Times New Roman" w:hAnsi="Times New Roman" w:cs="Times New Roman"/>
                <w:sz w:val="18"/>
                <w:szCs w:val="18"/>
                <w:lang w:val="en-US" w:eastAsia="ru-RU"/>
              </w:rPr>
              <w:t>1.9</w:t>
            </w:r>
          </w:p>
        </w:tc>
        <w:tc>
          <w:tcPr>
            <w:tcW w:w="1154" w:type="dxa"/>
            <w:tcBorders>
              <w:top w:val="single" w:sz="4" w:space="0" w:color="auto"/>
              <w:left w:val="nil"/>
              <w:bottom w:val="single" w:sz="4" w:space="0" w:color="auto"/>
              <w:right w:val="single" w:sz="4" w:space="0" w:color="auto"/>
            </w:tcBorders>
            <w:shd w:val="clear" w:color="000000" w:fill="FFFFFF"/>
          </w:tcPr>
          <w:p w14:paraId="33F70C44"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eastAsia="ru-RU"/>
              </w:rPr>
              <w:t>6</w:t>
            </w:r>
            <w:r w:rsidRPr="002F47F3">
              <w:rPr>
                <w:rFonts w:ascii="Times New Roman" w:eastAsia="Times New Roman" w:hAnsi="Times New Roman" w:cs="Times New Roman"/>
                <w:sz w:val="18"/>
                <w:szCs w:val="18"/>
                <w:lang w:val="en-US" w:eastAsia="ru-RU"/>
              </w:rPr>
              <w:t>80.2</w:t>
            </w:r>
          </w:p>
        </w:tc>
        <w:tc>
          <w:tcPr>
            <w:tcW w:w="745" w:type="dxa"/>
            <w:tcBorders>
              <w:top w:val="single" w:sz="4" w:space="0" w:color="auto"/>
              <w:left w:val="nil"/>
              <w:bottom w:val="single" w:sz="4" w:space="0" w:color="auto"/>
              <w:right w:val="single" w:sz="4" w:space="0" w:color="auto"/>
            </w:tcBorders>
            <w:shd w:val="clear" w:color="000000" w:fill="FFFFFF"/>
          </w:tcPr>
          <w:p w14:paraId="279E61F9"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1109" w:type="dxa"/>
            <w:tcBorders>
              <w:top w:val="single" w:sz="4" w:space="0" w:color="auto"/>
              <w:left w:val="nil"/>
              <w:bottom w:val="single" w:sz="4" w:space="0" w:color="auto"/>
              <w:right w:val="single" w:sz="4" w:space="0" w:color="auto"/>
            </w:tcBorders>
            <w:shd w:val="clear" w:color="auto" w:fill="auto"/>
            <w:noWrap/>
          </w:tcPr>
          <w:p w14:paraId="02215C10"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val="en-US" w:eastAsia="ru-RU"/>
              </w:rPr>
            </w:pPr>
            <w:r w:rsidRPr="002F47F3">
              <w:rPr>
                <w:rFonts w:ascii="Times New Roman" w:eastAsia="Times New Roman" w:hAnsi="Times New Roman" w:cs="Times New Roman"/>
                <w:sz w:val="18"/>
                <w:szCs w:val="18"/>
                <w:lang w:val="en-US" w:eastAsia="ru-RU"/>
              </w:rPr>
              <w:t>31</w:t>
            </w:r>
            <w:r w:rsidRPr="002F47F3">
              <w:rPr>
                <w:rFonts w:ascii="Times New Roman" w:eastAsia="Times New Roman" w:hAnsi="Times New Roman" w:cs="Times New Roman"/>
                <w:sz w:val="18"/>
                <w:szCs w:val="18"/>
                <w:lang w:eastAsia="ru-RU"/>
              </w:rPr>
              <w:t>,</w:t>
            </w:r>
            <w:r w:rsidRPr="002F47F3">
              <w:rPr>
                <w:rFonts w:ascii="Times New Roman" w:eastAsia="Times New Roman" w:hAnsi="Times New Roman" w:cs="Times New Roman"/>
                <w:sz w:val="18"/>
                <w:szCs w:val="18"/>
                <w:lang w:val="en-US" w:eastAsia="ru-RU"/>
              </w:rPr>
              <w:t>2</w:t>
            </w:r>
          </w:p>
        </w:tc>
        <w:tc>
          <w:tcPr>
            <w:tcW w:w="895" w:type="dxa"/>
            <w:tcBorders>
              <w:top w:val="single" w:sz="4" w:space="0" w:color="auto"/>
              <w:left w:val="nil"/>
              <w:bottom w:val="single" w:sz="4" w:space="0" w:color="auto"/>
              <w:right w:val="single" w:sz="4" w:space="0" w:color="auto"/>
            </w:tcBorders>
            <w:shd w:val="clear" w:color="000000" w:fill="FFFFFF"/>
          </w:tcPr>
          <w:p w14:paraId="54D573AE"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895" w:type="dxa"/>
            <w:tcBorders>
              <w:top w:val="single" w:sz="4" w:space="0" w:color="auto"/>
              <w:left w:val="nil"/>
              <w:bottom w:val="single" w:sz="8" w:space="0" w:color="auto"/>
              <w:right w:val="single" w:sz="8" w:space="0" w:color="auto"/>
            </w:tcBorders>
            <w:shd w:val="clear" w:color="auto" w:fill="auto"/>
          </w:tcPr>
          <w:p w14:paraId="1BC3B7F3"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31,2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74B8AC"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w:t>
            </w:r>
          </w:p>
        </w:tc>
        <w:tc>
          <w:tcPr>
            <w:tcW w:w="961" w:type="dxa"/>
            <w:tcBorders>
              <w:top w:val="single" w:sz="4" w:space="0" w:color="auto"/>
              <w:left w:val="nil"/>
              <w:bottom w:val="single" w:sz="4" w:space="0" w:color="auto"/>
              <w:right w:val="single" w:sz="4" w:space="0" w:color="auto"/>
            </w:tcBorders>
            <w:shd w:val="clear" w:color="000000" w:fill="FFFFFF"/>
          </w:tcPr>
          <w:p w14:paraId="1EDD7EB2" w14:textId="77777777" w:rsidR="002F47F3" w:rsidRPr="002F47F3" w:rsidRDefault="002F47F3" w:rsidP="002F47F3">
            <w:pPr>
              <w:spacing w:after="0" w:line="240" w:lineRule="auto"/>
              <w:jc w:val="center"/>
              <w:rPr>
                <w:rFonts w:ascii="Times New Roman" w:eastAsia="Times New Roman" w:hAnsi="Times New Roman" w:cs="Times New Roman"/>
                <w:sz w:val="18"/>
                <w:szCs w:val="18"/>
                <w:lang w:eastAsia="ru-RU"/>
              </w:rPr>
            </w:pPr>
            <w:r w:rsidRPr="002F47F3">
              <w:rPr>
                <w:rFonts w:ascii="Times New Roman" w:eastAsia="Times New Roman" w:hAnsi="Times New Roman" w:cs="Times New Roman"/>
                <w:sz w:val="18"/>
                <w:szCs w:val="18"/>
                <w:lang w:eastAsia="ru-RU"/>
              </w:rPr>
              <w:t>19,4</w:t>
            </w:r>
          </w:p>
        </w:tc>
      </w:tr>
      <w:bookmarkEnd w:id="10"/>
    </w:tbl>
    <w:p w14:paraId="15DB75C0" w14:textId="77777777" w:rsidR="002F47F3" w:rsidRPr="002F47F3" w:rsidRDefault="002F47F3" w:rsidP="002F47F3">
      <w:pPr>
        <w:autoSpaceDE w:val="0"/>
        <w:autoSpaceDN w:val="0"/>
        <w:adjustRightInd w:val="0"/>
        <w:spacing w:before="200" w:after="0" w:line="240" w:lineRule="auto"/>
        <w:jc w:val="both"/>
        <w:rPr>
          <w:rFonts w:ascii="Times New Roman" w:hAnsi="Times New Roman" w:cs="Times New Roman"/>
          <w:sz w:val="28"/>
          <w:szCs w:val="28"/>
        </w:rPr>
      </w:pPr>
    </w:p>
    <w:p w14:paraId="620EC6B2" w14:textId="77777777" w:rsidR="002F47F3" w:rsidRDefault="002F47F3" w:rsidP="002F47F3">
      <w:pPr>
        <w:autoSpaceDE w:val="0"/>
        <w:autoSpaceDN w:val="0"/>
        <w:adjustRightInd w:val="0"/>
        <w:spacing w:before="200" w:after="0" w:line="240" w:lineRule="auto"/>
        <w:ind w:left="567"/>
        <w:contextualSpacing/>
        <w:jc w:val="both"/>
        <w:rPr>
          <w:rFonts w:ascii="Times New Roman" w:hAnsi="Times New Roman" w:cs="Times New Roman"/>
          <w:i/>
          <w:iCs/>
          <w:sz w:val="26"/>
          <w:szCs w:val="26"/>
        </w:rPr>
      </w:pPr>
    </w:p>
    <w:p w14:paraId="1F410E75" w14:textId="258E603D" w:rsidR="002F47F3" w:rsidRPr="002F47F3" w:rsidRDefault="002F47F3" w:rsidP="002F47F3">
      <w:pPr>
        <w:numPr>
          <w:ilvl w:val="1"/>
          <w:numId w:val="1"/>
        </w:numPr>
        <w:autoSpaceDE w:val="0"/>
        <w:autoSpaceDN w:val="0"/>
        <w:adjustRightInd w:val="0"/>
        <w:spacing w:before="200" w:after="0" w:line="240" w:lineRule="auto"/>
        <w:ind w:left="0" w:firstLine="567"/>
        <w:contextualSpacing/>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Охрана прав граждан и юридических лиц, в том числе в соответствии </w:t>
      </w:r>
      <w:r w:rsidRPr="002F47F3">
        <w:rPr>
          <w:rFonts w:ascii="Times New Roman" w:hAnsi="Times New Roman" w:cs="Times New Roman"/>
          <w:i/>
          <w:iCs/>
          <w:sz w:val="26"/>
          <w:szCs w:val="26"/>
        </w:rPr>
        <w:br/>
        <w:t xml:space="preserve">с </w:t>
      </w:r>
      <w:hyperlink w:anchor="Par137" w:history="1">
        <w:r w:rsidRPr="002F47F3">
          <w:rPr>
            <w:rFonts w:ascii="Times New Roman" w:hAnsi="Times New Roman" w:cs="Times New Roman"/>
            <w:i/>
            <w:iCs/>
            <w:sz w:val="26"/>
            <w:szCs w:val="26"/>
          </w:rPr>
          <w:t>таблицей 2</w:t>
        </w:r>
      </w:hyperlink>
      <w:r w:rsidRPr="002F47F3">
        <w:rPr>
          <w:rFonts w:ascii="Times New Roman" w:hAnsi="Times New Roman" w:cs="Times New Roman"/>
          <w:i/>
          <w:iCs/>
          <w:sz w:val="26"/>
          <w:szCs w:val="26"/>
        </w:rPr>
        <w:t xml:space="preserve">. </w:t>
      </w:r>
    </w:p>
    <w:p w14:paraId="1DD471D4" w14:textId="777777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На территории муниципального образования Нефтеюганский муниципальный район Ханты-Мансийского автономного округа – Югры в 2021 году судом общей юрисдикции, арбитражным судом рассмотрено 2 заявления граждан о признании незаконными решений, действий (бездействий) органа местного самоуправления:</w:t>
      </w:r>
    </w:p>
    <w:p w14:paraId="7A1F84E4" w14:textId="777777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заявление гражданина о признании незаконным бездействия должностных лиц, выразившихся в непредоставлении земельного участка в собственность, об обязании утвердить схему расположения земельного участка, осуществить раздел земельного участка. Решением Нефтеюганского районного суда в удовлетворении заявленных требований отказано;</w:t>
      </w:r>
    </w:p>
    <w:p w14:paraId="263A057B" w14:textId="18505082"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заявление юридического лица о признании незаконным решения об отказе в предоставлении земельного участка в собственность. Решением Арбитражного суда ХМАО</w:t>
      </w:r>
      <w:r>
        <w:rPr>
          <w:rFonts w:ascii="Times New Roman" w:hAnsi="Times New Roman" w:cs="Times New Roman"/>
          <w:sz w:val="26"/>
          <w:szCs w:val="26"/>
        </w:rPr>
        <w:t xml:space="preserve"> – </w:t>
      </w:r>
      <w:r w:rsidRPr="002F47F3">
        <w:rPr>
          <w:rFonts w:ascii="Times New Roman" w:hAnsi="Times New Roman" w:cs="Times New Roman"/>
          <w:sz w:val="26"/>
          <w:szCs w:val="26"/>
        </w:rPr>
        <w:t>Югры в удовлетворении заявленных требований отказано.</w:t>
      </w:r>
    </w:p>
    <w:p w14:paraId="1AF113D5" w14:textId="777777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В 2022 году судом общей юрисдикции, арбитражным судом рассмотрено                                 2 заявления о признании незаконными решений, действий (бездействий) органа местного самоуправления:</w:t>
      </w:r>
    </w:p>
    <w:p w14:paraId="2D92852F" w14:textId="3FEAF3F8"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 заявление юридического лица о признании незаконным решения об отказе в удовлетворении требования о заключении дополнительного соглашения к договору </w:t>
      </w:r>
      <w:r w:rsidRPr="002F47F3">
        <w:rPr>
          <w:rFonts w:ascii="Times New Roman" w:hAnsi="Times New Roman" w:cs="Times New Roman"/>
          <w:sz w:val="26"/>
          <w:szCs w:val="26"/>
        </w:rPr>
        <w:lastRenderedPageBreak/>
        <w:t>аренды земельных участков. Решением Арбитражного суда ХМАО</w:t>
      </w:r>
      <w:r>
        <w:rPr>
          <w:rFonts w:ascii="Times New Roman" w:hAnsi="Times New Roman" w:cs="Times New Roman"/>
          <w:sz w:val="26"/>
          <w:szCs w:val="26"/>
        </w:rPr>
        <w:t xml:space="preserve"> – </w:t>
      </w:r>
      <w:r w:rsidRPr="002F47F3">
        <w:rPr>
          <w:rFonts w:ascii="Times New Roman" w:hAnsi="Times New Roman" w:cs="Times New Roman"/>
          <w:sz w:val="26"/>
          <w:szCs w:val="26"/>
        </w:rPr>
        <w:t>Югры в удовлетворении заявленных требований отказано;</w:t>
      </w:r>
    </w:p>
    <w:p w14:paraId="690C1564" w14:textId="4EEC57A2"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 заявление юридического лица о признании незаконным ответа об отказе в привлечении директора муниципального предприятия к дисциплинарной ответственности в виде увольнения за несоблюдение процедуры получения мотивированного мнения от выбранного органа первичной организации при проведении сокращения штатной численности. Решением Нефтеюганского районного суда от 20.05.2022, оставленным без изменения апелляционным определением судебной коллегии по гражданским делам суда Ханты-Мансийского автономного-округа </w:t>
      </w:r>
      <w:r>
        <w:rPr>
          <w:rFonts w:ascii="Times New Roman" w:hAnsi="Times New Roman" w:cs="Times New Roman"/>
          <w:sz w:val="26"/>
          <w:szCs w:val="26"/>
        </w:rPr>
        <w:t>–</w:t>
      </w:r>
      <w:r w:rsidRPr="002F47F3">
        <w:rPr>
          <w:rFonts w:ascii="Times New Roman" w:hAnsi="Times New Roman" w:cs="Times New Roman"/>
          <w:sz w:val="26"/>
          <w:szCs w:val="26"/>
        </w:rPr>
        <w:t xml:space="preserve"> Югры от 20.09.2022, а также определением судебной коллегии по гражданским делам Седьмого кассационного суда общей юрисдикции от 16.02.2023, в удовлетворении заявленных требований отказано.</w:t>
      </w:r>
    </w:p>
    <w:p w14:paraId="0F9D9BCF" w14:textId="083CDB1A"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В 2023 году судом общей юрисдикции, арбитражным судом рассмотрено </w:t>
      </w:r>
      <w:r>
        <w:rPr>
          <w:rFonts w:ascii="Times New Roman" w:hAnsi="Times New Roman" w:cs="Times New Roman"/>
          <w:sz w:val="26"/>
          <w:szCs w:val="26"/>
        </w:rPr>
        <w:t xml:space="preserve">                          </w:t>
      </w:r>
      <w:r w:rsidRPr="002F47F3">
        <w:rPr>
          <w:rFonts w:ascii="Times New Roman" w:hAnsi="Times New Roman" w:cs="Times New Roman"/>
          <w:sz w:val="26"/>
          <w:szCs w:val="26"/>
        </w:rPr>
        <w:t>2 заявления о признании незаконными решений, действий (бездействий) органа местного самоуправления:</w:t>
      </w:r>
    </w:p>
    <w:p w14:paraId="2C6F1F0E" w14:textId="7EDAFB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 заявление индивидуального предпринимателя о признании незаконным решения о признании незаконным отказа в заключении договора аренды земельного участка на новый срок. Решением Арбитражного суда Ханты-Мансийского автономного округа </w:t>
      </w:r>
      <w:r>
        <w:rPr>
          <w:rFonts w:ascii="Times New Roman" w:hAnsi="Times New Roman" w:cs="Times New Roman"/>
          <w:sz w:val="26"/>
          <w:szCs w:val="26"/>
        </w:rPr>
        <w:t>–</w:t>
      </w:r>
      <w:r w:rsidRPr="002F47F3">
        <w:rPr>
          <w:rFonts w:ascii="Times New Roman" w:hAnsi="Times New Roman" w:cs="Times New Roman"/>
          <w:sz w:val="26"/>
          <w:szCs w:val="26"/>
        </w:rPr>
        <w:t xml:space="preserve"> Югры, оставленным без изменения постановлением Восьмого арбитражного апелляционного суда, в удовлетворении заявленного требования отказано;</w:t>
      </w:r>
    </w:p>
    <w:p w14:paraId="3E07212C" w14:textId="13D14CBB"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 заявление физического лица о признании не законными действий в отношении ликвидации предприятия, об обязании отменить распоряжение и издать новое распоряжение с включением в состав ликвидационной комиссии председателей первичных профсоюзных организаций, об обязании соблюсти процедуру проведения коллективных переговоров в соответствии с нормами законодательства о профсоюзах, Трудового кодекса Российской Федерации и коллективным договором. Решением Нефтеюганского районного суда, оставленным без изменения апелляционным определением судебной коллегии по гражданским делам суда Ханты-Мансийского автономного-округа </w:t>
      </w:r>
      <w:r>
        <w:rPr>
          <w:rFonts w:ascii="Times New Roman" w:hAnsi="Times New Roman" w:cs="Times New Roman"/>
          <w:sz w:val="26"/>
          <w:szCs w:val="26"/>
        </w:rPr>
        <w:t>–</w:t>
      </w:r>
      <w:r w:rsidRPr="002F47F3">
        <w:rPr>
          <w:rFonts w:ascii="Times New Roman" w:hAnsi="Times New Roman" w:cs="Times New Roman"/>
          <w:sz w:val="26"/>
          <w:szCs w:val="26"/>
        </w:rPr>
        <w:t xml:space="preserve"> Югры, в удовлетворении заявленных требований отказано.</w:t>
      </w:r>
    </w:p>
    <w:p w14:paraId="32905A98" w14:textId="777777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Анализируя представленную информацию, в сравнении с аналогичными периодами 2021 и 2022 годов, можно сделать вывод о том, что в 2023 году отсутствует увеличение числа обращений граждан и юридических лиц в судебные органы за защитой своих прав и законных интересов. Вызвано это объективными причинами, одной из которых является безусловное повышение правовой грамотности населения. Немаловажным фактором является также информационная открытость органов местного самоуправления, доступность всей необходимой информации для населения.</w:t>
      </w:r>
    </w:p>
    <w:p w14:paraId="66F0493D" w14:textId="006100A8" w:rsid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r w:rsidRPr="002F47F3">
        <w:rPr>
          <w:rFonts w:ascii="Times New Roman" w:hAnsi="Times New Roman" w:cs="Times New Roman"/>
          <w:sz w:val="26"/>
          <w:szCs w:val="26"/>
        </w:rPr>
        <w:t xml:space="preserve"> При этом следует отметить, что за исследуемый период, процент получивших судебное подтверждение фактов нарушения таких прав со стороны органов местного самоуправления равен нулю. В 2023 году, так же, как и предыдущие анализируемые периоды ни одно из заявлений лиц, обратившихся за защитой своих прав и интересов, судом не удовлетворено. Это свидетельствует о том, что органы местного самоуправления и их должностные лица при принятии решений руководствуются принципами законности и обоснованности.</w:t>
      </w:r>
    </w:p>
    <w:p w14:paraId="2B36A910" w14:textId="554D447C" w:rsidR="002F47F3" w:rsidRDefault="002F47F3" w:rsidP="002F47F3">
      <w:pPr>
        <w:autoSpaceDE w:val="0"/>
        <w:autoSpaceDN w:val="0"/>
        <w:adjustRightInd w:val="0"/>
        <w:spacing w:after="0" w:line="240" w:lineRule="auto"/>
        <w:jc w:val="right"/>
        <w:outlineLvl w:val="0"/>
        <w:rPr>
          <w:rFonts w:ascii="Times New Roman" w:hAnsi="Times New Roman" w:cs="Times New Roman"/>
          <w:sz w:val="24"/>
          <w:szCs w:val="24"/>
        </w:rPr>
      </w:pPr>
    </w:p>
    <w:p w14:paraId="04C03380" w14:textId="77777777" w:rsidR="009253C5" w:rsidRDefault="009253C5" w:rsidP="002F47F3">
      <w:pPr>
        <w:autoSpaceDE w:val="0"/>
        <w:autoSpaceDN w:val="0"/>
        <w:adjustRightInd w:val="0"/>
        <w:spacing w:after="0" w:line="240" w:lineRule="auto"/>
        <w:jc w:val="right"/>
        <w:outlineLvl w:val="0"/>
        <w:rPr>
          <w:rFonts w:ascii="Times New Roman" w:hAnsi="Times New Roman" w:cs="Times New Roman"/>
          <w:sz w:val="24"/>
          <w:szCs w:val="24"/>
        </w:rPr>
      </w:pPr>
    </w:p>
    <w:p w14:paraId="6B00A6F9" w14:textId="72464F5F" w:rsidR="002F47F3" w:rsidRPr="002F47F3" w:rsidRDefault="002F47F3" w:rsidP="002F47F3">
      <w:pPr>
        <w:autoSpaceDE w:val="0"/>
        <w:autoSpaceDN w:val="0"/>
        <w:adjustRightInd w:val="0"/>
        <w:spacing w:after="0" w:line="240" w:lineRule="auto"/>
        <w:jc w:val="right"/>
        <w:outlineLvl w:val="0"/>
        <w:rPr>
          <w:rFonts w:ascii="Times New Roman" w:hAnsi="Times New Roman" w:cs="Times New Roman"/>
          <w:sz w:val="24"/>
          <w:szCs w:val="24"/>
        </w:rPr>
      </w:pPr>
      <w:r w:rsidRPr="002F47F3">
        <w:rPr>
          <w:rFonts w:ascii="Times New Roman" w:hAnsi="Times New Roman" w:cs="Times New Roman"/>
          <w:sz w:val="24"/>
          <w:szCs w:val="24"/>
        </w:rPr>
        <w:lastRenderedPageBreak/>
        <w:t>Таблица 2</w:t>
      </w:r>
    </w:p>
    <w:p w14:paraId="13128855"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sz w:val="24"/>
          <w:szCs w:val="24"/>
        </w:rPr>
      </w:pPr>
    </w:p>
    <w:p w14:paraId="4904F1AE"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bookmarkStart w:id="12" w:name="Par137"/>
      <w:bookmarkEnd w:id="12"/>
      <w:r w:rsidRPr="002F47F3">
        <w:rPr>
          <w:rFonts w:ascii="Times New Roman" w:hAnsi="Times New Roman" w:cs="Times New Roman"/>
          <w:sz w:val="24"/>
          <w:szCs w:val="24"/>
        </w:rPr>
        <w:t>Количество допущенных нарушений прав граждан</w:t>
      </w:r>
    </w:p>
    <w:p w14:paraId="5DB88104"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и юридических лиц, подтвержденных судебными актами</w:t>
      </w:r>
    </w:p>
    <w:p w14:paraId="0A3A6A5F"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муниципального образования Нефтеюганский район</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95"/>
        <w:gridCol w:w="361"/>
        <w:gridCol w:w="334"/>
        <w:gridCol w:w="318"/>
        <w:gridCol w:w="354"/>
        <w:gridCol w:w="345"/>
        <w:gridCol w:w="344"/>
        <w:gridCol w:w="344"/>
        <w:gridCol w:w="345"/>
        <w:gridCol w:w="345"/>
        <w:gridCol w:w="346"/>
        <w:gridCol w:w="346"/>
        <w:gridCol w:w="346"/>
        <w:gridCol w:w="346"/>
        <w:gridCol w:w="346"/>
        <w:gridCol w:w="346"/>
        <w:gridCol w:w="346"/>
        <w:gridCol w:w="346"/>
        <w:gridCol w:w="346"/>
        <w:gridCol w:w="346"/>
        <w:gridCol w:w="346"/>
        <w:gridCol w:w="346"/>
        <w:gridCol w:w="346"/>
        <w:gridCol w:w="346"/>
        <w:gridCol w:w="344"/>
        <w:gridCol w:w="9"/>
      </w:tblGrid>
      <w:tr w:rsidR="002F47F3" w:rsidRPr="002F47F3" w14:paraId="29C5AD36" w14:textId="77777777" w:rsidTr="00E63797">
        <w:trPr>
          <w:gridAfter w:val="1"/>
          <w:wAfter w:w="9" w:type="dxa"/>
          <w:trHeight w:val="400"/>
          <w:tblHeader/>
          <w:jc w:val="center"/>
        </w:trPr>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7E0F71E9"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Орган местного самоуправления</w:t>
            </w:r>
          </w:p>
        </w:tc>
        <w:tc>
          <w:tcPr>
            <w:tcW w:w="2118"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191E8B6"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 xml:space="preserve">Общее количество обращений </w:t>
            </w:r>
            <w:r w:rsidRPr="002F47F3">
              <w:rPr>
                <w:rFonts w:ascii="Times New Roman" w:hAnsi="Times New Roman" w:cs="Times New Roman"/>
                <w:sz w:val="20"/>
                <w:szCs w:val="20"/>
              </w:rPr>
              <w:t xml:space="preserve">в суды на действия (бездействие) органа местного самоуправления </w:t>
            </w:r>
          </w:p>
        </w:tc>
        <w:tc>
          <w:tcPr>
            <w:tcW w:w="6402" w:type="dxa"/>
            <w:gridSpan w:val="18"/>
            <w:tcBorders>
              <w:top w:val="single" w:sz="4" w:space="0" w:color="auto"/>
              <w:left w:val="single" w:sz="4" w:space="0" w:color="auto"/>
              <w:bottom w:val="single" w:sz="4" w:space="0" w:color="auto"/>
              <w:right w:val="single" w:sz="4" w:space="0" w:color="auto"/>
            </w:tcBorders>
            <w:vAlign w:val="center"/>
            <w:hideMark/>
          </w:tcPr>
          <w:p w14:paraId="45996BB4"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из них судами исковые требования:</w:t>
            </w:r>
          </w:p>
        </w:tc>
      </w:tr>
      <w:tr w:rsidR="002F47F3" w:rsidRPr="002F47F3" w14:paraId="472A15BC" w14:textId="77777777" w:rsidTr="00E63797">
        <w:trPr>
          <w:gridAfter w:val="1"/>
          <w:wAfter w:w="9" w:type="dxa"/>
          <w:trHeight w:val="845"/>
          <w:tblHeader/>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1F92BBC6" w14:textId="77777777" w:rsidR="002F47F3" w:rsidRPr="002F47F3" w:rsidRDefault="002F47F3" w:rsidP="002F47F3">
            <w:pPr>
              <w:spacing w:after="0"/>
              <w:rPr>
                <w:rFonts w:ascii="Times New Roman" w:eastAsia="Calibri" w:hAnsi="Times New Roman" w:cs="Times New Roman"/>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hideMark/>
          </w:tcPr>
          <w:p w14:paraId="5B3A5586" w14:textId="77777777" w:rsidR="002F47F3" w:rsidRPr="002F47F3" w:rsidRDefault="002F47F3" w:rsidP="002F47F3">
            <w:pPr>
              <w:spacing w:after="0"/>
              <w:rPr>
                <w:rFonts w:ascii="Times New Roman" w:eastAsia="Calibri" w:hAnsi="Times New Roman" w:cs="Times New Roman"/>
                <w:sz w:val="20"/>
                <w:szCs w:val="20"/>
              </w:rPr>
            </w:pPr>
          </w:p>
        </w:tc>
        <w:tc>
          <w:tcPr>
            <w:tcW w:w="2132" w:type="dxa"/>
            <w:gridSpan w:val="6"/>
            <w:tcBorders>
              <w:top w:val="single" w:sz="4" w:space="0" w:color="auto"/>
              <w:left w:val="single" w:sz="4" w:space="0" w:color="auto"/>
              <w:bottom w:val="single" w:sz="4" w:space="0" w:color="auto"/>
              <w:right w:val="single" w:sz="4" w:space="0" w:color="auto"/>
            </w:tcBorders>
            <w:hideMark/>
          </w:tcPr>
          <w:p w14:paraId="67EFD12A"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удовлетворены частично</w:t>
            </w:r>
          </w:p>
        </w:tc>
        <w:tc>
          <w:tcPr>
            <w:tcW w:w="2136" w:type="dxa"/>
            <w:gridSpan w:val="6"/>
            <w:tcBorders>
              <w:top w:val="single" w:sz="4" w:space="0" w:color="auto"/>
              <w:left w:val="single" w:sz="4" w:space="0" w:color="auto"/>
              <w:bottom w:val="single" w:sz="4" w:space="0" w:color="auto"/>
              <w:right w:val="single" w:sz="4" w:space="0" w:color="auto"/>
            </w:tcBorders>
            <w:hideMark/>
          </w:tcPr>
          <w:p w14:paraId="76383024"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удовлетворены полностью</w:t>
            </w:r>
          </w:p>
        </w:tc>
        <w:tc>
          <w:tcPr>
            <w:tcW w:w="2134" w:type="dxa"/>
            <w:gridSpan w:val="6"/>
            <w:tcBorders>
              <w:top w:val="single" w:sz="4" w:space="0" w:color="auto"/>
              <w:left w:val="single" w:sz="4" w:space="0" w:color="auto"/>
              <w:bottom w:val="single" w:sz="4" w:space="0" w:color="auto"/>
              <w:right w:val="single" w:sz="4" w:space="0" w:color="auto"/>
            </w:tcBorders>
            <w:hideMark/>
          </w:tcPr>
          <w:p w14:paraId="649BC6E4"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отказано в удовлетворении</w:t>
            </w:r>
          </w:p>
        </w:tc>
      </w:tr>
      <w:tr w:rsidR="002F47F3" w:rsidRPr="002F47F3" w14:paraId="4DEC6762" w14:textId="77777777" w:rsidTr="00E63797">
        <w:trPr>
          <w:gridAfter w:val="1"/>
          <w:wAfter w:w="9" w:type="dxa"/>
          <w:trHeight w:val="269"/>
          <w:tblHeader/>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34909F45" w14:textId="77777777" w:rsidR="002F47F3" w:rsidRPr="002F47F3" w:rsidRDefault="002F47F3" w:rsidP="002F47F3">
            <w:pPr>
              <w:spacing w:after="0"/>
              <w:rPr>
                <w:rFonts w:ascii="Times New Roman" w:eastAsia="Calibri" w:hAnsi="Times New Roman" w:cs="Times New Roma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B3AE8F8" w14:textId="77777777" w:rsidR="002F47F3" w:rsidRPr="002F47F3" w:rsidRDefault="002F47F3" w:rsidP="002F47F3">
            <w:pPr>
              <w:jc w:val="center"/>
              <w:rPr>
                <w:rFonts w:ascii="Times New Roman" w:eastAsia="Calibri" w:hAnsi="Times New Roman" w:cs="Times New Roman"/>
                <w:sz w:val="20"/>
                <w:szCs w:val="20"/>
                <w:lang w:val="en-US"/>
              </w:rPr>
            </w:pPr>
            <w:r w:rsidRPr="002F47F3">
              <w:rPr>
                <w:rFonts w:ascii="Times New Roman" w:eastAsia="Calibri" w:hAnsi="Times New Roman" w:cs="Times New Roman"/>
                <w:sz w:val="20"/>
                <w:szCs w:val="20"/>
              </w:rPr>
              <w:t>2021</w:t>
            </w:r>
          </w:p>
        </w:tc>
        <w:tc>
          <w:tcPr>
            <w:tcW w:w="691" w:type="dxa"/>
            <w:gridSpan w:val="2"/>
            <w:tcBorders>
              <w:top w:val="single" w:sz="4" w:space="0" w:color="auto"/>
              <w:left w:val="single" w:sz="4" w:space="0" w:color="auto"/>
              <w:bottom w:val="single" w:sz="4" w:space="0" w:color="auto"/>
              <w:right w:val="single" w:sz="4" w:space="0" w:color="auto"/>
            </w:tcBorders>
            <w:hideMark/>
          </w:tcPr>
          <w:p w14:paraId="0E082FD7"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hideMark/>
          </w:tcPr>
          <w:p w14:paraId="6B1FF1FE"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2023</w:t>
            </w:r>
          </w:p>
        </w:tc>
        <w:tc>
          <w:tcPr>
            <w:tcW w:w="709" w:type="dxa"/>
            <w:gridSpan w:val="2"/>
            <w:tcBorders>
              <w:top w:val="single" w:sz="4" w:space="0" w:color="auto"/>
              <w:left w:val="single" w:sz="4" w:space="0" w:color="auto"/>
              <w:bottom w:val="single" w:sz="4" w:space="0" w:color="auto"/>
              <w:right w:val="single" w:sz="4" w:space="0" w:color="auto"/>
            </w:tcBorders>
            <w:hideMark/>
          </w:tcPr>
          <w:p w14:paraId="43938187" w14:textId="77777777" w:rsidR="002F47F3" w:rsidRPr="002F47F3" w:rsidRDefault="002F47F3" w:rsidP="002F47F3">
            <w:pPr>
              <w:jc w:val="center"/>
              <w:rPr>
                <w:rFonts w:ascii="Times New Roman" w:eastAsia="Calibri" w:hAnsi="Times New Roman" w:cs="Times New Roman"/>
                <w:sz w:val="20"/>
                <w:szCs w:val="20"/>
                <w:lang w:val="en-US"/>
              </w:rPr>
            </w:pPr>
            <w:r w:rsidRPr="002F47F3">
              <w:rPr>
                <w:rFonts w:ascii="Times New Roman" w:eastAsia="Calibri" w:hAnsi="Times New Roman" w:cs="Times New Roman"/>
                <w:sz w:val="20"/>
                <w:szCs w:val="20"/>
              </w:rPr>
              <w:t>2021</w:t>
            </w:r>
          </w:p>
        </w:tc>
        <w:tc>
          <w:tcPr>
            <w:tcW w:w="711" w:type="dxa"/>
            <w:gridSpan w:val="2"/>
            <w:tcBorders>
              <w:top w:val="single" w:sz="4" w:space="0" w:color="auto"/>
              <w:left w:val="single" w:sz="4" w:space="0" w:color="auto"/>
              <w:bottom w:val="single" w:sz="4" w:space="0" w:color="auto"/>
              <w:right w:val="single" w:sz="4" w:space="0" w:color="auto"/>
            </w:tcBorders>
            <w:hideMark/>
          </w:tcPr>
          <w:p w14:paraId="0CDCF362"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2022</w:t>
            </w:r>
          </w:p>
        </w:tc>
        <w:tc>
          <w:tcPr>
            <w:tcW w:w="712" w:type="dxa"/>
            <w:gridSpan w:val="2"/>
            <w:tcBorders>
              <w:top w:val="single" w:sz="4" w:space="0" w:color="auto"/>
              <w:left w:val="single" w:sz="4" w:space="0" w:color="auto"/>
              <w:bottom w:val="single" w:sz="4" w:space="0" w:color="auto"/>
              <w:right w:val="single" w:sz="4" w:space="0" w:color="auto"/>
            </w:tcBorders>
            <w:hideMark/>
          </w:tcPr>
          <w:p w14:paraId="1371BA3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2023</w:t>
            </w:r>
          </w:p>
        </w:tc>
        <w:tc>
          <w:tcPr>
            <w:tcW w:w="712" w:type="dxa"/>
            <w:gridSpan w:val="2"/>
            <w:tcBorders>
              <w:top w:val="single" w:sz="4" w:space="0" w:color="auto"/>
              <w:left w:val="single" w:sz="4" w:space="0" w:color="auto"/>
              <w:bottom w:val="single" w:sz="4" w:space="0" w:color="auto"/>
              <w:right w:val="single" w:sz="4" w:space="0" w:color="auto"/>
            </w:tcBorders>
            <w:hideMark/>
          </w:tcPr>
          <w:p w14:paraId="0D009723" w14:textId="77777777" w:rsidR="002F47F3" w:rsidRPr="002F47F3" w:rsidRDefault="002F47F3" w:rsidP="002F47F3">
            <w:pPr>
              <w:jc w:val="center"/>
              <w:rPr>
                <w:rFonts w:ascii="Times New Roman" w:eastAsia="Calibri" w:hAnsi="Times New Roman" w:cs="Times New Roman"/>
                <w:sz w:val="20"/>
                <w:szCs w:val="20"/>
                <w:lang w:val="en-US"/>
              </w:rPr>
            </w:pPr>
            <w:r w:rsidRPr="002F47F3">
              <w:rPr>
                <w:rFonts w:ascii="Times New Roman" w:eastAsia="Calibri" w:hAnsi="Times New Roman" w:cs="Times New Roman"/>
                <w:sz w:val="20"/>
                <w:szCs w:val="20"/>
              </w:rPr>
              <w:t>2021</w:t>
            </w:r>
          </w:p>
        </w:tc>
        <w:tc>
          <w:tcPr>
            <w:tcW w:w="712" w:type="dxa"/>
            <w:gridSpan w:val="2"/>
            <w:tcBorders>
              <w:top w:val="single" w:sz="4" w:space="0" w:color="auto"/>
              <w:left w:val="single" w:sz="4" w:space="0" w:color="auto"/>
              <w:bottom w:val="single" w:sz="4" w:space="0" w:color="auto"/>
              <w:right w:val="single" w:sz="4" w:space="0" w:color="auto"/>
            </w:tcBorders>
            <w:hideMark/>
          </w:tcPr>
          <w:p w14:paraId="6AB2C91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2022</w:t>
            </w:r>
          </w:p>
        </w:tc>
        <w:tc>
          <w:tcPr>
            <w:tcW w:w="712" w:type="dxa"/>
            <w:gridSpan w:val="2"/>
            <w:tcBorders>
              <w:top w:val="single" w:sz="4" w:space="0" w:color="auto"/>
              <w:left w:val="single" w:sz="4" w:space="0" w:color="auto"/>
              <w:bottom w:val="single" w:sz="4" w:space="0" w:color="auto"/>
              <w:right w:val="single" w:sz="4" w:space="0" w:color="auto"/>
            </w:tcBorders>
            <w:hideMark/>
          </w:tcPr>
          <w:p w14:paraId="67D88995"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2023</w:t>
            </w:r>
          </w:p>
        </w:tc>
        <w:tc>
          <w:tcPr>
            <w:tcW w:w="712" w:type="dxa"/>
            <w:gridSpan w:val="2"/>
            <w:tcBorders>
              <w:top w:val="single" w:sz="4" w:space="0" w:color="auto"/>
              <w:left w:val="single" w:sz="4" w:space="0" w:color="auto"/>
              <w:bottom w:val="single" w:sz="4" w:space="0" w:color="auto"/>
              <w:right w:val="single" w:sz="4" w:space="0" w:color="auto"/>
            </w:tcBorders>
            <w:hideMark/>
          </w:tcPr>
          <w:p w14:paraId="7923155B" w14:textId="77777777" w:rsidR="002F47F3" w:rsidRPr="002F47F3" w:rsidRDefault="002F47F3" w:rsidP="002F47F3">
            <w:pPr>
              <w:jc w:val="center"/>
              <w:rPr>
                <w:rFonts w:ascii="Times New Roman" w:eastAsia="Calibri" w:hAnsi="Times New Roman" w:cs="Times New Roman"/>
                <w:sz w:val="20"/>
                <w:szCs w:val="20"/>
                <w:lang w:val="en-US"/>
              </w:rPr>
            </w:pPr>
            <w:r w:rsidRPr="002F47F3">
              <w:rPr>
                <w:rFonts w:ascii="Times New Roman" w:eastAsia="Calibri" w:hAnsi="Times New Roman" w:cs="Times New Roman"/>
                <w:sz w:val="20"/>
                <w:szCs w:val="20"/>
              </w:rPr>
              <w:t>2021</w:t>
            </w:r>
          </w:p>
        </w:tc>
        <w:tc>
          <w:tcPr>
            <w:tcW w:w="712" w:type="dxa"/>
            <w:gridSpan w:val="2"/>
            <w:tcBorders>
              <w:top w:val="single" w:sz="4" w:space="0" w:color="auto"/>
              <w:left w:val="single" w:sz="4" w:space="0" w:color="auto"/>
              <w:bottom w:val="single" w:sz="4" w:space="0" w:color="auto"/>
              <w:right w:val="single" w:sz="4" w:space="0" w:color="auto"/>
            </w:tcBorders>
            <w:hideMark/>
          </w:tcPr>
          <w:p w14:paraId="51F74A67"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2022</w:t>
            </w:r>
          </w:p>
        </w:tc>
        <w:tc>
          <w:tcPr>
            <w:tcW w:w="710" w:type="dxa"/>
            <w:gridSpan w:val="2"/>
            <w:tcBorders>
              <w:top w:val="single" w:sz="4" w:space="0" w:color="auto"/>
              <w:left w:val="single" w:sz="4" w:space="0" w:color="auto"/>
              <w:bottom w:val="single" w:sz="4" w:space="0" w:color="auto"/>
              <w:right w:val="single" w:sz="4" w:space="0" w:color="auto"/>
            </w:tcBorders>
            <w:hideMark/>
          </w:tcPr>
          <w:p w14:paraId="16EE457C"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2023</w:t>
            </w:r>
          </w:p>
        </w:tc>
      </w:tr>
      <w:tr w:rsidR="002F47F3" w:rsidRPr="002F47F3" w14:paraId="614B71C7" w14:textId="77777777" w:rsidTr="00E63797">
        <w:trPr>
          <w:cantSplit/>
          <w:trHeight w:val="1134"/>
          <w:tblHeader/>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0147036E" w14:textId="77777777" w:rsidR="002F47F3" w:rsidRPr="002F47F3" w:rsidRDefault="002F47F3" w:rsidP="002F47F3">
            <w:pPr>
              <w:spacing w:after="0"/>
              <w:rPr>
                <w:rFonts w:ascii="Times New Roman" w:eastAsia="Calibri" w:hAnsi="Times New Roman" w:cs="Times New Roman"/>
              </w:rPr>
            </w:pPr>
          </w:p>
        </w:tc>
        <w:tc>
          <w:tcPr>
            <w:tcW w:w="373" w:type="dxa"/>
            <w:tcBorders>
              <w:top w:val="single" w:sz="4" w:space="0" w:color="auto"/>
              <w:left w:val="single" w:sz="4" w:space="0" w:color="auto"/>
              <w:bottom w:val="single" w:sz="4" w:space="0" w:color="auto"/>
              <w:right w:val="single" w:sz="4" w:space="0" w:color="auto"/>
            </w:tcBorders>
            <w:textDirection w:val="btLr"/>
            <w:hideMark/>
          </w:tcPr>
          <w:p w14:paraId="1C5B4ADC"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45" w:type="dxa"/>
            <w:tcBorders>
              <w:top w:val="single" w:sz="4" w:space="0" w:color="auto"/>
              <w:left w:val="single" w:sz="4" w:space="0" w:color="auto"/>
              <w:bottom w:val="single" w:sz="4" w:space="0" w:color="auto"/>
              <w:right w:val="single" w:sz="4" w:space="0" w:color="auto"/>
            </w:tcBorders>
            <w:textDirection w:val="btLr"/>
            <w:hideMark/>
          </w:tcPr>
          <w:p w14:paraId="7553A0BA"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27" w:type="dxa"/>
            <w:tcBorders>
              <w:top w:val="single" w:sz="4" w:space="0" w:color="auto"/>
              <w:left w:val="single" w:sz="4" w:space="0" w:color="auto"/>
              <w:bottom w:val="single" w:sz="4" w:space="0" w:color="auto"/>
              <w:right w:val="single" w:sz="4" w:space="0" w:color="auto"/>
            </w:tcBorders>
            <w:textDirection w:val="btLr"/>
            <w:hideMark/>
          </w:tcPr>
          <w:p w14:paraId="2449FDDD"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64" w:type="dxa"/>
            <w:tcBorders>
              <w:top w:val="single" w:sz="4" w:space="0" w:color="auto"/>
              <w:left w:val="single" w:sz="4" w:space="0" w:color="auto"/>
              <w:bottom w:val="single" w:sz="4" w:space="0" w:color="auto"/>
              <w:right w:val="single" w:sz="4" w:space="0" w:color="auto"/>
            </w:tcBorders>
            <w:textDirection w:val="btLr"/>
            <w:hideMark/>
          </w:tcPr>
          <w:p w14:paraId="459CD3F0"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5" w:type="dxa"/>
            <w:tcBorders>
              <w:top w:val="single" w:sz="4" w:space="0" w:color="auto"/>
              <w:left w:val="single" w:sz="4" w:space="0" w:color="auto"/>
              <w:bottom w:val="single" w:sz="4" w:space="0" w:color="auto"/>
              <w:right w:val="single" w:sz="4" w:space="0" w:color="auto"/>
            </w:tcBorders>
            <w:textDirection w:val="btLr"/>
            <w:hideMark/>
          </w:tcPr>
          <w:p w14:paraId="2C7B710F"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4" w:type="dxa"/>
            <w:tcBorders>
              <w:top w:val="single" w:sz="4" w:space="0" w:color="auto"/>
              <w:left w:val="single" w:sz="4" w:space="0" w:color="auto"/>
              <w:bottom w:val="single" w:sz="4" w:space="0" w:color="auto"/>
              <w:right w:val="single" w:sz="4" w:space="0" w:color="auto"/>
            </w:tcBorders>
            <w:textDirection w:val="btLr"/>
            <w:hideMark/>
          </w:tcPr>
          <w:p w14:paraId="16AD223F"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4" w:type="dxa"/>
            <w:tcBorders>
              <w:top w:val="single" w:sz="4" w:space="0" w:color="auto"/>
              <w:left w:val="single" w:sz="4" w:space="0" w:color="auto"/>
              <w:bottom w:val="single" w:sz="4" w:space="0" w:color="auto"/>
              <w:right w:val="single" w:sz="4" w:space="0" w:color="auto"/>
            </w:tcBorders>
            <w:textDirection w:val="btLr"/>
            <w:hideMark/>
          </w:tcPr>
          <w:p w14:paraId="0B077D8B"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5" w:type="dxa"/>
            <w:tcBorders>
              <w:top w:val="single" w:sz="4" w:space="0" w:color="auto"/>
              <w:left w:val="single" w:sz="4" w:space="0" w:color="auto"/>
              <w:bottom w:val="single" w:sz="4" w:space="0" w:color="auto"/>
              <w:right w:val="single" w:sz="4" w:space="0" w:color="auto"/>
            </w:tcBorders>
            <w:textDirection w:val="btLr"/>
            <w:hideMark/>
          </w:tcPr>
          <w:p w14:paraId="3967E8E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5" w:type="dxa"/>
            <w:tcBorders>
              <w:top w:val="single" w:sz="4" w:space="0" w:color="auto"/>
              <w:left w:val="single" w:sz="4" w:space="0" w:color="auto"/>
              <w:bottom w:val="single" w:sz="4" w:space="0" w:color="auto"/>
              <w:right w:val="single" w:sz="4" w:space="0" w:color="auto"/>
            </w:tcBorders>
            <w:textDirection w:val="btLr"/>
            <w:hideMark/>
          </w:tcPr>
          <w:p w14:paraId="625DE018"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466AE930"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0E80A29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77E95D2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4EA6ADA1"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6B5FD007"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55BC94E0"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3EA84ACA"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5949F30F"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04FE71D3"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30616A4B"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24379365"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031E3C7F"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3A038D75"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c>
          <w:tcPr>
            <w:tcW w:w="356" w:type="dxa"/>
            <w:tcBorders>
              <w:top w:val="single" w:sz="4" w:space="0" w:color="auto"/>
              <w:left w:val="single" w:sz="4" w:space="0" w:color="auto"/>
              <w:bottom w:val="single" w:sz="4" w:space="0" w:color="auto"/>
              <w:right w:val="single" w:sz="4" w:space="0" w:color="auto"/>
            </w:tcBorders>
            <w:textDirection w:val="btLr"/>
            <w:hideMark/>
          </w:tcPr>
          <w:p w14:paraId="3556999F"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физ. лица</w:t>
            </w:r>
          </w:p>
        </w:tc>
        <w:tc>
          <w:tcPr>
            <w:tcW w:w="363" w:type="dxa"/>
            <w:gridSpan w:val="2"/>
            <w:tcBorders>
              <w:top w:val="single" w:sz="4" w:space="0" w:color="auto"/>
              <w:left w:val="single" w:sz="4" w:space="0" w:color="auto"/>
              <w:bottom w:val="single" w:sz="4" w:space="0" w:color="auto"/>
              <w:right w:val="single" w:sz="4" w:space="0" w:color="auto"/>
            </w:tcBorders>
            <w:textDirection w:val="btLr"/>
            <w:hideMark/>
          </w:tcPr>
          <w:p w14:paraId="56504A9E" w14:textId="77777777" w:rsidR="002F47F3" w:rsidRPr="002F47F3" w:rsidRDefault="002F47F3" w:rsidP="002F47F3">
            <w:pPr>
              <w:jc w:val="center"/>
              <w:rPr>
                <w:rFonts w:ascii="Times New Roman" w:eastAsia="Calibri" w:hAnsi="Times New Roman" w:cs="Times New Roman"/>
                <w:sz w:val="20"/>
                <w:szCs w:val="20"/>
              </w:rPr>
            </w:pPr>
            <w:r w:rsidRPr="002F47F3">
              <w:rPr>
                <w:rFonts w:ascii="Times New Roman" w:eastAsia="Calibri" w:hAnsi="Times New Roman" w:cs="Times New Roman"/>
                <w:sz w:val="20"/>
                <w:szCs w:val="20"/>
              </w:rPr>
              <w:t>юр. лица</w:t>
            </w:r>
          </w:p>
        </w:tc>
      </w:tr>
      <w:tr w:rsidR="002F47F3" w:rsidRPr="002F47F3" w14:paraId="1C4E65FF" w14:textId="77777777" w:rsidTr="00E63797">
        <w:trPr>
          <w:trHeight w:val="468"/>
          <w:jc w:val="center"/>
        </w:trPr>
        <w:tc>
          <w:tcPr>
            <w:tcW w:w="1550" w:type="dxa"/>
            <w:tcBorders>
              <w:top w:val="single" w:sz="4" w:space="0" w:color="auto"/>
              <w:left w:val="single" w:sz="4" w:space="0" w:color="auto"/>
              <w:bottom w:val="single" w:sz="4" w:space="0" w:color="auto"/>
              <w:right w:val="single" w:sz="4" w:space="0" w:color="auto"/>
            </w:tcBorders>
            <w:hideMark/>
          </w:tcPr>
          <w:p w14:paraId="2658CC17"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Всего, в том числе по направлениям</w:t>
            </w:r>
          </w:p>
        </w:tc>
        <w:tc>
          <w:tcPr>
            <w:tcW w:w="373" w:type="dxa"/>
            <w:tcBorders>
              <w:top w:val="single" w:sz="4" w:space="0" w:color="auto"/>
              <w:left w:val="single" w:sz="4" w:space="0" w:color="auto"/>
              <w:bottom w:val="single" w:sz="4" w:space="0" w:color="auto"/>
              <w:right w:val="single" w:sz="4" w:space="0" w:color="auto"/>
            </w:tcBorders>
            <w:hideMark/>
          </w:tcPr>
          <w:p w14:paraId="379A5E4E"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45" w:type="dxa"/>
            <w:tcBorders>
              <w:top w:val="single" w:sz="4" w:space="0" w:color="auto"/>
              <w:left w:val="single" w:sz="4" w:space="0" w:color="auto"/>
              <w:bottom w:val="single" w:sz="4" w:space="0" w:color="auto"/>
              <w:right w:val="single" w:sz="4" w:space="0" w:color="auto"/>
            </w:tcBorders>
            <w:hideMark/>
          </w:tcPr>
          <w:p w14:paraId="3820A8E8"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27" w:type="dxa"/>
            <w:tcBorders>
              <w:top w:val="single" w:sz="4" w:space="0" w:color="auto"/>
              <w:left w:val="single" w:sz="4" w:space="0" w:color="auto"/>
              <w:bottom w:val="single" w:sz="4" w:space="0" w:color="auto"/>
              <w:right w:val="single" w:sz="4" w:space="0" w:color="auto"/>
            </w:tcBorders>
            <w:hideMark/>
          </w:tcPr>
          <w:p w14:paraId="57FCAC9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1374F9D1"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2</w:t>
            </w:r>
          </w:p>
        </w:tc>
        <w:tc>
          <w:tcPr>
            <w:tcW w:w="355" w:type="dxa"/>
            <w:tcBorders>
              <w:top w:val="single" w:sz="4" w:space="0" w:color="auto"/>
              <w:left w:val="single" w:sz="4" w:space="0" w:color="auto"/>
              <w:bottom w:val="single" w:sz="4" w:space="0" w:color="auto"/>
              <w:right w:val="single" w:sz="4" w:space="0" w:color="auto"/>
            </w:tcBorders>
            <w:hideMark/>
          </w:tcPr>
          <w:p w14:paraId="09A070D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hideMark/>
          </w:tcPr>
          <w:p w14:paraId="6B14A3A4"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hideMark/>
          </w:tcPr>
          <w:p w14:paraId="11D6C0B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76ACFDBB"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658EDE6D"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4F7E03A"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2461E8BD"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B2A6211"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40103FD"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602C446"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23307039"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44DF66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DF38486"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22FC2C0"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D4F10D3"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hideMark/>
          </w:tcPr>
          <w:p w14:paraId="2D4536A9"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hideMark/>
          </w:tcPr>
          <w:p w14:paraId="534EBA39"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E4B0BD4"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2</w:t>
            </w:r>
          </w:p>
        </w:tc>
        <w:tc>
          <w:tcPr>
            <w:tcW w:w="356" w:type="dxa"/>
            <w:tcBorders>
              <w:top w:val="single" w:sz="4" w:space="0" w:color="auto"/>
              <w:left w:val="single" w:sz="4" w:space="0" w:color="auto"/>
              <w:bottom w:val="single" w:sz="4" w:space="0" w:color="auto"/>
              <w:right w:val="single" w:sz="4" w:space="0" w:color="auto"/>
            </w:tcBorders>
            <w:hideMark/>
          </w:tcPr>
          <w:p w14:paraId="701185CD"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63" w:type="dxa"/>
            <w:gridSpan w:val="2"/>
            <w:tcBorders>
              <w:top w:val="single" w:sz="4" w:space="0" w:color="auto"/>
              <w:left w:val="single" w:sz="4" w:space="0" w:color="auto"/>
              <w:bottom w:val="single" w:sz="4" w:space="0" w:color="auto"/>
              <w:right w:val="single" w:sz="4" w:space="0" w:color="auto"/>
            </w:tcBorders>
            <w:hideMark/>
          </w:tcPr>
          <w:p w14:paraId="6B46F5B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r>
      <w:tr w:rsidR="002F47F3" w:rsidRPr="002F47F3" w14:paraId="55C77E28" w14:textId="77777777" w:rsidTr="00E63797">
        <w:trPr>
          <w:trHeight w:val="573"/>
          <w:jc w:val="center"/>
        </w:trPr>
        <w:tc>
          <w:tcPr>
            <w:tcW w:w="1550" w:type="dxa"/>
            <w:tcBorders>
              <w:top w:val="single" w:sz="4" w:space="0" w:color="auto"/>
              <w:left w:val="single" w:sz="4" w:space="0" w:color="auto"/>
              <w:bottom w:val="single" w:sz="4" w:space="0" w:color="auto"/>
              <w:right w:val="single" w:sz="4" w:space="0" w:color="auto"/>
            </w:tcBorders>
            <w:hideMark/>
          </w:tcPr>
          <w:p w14:paraId="06ABB7BD" w14:textId="77777777" w:rsidR="002F47F3" w:rsidRPr="002F47F3" w:rsidRDefault="002F47F3" w:rsidP="002F47F3">
            <w:pPr>
              <w:spacing w:after="0" w:line="276" w:lineRule="auto"/>
              <w:rPr>
                <w:sz w:val="20"/>
                <w:szCs w:val="20"/>
              </w:rPr>
            </w:pPr>
            <w:r w:rsidRPr="002F47F3">
              <w:rPr>
                <w:rFonts w:ascii="Times New Roman" w:hAnsi="Times New Roman" w:cs="Times New Roman"/>
                <w:sz w:val="20"/>
                <w:szCs w:val="20"/>
              </w:rPr>
              <w:t>малое предпринимательство</w:t>
            </w:r>
          </w:p>
        </w:tc>
        <w:tc>
          <w:tcPr>
            <w:tcW w:w="373" w:type="dxa"/>
            <w:tcBorders>
              <w:top w:val="single" w:sz="4" w:space="0" w:color="auto"/>
              <w:left w:val="single" w:sz="4" w:space="0" w:color="auto"/>
              <w:bottom w:val="single" w:sz="4" w:space="0" w:color="auto"/>
              <w:right w:val="single" w:sz="4" w:space="0" w:color="auto"/>
            </w:tcBorders>
          </w:tcPr>
          <w:p w14:paraId="04B487CF"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1CCAC1E1"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27" w:type="dxa"/>
            <w:tcBorders>
              <w:top w:val="single" w:sz="4" w:space="0" w:color="auto"/>
              <w:left w:val="single" w:sz="4" w:space="0" w:color="auto"/>
              <w:bottom w:val="single" w:sz="4" w:space="0" w:color="auto"/>
              <w:right w:val="single" w:sz="4" w:space="0" w:color="auto"/>
            </w:tcBorders>
          </w:tcPr>
          <w:p w14:paraId="297C98A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2BF7FB55"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 xml:space="preserve">- </w:t>
            </w:r>
          </w:p>
        </w:tc>
        <w:tc>
          <w:tcPr>
            <w:tcW w:w="355" w:type="dxa"/>
            <w:tcBorders>
              <w:top w:val="single" w:sz="4" w:space="0" w:color="auto"/>
              <w:left w:val="single" w:sz="4" w:space="0" w:color="auto"/>
              <w:bottom w:val="single" w:sz="4" w:space="0" w:color="auto"/>
              <w:right w:val="single" w:sz="4" w:space="0" w:color="auto"/>
            </w:tcBorders>
            <w:hideMark/>
          </w:tcPr>
          <w:p w14:paraId="6371B11C"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1BA47915"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tcPr>
          <w:p w14:paraId="0FC5E26A"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tcPr>
          <w:p w14:paraId="358BB06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tcPr>
          <w:p w14:paraId="4AFC6771"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50194114"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73E26CBC"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0726BA5"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509882D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05DF58A8"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6458D881"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3F76C4E6"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A6C84F2"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0350624"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4D395ED5"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2CF7DD5C"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3BF3CCF1"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30A0E13"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3CA9E3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0F233C28"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r>
      <w:tr w:rsidR="002F47F3" w:rsidRPr="002F47F3" w14:paraId="425E39A1" w14:textId="77777777" w:rsidTr="00E63797">
        <w:trPr>
          <w:trHeight w:val="541"/>
          <w:jc w:val="center"/>
        </w:trPr>
        <w:tc>
          <w:tcPr>
            <w:tcW w:w="1550" w:type="dxa"/>
            <w:tcBorders>
              <w:top w:val="single" w:sz="4" w:space="0" w:color="auto"/>
              <w:left w:val="single" w:sz="4" w:space="0" w:color="auto"/>
              <w:bottom w:val="single" w:sz="4" w:space="0" w:color="auto"/>
              <w:right w:val="single" w:sz="4" w:space="0" w:color="auto"/>
            </w:tcBorders>
            <w:hideMark/>
          </w:tcPr>
          <w:p w14:paraId="613FA423" w14:textId="77777777" w:rsidR="002F47F3" w:rsidRPr="002F47F3" w:rsidRDefault="002F47F3" w:rsidP="002F47F3">
            <w:pPr>
              <w:jc w:val="both"/>
              <w:rPr>
                <w:rFonts w:ascii="Times New Roman" w:eastAsia="Calibri" w:hAnsi="Times New Roman" w:cs="Times New Roman"/>
                <w:sz w:val="20"/>
                <w:szCs w:val="20"/>
              </w:rPr>
            </w:pPr>
            <w:r w:rsidRPr="002F47F3">
              <w:rPr>
                <w:rFonts w:ascii="Times New Roman" w:eastAsia="Calibri" w:hAnsi="Times New Roman" w:cs="Times New Roman"/>
                <w:sz w:val="20"/>
                <w:szCs w:val="20"/>
              </w:rPr>
              <w:t>жилищно-коммунальный комплекс</w:t>
            </w:r>
          </w:p>
        </w:tc>
        <w:tc>
          <w:tcPr>
            <w:tcW w:w="373" w:type="dxa"/>
            <w:tcBorders>
              <w:top w:val="single" w:sz="4" w:space="0" w:color="auto"/>
              <w:left w:val="single" w:sz="4" w:space="0" w:color="auto"/>
              <w:bottom w:val="single" w:sz="4" w:space="0" w:color="auto"/>
              <w:right w:val="single" w:sz="4" w:space="0" w:color="auto"/>
            </w:tcBorders>
            <w:hideMark/>
          </w:tcPr>
          <w:p w14:paraId="6188CA39"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57C2E20B"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27" w:type="dxa"/>
            <w:tcBorders>
              <w:top w:val="single" w:sz="4" w:space="0" w:color="auto"/>
              <w:left w:val="single" w:sz="4" w:space="0" w:color="auto"/>
              <w:bottom w:val="single" w:sz="4" w:space="0" w:color="auto"/>
              <w:right w:val="single" w:sz="4" w:space="0" w:color="auto"/>
            </w:tcBorders>
            <w:hideMark/>
          </w:tcPr>
          <w:p w14:paraId="6A66AB11"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7FBD9AAA"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27E376C0"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5C4F7B7D"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70415F25"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16EC0E7F"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78F4E1F2"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58CE983"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9E7364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61B47D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FA10151"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EBC48F5"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847B240"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18E138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28FC01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FC905FA"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DF71691"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B29B535"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A1987E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07F4DA2"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ED219D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1D362CB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r>
      <w:tr w:rsidR="002F47F3" w:rsidRPr="002F47F3" w14:paraId="47501253" w14:textId="77777777" w:rsidTr="00E63797">
        <w:trPr>
          <w:trHeight w:val="198"/>
          <w:jc w:val="center"/>
        </w:trPr>
        <w:tc>
          <w:tcPr>
            <w:tcW w:w="1550" w:type="dxa"/>
            <w:tcBorders>
              <w:top w:val="single" w:sz="4" w:space="0" w:color="auto"/>
              <w:left w:val="single" w:sz="4" w:space="0" w:color="auto"/>
              <w:bottom w:val="single" w:sz="4" w:space="0" w:color="auto"/>
              <w:right w:val="single" w:sz="4" w:space="0" w:color="auto"/>
            </w:tcBorders>
            <w:hideMark/>
          </w:tcPr>
          <w:p w14:paraId="33D5A477"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строительство</w:t>
            </w:r>
          </w:p>
        </w:tc>
        <w:tc>
          <w:tcPr>
            <w:tcW w:w="373" w:type="dxa"/>
            <w:tcBorders>
              <w:top w:val="single" w:sz="4" w:space="0" w:color="auto"/>
              <w:left w:val="single" w:sz="4" w:space="0" w:color="auto"/>
              <w:bottom w:val="single" w:sz="4" w:space="0" w:color="auto"/>
              <w:right w:val="single" w:sz="4" w:space="0" w:color="auto"/>
            </w:tcBorders>
            <w:hideMark/>
          </w:tcPr>
          <w:p w14:paraId="26132DF1"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48D63FA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27" w:type="dxa"/>
            <w:tcBorders>
              <w:top w:val="single" w:sz="4" w:space="0" w:color="auto"/>
              <w:left w:val="single" w:sz="4" w:space="0" w:color="auto"/>
              <w:bottom w:val="single" w:sz="4" w:space="0" w:color="auto"/>
              <w:right w:val="single" w:sz="4" w:space="0" w:color="auto"/>
            </w:tcBorders>
            <w:hideMark/>
          </w:tcPr>
          <w:p w14:paraId="5E55DAD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1EB941C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441D105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2A08910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25B18973"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26F2BF92"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49ABFFC2"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67F866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553D77D"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C7EA77C"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1EC080D"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6FDC9EB"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1380520"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D2984C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CD78C33"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42A6C6C"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7A8E5AA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2389654"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FEBF075"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974671B"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1A47643"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0D59C10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r>
      <w:tr w:rsidR="002F47F3" w:rsidRPr="002F47F3" w14:paraId="542150BA" w14:textId="77777777" w:rsidTr="00E63797">
        <w:trPr>
          <w:trHeight w:val="345"/>
          <w:jc w:val="center"/>
        </w:trPr>
        <w:tc>
          <w:tcPr>
            <w:tcW w:w="1550" w:type="dxa"/>
            <w:tcBorders>
              <w:top w:val="single" w:sz="4" w:space="0" w:color="auto"/>
              <w:left w:val="single" w:sz="4" w:space="0" w:color="auto"/>
              <w:bottom w:val="single" w:sz="4" w:space="0" w:color="auto"/>
              <w:right w:val="single" w:sz="4" w:space="0" w:color="auto"/>
            </w:tcBorders>
            <w:hideMark/>
          </w:tcPr>
          <w:p w14:paraId="65DBC4A1"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земельные отношения</w:t>
            </w:r>
          </w:p>
        </w:tc>
        <w:tc>
          <w:tcPr>
            <w:tcW w:w="373" w:type="dxa"/>
            <w:tcBorders>
              <w:top w:val="single" w:sz="4" w:space="0" w:color="auto"/>
              <w:left w:val="single" w:sz="4" w:space="0" w:color="auto"/>
              <w:bottom w:val="single" w:sz="4" w:space="0" w:color="auto"/>
              <w:right w:val="single" w:sz="4" w:space="0" w:color="auto"/>
            </w:tcBorders>
            <w:hideMark/>
          </w:tcPr>
          <w:p w14:paraId="3B134375"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45" w:type="dxa"/>
            <w:tcBorders>
              <w:top w:val="single" w:sz="4" w:space="0" w:color="auto"/>
              <w:left w:val="single" w:sz="4" w:space="0" w:color="auto"/>
              <w:bottom w:val="single" w:sz="4" w:space="0" w:color="auto"/>
              <w:right w:val="single" w:sz="4" w:space="0" w:color="auto"/>
            </w:tcBorders>
            <w:hideMark/>
          </w:tcPr>
          <w:p w14:paraId="6D0FB9B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27" w:type="dxa"/>
            <w:tcBorders>
              <w:top w:val="single" w:sz="4" w:space="0" w:color="auto"/>
              <w:left w:val="single" w:sz="4" w:space="0" w:color="auto"/>
              <w:bottom w:val="single" w:sz="4" w:space="0" w:color="auto"/>
              <w:right w:val="single" w:sz="4" w:space="0" w:color="auto"/>
            </w:tcBorders>
            <w:hideMark/>
          </w:tcPr>
          <w:p w14:paraId="0F5495FF"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3B0B1C7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5" w:type="dxa"/>
            <w:tcBorders>
              <w:top w:val="single" w:sz="4" w:space="0" w:color="auto"/>
              <w:left w:val="single" w:sz="4" w:space="0" w:color="auto"/>
              <w:bottom w:val="single" w:sz="4" w:space="0" w:color="auto"/>
              <w:right w:val="single" w:sz="4" w:space="0" w:color="auto"/>
            </w:tcBorders>
            <w:hideMark/>
          </w:tcPr>
          <w:p w14:paraId="34510B34"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2427A647"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hideMark/>
          </w:tcPr>
          <w:p w14:paraId="2022CA36"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71B439FA"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2A212D2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5CDD20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4007FAF"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22F4E8B"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BE4E889"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77B9B8E4"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2AF6FCF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0534634"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75B914C0"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85DFE1D"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28EA7BD3"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hideMark/>
          </w:tcPr>
          <w:p w14:paraId="469D0699"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hideMark/>
          </w:tcPr>
          <w:p w14:paraId="1112F739"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FA2FECE"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hideMark/>
          </w:tcPr>
          <w:p w14:paraId="4B15E80C"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2273EB94"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1</w:t>
            </w:r>
          </w:p>
        </w:tc>
      </w:tr>
      <w:tr w:rsidR="002F47F3" w:rsidRPr="002F47F3" w14:paraId="0F6EF86D" w14:textId="77777777" w:rsidTr="00E63797">
        <w:trPr>
          <w:trHeight w:val="681"/>
          <w:jc w:val="center"/>
        </w:trPr>
        <w:tc>
          <w:tcPr>
            <w:tcW w:w="1550" w:type="dxa"/>
            <w:tcBorders>
              <w:top w:val="single" w:sz="4" w:space="0" w:color="auto"/>
              <w:left w:val="single" w:sz="4" w:space="0" w:color="auto"/>
              <w:bottom w:val="single" w:sz="4" w:space="0" w:color="auto"/>
              <w:right w:val="single" w:sz="4" w:space="0" w:color="auto"/>
            </w:tcBorders>
            <w:hideMark/>
          </w:tcPr>
          <w:p w14:paraId="1D22BFBF"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жилищные и имущественные отношения</w:t>
            </w:r>
          </w:p>
        </w:tc>
        <w:tc>
          <w:tcPr>
            <w:tcW w:w="373" w:type="dxa"/>
            <w:tcBorders>
              <w:top w:val="single" w:sz="4" w:space="0" w:color="auto"/>
              <w:left w:val="single" w:sz="4" w:space="0" w:color="auto"/>
              <w:bottom w:val="single" w:sz="4" w:space="0" w:color="auto"/>
              <w:right w:val="single" w:sz="4" w:space="0" w:color="auto"/>
            </w:tcBorders>
            <w:hideMark/>
          </w:tcPr>
          <w:p w14:paraId="5922C38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hideMark/>
          </w:tcPr>
          <w:p w14:paraId="25B2D96C"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27" w:type="dxa"/>
            <w:tcBorders>
              <w:top w:val="single" w:sz="4" w:space="0" w:color="auto"/>
              <w:left w:val="single" w:sz="4" w:space="0" w:color="auto"/>
              <w:bottom w:val="single" w:sz="4" w:space="0" w:color="auto"/>
              <w:right w:val="single" w:sz="4" w:space="0" w:color="auto"/>
            </w:tcBorders>
            <w:hideMark/>
          </w:tcPr>
          <w:p w14:paraId="594BC87E"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hideMark/>
          </w:tcPr>
          <w:p w14:paraId="4B5775D2"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754FD047"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11F62F94"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hideMark/>
          </w:tcPr>
          <w:p w14:paraId="2C8BF6F1"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108D3B8B"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hideMark/>
          </w:tcPr>
          <w:p w14:paraId="1531FB9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98EB81D"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3339F09A"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0D00309"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71147DC"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CFEA9B9"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0C20023"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0D8C2811"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54E9D67D"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29D649BC"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CD78059"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263A203"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134B121A"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42022E16"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hideMark/>
          </w:tcPr>
          <w:p w14:paraId="68AED622"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1659D5E2" w14:textId="77777777" w:rsidR="002F47F3" w:rsidRPr="00FF5FD8" w:rsidRDefault="002F47F3" w:rsidP="002F47F3">
            <w:pPr>
              <w:jc w:val="center"/>
              <w:rPr>
                <w:rFonts w:ascii="Times New Roman" w:hAnsi="Times New Roman" w:cs="Times New Roman"/>
                <w:sz w:val="20"/>
                <w:szCs w:val="20"/>
              </w:rPr>
            </w:pPr>
            <w:r w:rsidRPr="00FF5FD8">
              <w:rPr>
                <w:rFonts w:ascii="Times New Roman" w:eastAsia="Calibri" w:hAnsi="Times New Roman" w:cs="Times New Roman"/>
                <w:sz w:val="20"/>
                <w:szCs w:val="20"/>
              </w:rPr>
              <w:t>-</w:t>
            </w:r>
          </w:p>
        </w:tc>
      </w:tr>
      <w:tr w:rsidR="002F47F3" w:rsidRPr="002F47F3" w14:paraId="40855912" w14:textId="77777777" w:rsidTr="00E63797">
        <w:trPr>
          <w:trHeight w:val="468"/>
          <w:jc w:val="center"/>
        </w:trPr>
        <w:tc>
          <w:tcPr>
            <w:tcW w:w="1550" w:type="dxa"/>
            <w:tcBorders>
              <w:top w:val="single" w:sz="4" w:space="0" w:color="auto"/>
              <w:left w:val="single" w:sz="4" w:space="0" w:color="auto"/>
              <w:bottom w:val="single" w:sz="4" w:space="0" w:color="auto"/>
              <w:right w:val="single" w:sz="4" w:space="0" w:color="auto"/>
            </w:tcBorders>
          </w:tcPr>
          <w:p w14:paraId="2F3D1F5A"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социально-трудовые отношения</w:t>
            </w:r>
          </w:p>
        </w:tc>
        <w:tc>
          <w:tcPr>
            <w:tcW w:w="373" w:type="dxa"/>
            <w:tcBorders>
              <w:top w:val="single" w:sz="4" w:space="0" w:color="auto"/>
              <w:left w:val="single" w:sz="4" w:space="0" w:color="auto"/>
              <w:bottom w:val="single" w:sz="4" w:space="0" w:color="auto"/>
              <w:right w:val="single" w:sz="4" w:space="0" w:color="auto"/>
            </w:tcBorders>
          </w:tcPr>
          <w:p w14:paraId="56E88A8C"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45" w:type="dxa"/>
            <w:tcBorders>
              <w:top w:val="single" w:sz="4" w:space="0" w:color="auto"/>
              <w:left w:val="single" w:sz="4" w:space="0" w:color="auto"/>
              <w:bottom w:val="single" w:sz="4" w:space="0" w:color="auto"/>
              <w:right w:val="single" w:sz="4" w:space="0" w:color="auto"/>
            </w:tcBorders>
          </w:tcPr>
          <w:p w14:paraId="3218084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27" w:type="dxa"/>
            <w:tcBorders>
              <w:top w:val="single" w:sz="4" w:space="0" w:color="auto"/>
              <w:left w:val="single" w:sz="4" w:space="0" w:color="auto"/>
              <w:bottom w:val="single" w:sz="4" w:space="0" w:color="auto"/>
              <w:right w:val="single" w:sz="4" w:space="0" w:color="auto"/>
            </w:tcBorders>
          </w:tcPr>
          <w:p w14:paraId="5F03844E"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64" w:type="dxa"/>
            <w:tcBorders>
              <w:top w:val="single" w:sz="4" w:space="0" w:color="auto"/>
              <w:left w:val="single" w:sz="4" w:space="0" w:color="auto"/>
              <w:bottom w:val="single" w:sz="4" w:space="0" w:color="auto"/>
              <w:right w:val="single" w:sz="4" w:space="0" w:color="auto"/>
            </w:tcBorders>
          </w:tcPr>
          <w:p w14:paraId="24F79ABA"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5" w:type="dxa"/>
            <w:tcBorders>
              <w:top w:val="single" w:sz="4" w:space="0" w:color="auto"/>
              <w:left w:val="single" w:sz="4" w:space="0" w:color="auto"/>
              <w:bottom w:val="single" w:sz="4" w:space="0" w:color="auto"/>
              <w:right w:val="single" w:sz="4" w:space="0" w:color="auto"/>
            </w:tcBorders>
          </w:tcPr>
          <w:p w14:paraId="49F784BF"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54" w:type="dxa"/>
            <w:tcBorders>
              <w:top w:val="single" w:sz="4" w:space="0" w:color="auto"/>
              <w:left w:val="single" w:sz="4" w:space="0" w:color="auto"/>
              <w:bottom w:val="single" w:sz="4" w:space="0" w:color="auto"/>
              <w:right w:val="single" w:sz="4" w:space="0" w:color="auto"/>
            </w:tcBorders>
          </w:tcPr>
          <w:p w14:paraId="37AC6F8D"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4" w:type="dxa"/>
            <w:tcBorders>
              <w:top w:val="single" w:sz="4" w:space="0" w:color="auto"/>
              <w:left w:val="single" w:sz="4" w:space="0" w:color="auto"/>
              <w:bottom w:val="single" w:sz="4" w:space="0" w:color="auto"/>
              <w:right w:val="single" w:sz="4" w:space="0" w:color="auto"/>
            </w:tcBorders>
          </w:tcPr>
          <w:p w14:paraId="6D4037BB"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tcPr>
          <w:p w14:paraId="53A6F406"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5" w:type="dxa"/>
            <w:tcBorders>
              <w:top w:val="single" w:sz="4" w:space="0" w:color="auto"/>
              <w:left w:val="single" w:sz="4" w:space="0" w:color="auto"/>
              <w:bottom w:val="single" w:sz="4" w:space="0" w:color="auto"/>
              <w:right w:val="single" w:sz="4" w:space="0" w:color="auto"/>
            </w:tcBorders>
          </w:tcPr>
          <w:p w14:paraId="46EC6405"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75C5E57C"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4401C5CD"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30E17C7"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EB2D9A7"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4E54A386"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20122CF0"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7452C42F"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263D267A"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2F9E346"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790BCD0"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26A83CDF"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1F341187"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c>
          <w:tcPr>
            <w:tcW w:w="356" w:type="dxa"/>
            <w:tcBorders>
              <w:top w:val="single" w:sz="4" w:space="0" w:color="auto"/>
              <w:left w:val="single" w:sz="4" w:space="0" w:color="auto"/>
              <w:bottom w:val="single" w:sz="4" w:space="0" w:color="auto"/>
              <w:right w:val="single" w:sz="4" w:space="0" w:color="auto"/>
            </w:tcBorders>
          </w:tcPr>
          <w:p w14:paraId="2B912BB4" w14:textId="77777777" w:rsidR="002F47F3" w:rsidRPr="00FF5FD8" w:rsidRDefault="002F47F3" w:rsidP="002F47F3">
            <w:pPr>
              <w:jc w:val="center"/>
              <w:rPr>
                <w:rFonts w:ascii="Times New Roman" w:hAnsi="Times New Roman" w:cs="Times New Roman"/>
                <w:sz w:val="20"/>
                <w:szCs w:val="20"/>
              </w:rPr>
            </w:pPr>
            <w:r w:rsidRPr="00FF5FD8">
              <w:rPr>
                <w:rFonts w:ascii="Times New Roman" w:hAnsi="Times New Roman" w:cs="Times New Roman"/>
                <w:sz w:val="20"/>
                <w:szCs w:val="20"/>
              </w:rPr>
              <w:t>1</w:t>
            </w:r>
          </w:p>
        </w:tc>
        <w:tc>
          <w:tcPr>
            <w:tcW w:w="356" w:type="dxa"/>
            <w:tcBorders>
              <w:top w:val="single" w:sz="4" w:space="0" w:color="auto"/>
              <w:left w:val="single" w:sz="4" w:space="0" w:color="auto"/>
              <w:bottom w:val="single" w:sz="4" w:space="0" w:color="auto"/>
              <w:right w:val="single" w:sz="4" w:space="0" w:color="auto"/>
            </w:tcBorders>
          </w:tcPr>
          <w:p w14:paraId="7B46730D"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1</w:t>
            </w:r>
          </w:p>
        </w:tc>
        <w:tc>
          <w:tcPr>
            <w:tcW w:w="363" w:type="dxa"/>
            <w:gridSpan w:val="2"/>
            <w:tcBorders>
              <w:top w:val="single" w:sz="4" w:space="0" w:color="auto"/>
              <w:left w:val="single" w:sz="4" w:space="0" w:color="auto"/>
              <w:bottom w:val="single" w:sz="4" w:space="0" w:color="auto"/>
              <w:right w:val="single" w:sz="4" w:space="0" w:color="auto"/>
            </w:tcBorders>
          </w:tcPr>
          <w:p w14:paraId="58B8B1AF" w14:textId="77777777" w:rsidR="002F47F3" w:rsidRPr="00FF5FD8" w:rsidRDefault="002F47F3" w:rsidP="002F47F3">
            <w:pPr>
              <w:jc w:val="center"/>
              <w:rPr>
                <w:rFonts w:ascii="Times New Roman" w:eastAsia="Calibri" w:hAnsi="Times New Roman" w:cs="Times New Roman"/>
                <w:sz w:val="20"/>
                <w:szCs w:val="20"/>
              </w:rPr>
            </w:pPr>
            <w:r w:rsidRPr="00FF5FD8">
              <w:rPr>
                <w:rFonts w:ascii="Times New Roman" w:eastAsia="Calibri" w:hAnsi="Times New Roman" w:cs="Times New Roman"/>
                <w:sz w:val="20"/>
                <w:szCs w:val="20"/>
              </w:rPr>
              <w:t>-</w:t>
            </w:r>
          </w:p>
        </w:tc>
      </w:tr>
      <w:tr w:rsidR="002F47F3" w:rsidRPr="002F47F3" w14:paraId="5EC69D1D" w14:textId="77777777" w:rsidTr="00E63797">
        <w:trPr>
          <w:trHeight w:val="133"/>
          <w:jc w:val="center"/>
        </w:trPr>
        <w:tc>
          <w:tcPr>
            <w:tcW w:w="1550" w:type="dxa"/>
            <w:tcBorders>
              <w:top w:val="single" w:sz="4" w:space="0" w:color="auto"/>
              <w:left w:val="single" w:sz="4" w:space="0" w:color="auto"/>
              <w:bottom w:val="single" w:sz="4" w:space="0" w:color="auto"/>
              <w:right w:val="single" w:sz="4" w:space="0" w:color="auto"/>
            </w:tcBorders>
            <w:hideMark/>
          </w:tcPr>
          <w:p w14:paraId="56B6E0DA" w14:textId="77777777" w:rsidR="002F47F3" w:rsidRPr="002F47F3" w:rsidRDefault="002F47F3" w:rsidP="002F47F3">
            <w:pPr>
              <w:rPr>
                <w:rFonts w:ascii="Times New Roman" w:eastAsia="Calibri" w:hAnsi="Times New Roman" w:cs="Times New Roman"/>
                <w:sz w:val="20"/>
                <w:szCs w:val="20"/>
              </w:rPr>
            </w:pPr>
            <w:r w:rsidRPr="002F47F3">
              <w:rPr>
                <w:rFonts w:ascii="Times New Roman" w:eastAsia="Calibri" w:hAnsi="Times New Roman" w:cs="Times New Roman"/>
                <w:sz w:val="20"/>
                <w:szCs w:val="20"/>
              </w:rPr>
              <w:t>иное</w:t>
            </w:r>
          </w:p>
        </w:tc>
        <w:tc>
          <w:tcPr>
            <w:tcW w:w="373" w:type="dxa"/>
            <w:tcBorders>
              <w:top w:val="single" w:sz="4" w:space="0" w:color="auto"/>
              <w:left w:val="single" w:sz="4" w:space="0" w:color="auto"/>
              <w:bottom w:val="single" w:sz="4" w:space="0" w:color="auto"/>
              <w:right w:val="single" w:sz="4" w:space="0" w:color="auto"/>
            </w:tcBorders>
            <w:hideMark/>
          </w:tcPr>
          <w:p w14:paraId="40DCF8D1"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45" w:type="dxa"/>
            <w:tcBorders>
              <w:top w:val="single" w:sz="4" w:space="0" w:color="auto"/>
              <w:left w:val="single" w:sz="4" w:space="0" w:color="auto"/>
              <w:bottom w:val="single" w:sz="4" w:space="0" w:color="auto"/>
              <w:right w:val="single" w:sz="4" w:space="0" w:color="auto"/>
            </w:tcBorders>
            <w:hideMark/>
          </w:tcPr>
          <w:p w14:paraId="784239CC" w14:textId="77777777" w:rsidR="002F47F3" w:rsidRPr="002F47F3" w:rsidRDefault="002F47F3" w:rsidP="002F47F3">
            <w:pPr>
              <w:jc w:val="center"/>
            </w:pPr>
            <w:r w:rsidRPr="002F47F3">
              <w:t>-</w:t>
            </w:r>
          </w:p>
        </w:tc>
        <w:tc>
          <w:tcPr>
            <w:tcW w:w="327" w:type="dxa"/>
            <w:tcBorders>
              <w:top w:val="single" w:sz="4" w:space="0" w:color="auto"/>
              <w:left w:val="single" w:sz="4" w:space="0" w:color="auto"/>
              <w:bottom w:val="single" w:sz="4" w:space="0" w:color="auto"/>
              <w:right w:val="single" w:sz="4" w:space="0" w:color="auto"/>
            </w:tcBorders>
            <w:hideMark/>
          </w:tcPr>
          <w:p w14:paraId="1FB03914"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64" w:type="dxa"/>
            <w:tcBorders>
              <w:top w:val="single" w:sz="4" w:space="0" w:color="auto"/>
              <w:left w:val="single" w:sz="4" w:space="0" w:color="auto"/>
              <w:bottom w:val="single" w:sz="4" w:space="0" w:color="auto"/>
              <w:right w:val="single" w:sz="4" w:space="0" w:color="auto"/>
            </w:tcBorders>
            <w:hideMark/>
          </w:tcPr>
          <w:p w14:paraId="468A7262" w14:textId="77777777" w:rsidR="002F47F3" w:rsidRPr="002F47F3" w:rsidRDefault="002F47F3" w:rsidP="002F47F3">
            <w:pPr>
              <w:jc w:val="center"/>
            </w:pPr>
            <w:r w:rsidRPr="002F47F3">
              <w:t>-</w:t>
            </w:r>
          </w:p>
        </w:tc>
        <w:tc>
          <w:tcPr>
            <w:tcW w:w="355" w:type="dxa"/>
            <w:tcBorders>
              <w:top w:val="single" w:sz="4" w:space="0" w:color="auto"/>
              <w:left w:val="single" w:sz="4" w:space="0" w:color="auto"/>
              <w:bottom w:val="single" w:sz="4" w:space="0" w:color="auto"/>
              <w:right w:val="single" w:sz="4" w:space="0" w:color="auto"/>
            </w:tcBorders>
            <w:hideMark/>
          </w:tcPr>
          <w:p w14:paraId="4852E355"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54" w:type="dxa"/>
            <w:tcBorders>
              <w:top w:val="single" w:sz="4" w:space="0" w:color="auto"/>
              <w:left w:val="single" w:sz="4" w:space="0" w:color="auto"/>
              <w:bottom w:val="single" w:sz="4" w:space="0" w:color="auto"/>
              <w:right w:val="single" w:sz="4" w:space="0" w:color="auto"/>
            </w:tcBorders>
            <w:hideMark/>
          </w:tcPr>
          <w:p w14:paraId="2EE80387" w14:textId="77777777" w:rsidR="002F47F3" w:rsidRPr="002F47F3" w:rsidRDefault="002F47F3" w:rsidP="002F47F3">
            <w:pPr>
              <w:jc w:val="center"/>
            </w:pPr>
            <w:r w:rsidRPr="002F47F3">
              <w:t>-</w:t>
            </w:r>
          </w:p>
        </w:tc>
        <w:tc>
          <w:tcPr>
            <w:tcW w:w="354" w:type="dxa"/>
            <w:tcBorders>
              <w:top w:val="single" w:sz="4" w:space="0" w:color="auto"/>
              <w:left w:val="single" w:sz="4" w:space="0" w:color="auto"/>
              <w:bottom w:val="single" w:sz="4" w:space="0" w:color="auto"/>
              <w:right w:val="single" w:sz="4" w:space="0" w:color="auto"/>
            </w:tcBorders>
            <w:hideMark/>
          </w:tcPr>
          <w:p w14:paraId="15DC2F1B" w14:textId="77777777" w:rsidR="002F47F3" w:rsidRPr="002F47F3" w:rsidRDefault="002F47F3" w:rsidP="002F47F3">
            <w:pPr>
              <w:jc w:val="center"/>
            </w:pPr>
            <w:r w:rsidRPr="002F47F3">
              <w:rPr>
                <w:rFonts w:ascii="Times New Roman" w:eastAsia="Calibri" w:hAnsi="Times New Roman" w:cs="Times New Roman"/>
              </w:rPr>
              <w:t>-</w:t>
            </w:r>
          </w:p>
        </w:tc>
        <w:tc>
          <w:tcPr>
            <w:tcW w:w="355" w:type="dxa"/>
            <w:tcBorders>
              <w:top w:val="single" w:sz="4" w:space="0" w:color="auto"/>
              <w:left w:val="single" w:sz="4" w:space="0" w:color="auto"/>
              <w:bottom w:val="single" w:sz="4" w:space="0" w:color="auto"/>
              <w:right w:val="single" w:sz="4" w:space="0" w:color="auto"/>
            </w:tcBorders>
            <w:hideMark/>
          </w:tcPr>
          <w:p w14:paraId="3B07E937" w14:textId="77777777" w:rsidR="002F47F3" w:rsidRPr="002F47F3" w:rsidRDefault="002F47F3" w:rsidP="002F47F3">
            <w:pPr>
              <w:jc w:val="center"/>
            </w:pPr>
            <w:r w:rsidRPr="002F47F3">
              <w:rPr>
                <w:rFonts w:ascii="Times New Roman" w:eastAsia="Calibri" w:hAnsi="Times New Roman" w:cs="Times New Roman"/>
              </w:rPr>
              <w:t>-</w:t>
            </w:r>
          </w:p>
        </w:tc>
        <w:tc>
          <w:tcPr>
            <w:tcW w:w="355" w:type="dxa"/>
            <w:tcBorders>
              <w:top w:val="single" w:sz="4" w:space="0" w:color="auto"/>
              <w:left w:val="single" w:sz="4" w:space="0" w:color="auto"/>
              <w:bottom w:val="single" w:sz="4" w:space="0" w:color="auto"/>
              <w:right w:val="single" w:sz="4" w:space="0" w:color="auto"/>
            </w:tcBorders>
            <w:hideMark/>
          </w:tcPr>
          <w:p w14:paraId="398AA49E"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16DA1FBC"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49003D12"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2933CA36"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42E137F5" w14:textId="77777777" w:rsidR="002F47F3" w:rsidRPr="002F47F3" w:rsidRDefault="002F47F3" w:rsidP="002F47F3">
            <w:pPr>
              <w:jc w:val="center"/>
            </w:pPr>
            <w:r w:rsidRPr="002F47F3">
              <w:rPr>
                <w:rFonts w:ascii="Times New Roman" w:eastAsia="Calibri" w:hAnsi="Times New Roman" w:cs="Times New Roman"/>
              </w:rPr>
              <w:t>-</w:t>
            </w:r>
          </w:p>
        </w:tc>
        <w:tc>
          <w:tcPr>
            <w:tcW w:w="356" w:type="dxa"/>
            <w:tcBorders>
              <w:top w:val="single" w:sz="4" w:space="0" w:color="auto"/>
              <w:left w:val="single" w:sz="4" w:space="0" w:color="auto"/>
              <w:bottom w:val="single" w:sz="4" w:space="0" w:color="auto"/>
              <w:right w:val="single" w:sz="4" w:space="0" w:color="auto"/>
            </w:tcBorders>
            <w:hideMark/>
          </w:tcPr>
          <w:p w14:paraId="552C90A3" w14:textId="77777777" w:rsidR="002F47F3" w:rsidRPr="002F47F3" w:rsidRDefault="002F47F3" w:rsidP="002F47F3">
            <w:pPr>
              <w:jc w:val="center"/>
            </w:pPr>
            <w:r w:rsidRPr="002F47F3">
              <w:rPr>
                <w:rFonts w:ascii="Times New Roman" w:eastAsia="Calibri" w:hAnsi="Times New Roman" w:cs="Times New Roman"/>
              </w:rPr>
              <w:t>-</w:t>
            </w:r>
          </w:p>
        </w:tc>
        <w:tc>
          <w:tcPr>
            <w:tcW w:w="356" w:type="dxa"/>
            <w:tcBorders>
              <w:top w:val="single" w:sz="4" w:space="0" w:color="auto"/>
              <w:left w:val="single" w:sz="4" w:space="0" w:color="auto"/>
              <w:bottom w:val="single" w:sz="4" w:space="0" w:color="auto"/>
              <w:right w:val="single" w:sz="4" w:space="0" w:color="auto"/>
            </w:tcBorders>
            <w:hideMark/>
          </w:tcPr>
          <w:p w14:paraId="29B5A6DE"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38CF4A79"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0368C3CD"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652C39A8"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6CACC5FC"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56" w:type="dxa"/>
            <w:tcBorders>
              <w:top w:val="single" w:sz="4" w:space="0" w:color="auto"/>
              <w:left w:val="single" w:sz="4" w:space="0" w:color="auto"/>
              <w:bottom w:val="single" w:sz="4" w:space="0" w:color="auto"/>
              <w:right w:val="single" w:sz="4" w:space="0" w:color="auto"/>
            </w:tcBorders>
            <w:hideMark/>
          </w:tcPr>
          <w:p w14:paraId="3B343A3A" w14:textId="77777777" w:rsidR="002F47F3" w:rsidRPr="002F47F3" w:rsidRDefault="002F47F3" w:rsidP="002F47F3">
            <w:pPr>
              <w:jc w:val="center"/>
            </w:pPr>
            <w:r w:rsidRPr="002F47F3">
              <w:rPr>
                <w:rFonts w:ascii="Times New Roman" w:eastAsia="Calibri" w:hAnsi="Times New Roman" w:cs="Times New Roman"/>
              </w:rPr>
              <w:t>-</w:t>
            </w:r>
          </w:p>
        </w:tc>
        <w:tc>
          <w:tcPr>
            <w:tcW w:w="356" w:type="dxa"/>
            <w:tcBorders>
              <w:top w:val="single" w:sz="4" w:space="0" w:color="auto"/>
              <w:left w:val="single" w:sz="4" w:space="0" w:color="auto"/>
              <w:bottom w:val="single" w:sz="4" w:space="0" w:color="auto"/>
              <w:right w:val="single" w:sz="4" w:space="0" w:color="auto"/>
            </w:tcBorders>
            <w:hideMark/>
          </w:tcPr>
          <w:p w14:paraId="5DAA8947"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56" w:type="dxa"/>
            <w:tcBorders>
              <w:top w:val="single" w:sz="4" w:space="0" w:color="auto"/>
              <w:left w:val="single" w:sz="4" w:space="0" w:color="auto"/>
              <w:bottom w:val="single" w:sz="4" w:space="0" w:color="auto"/>
              <w:right w:val="single" w:sz="4" w:space="0" w:color="auto"/>
            </w:tcBorders>
            <w:hideMark/>
          </w:tcPr>
          <w:p w14:paraId="72614A32" w14:textId="77777777" w:rsidR="002F47F3" w:rsidRPr="002F47F3" w:rsidRDefault="002F47F3" w:rsidP="002F47F3">
            <w:pPr>
              <w:jc w:val="center"/>
            </w:pPr>
            <w:r w:rsidRPr="002F47F3">
              <w:t>-</w:t>
            </w:r>
          </w:p>
        </w:tc>
        <w:tc>
          <w:tcPr>
            <w:tcW w:w="356" w:type="dxa"/>
            <w:tcBorders>
              <w:top w:val="single" w:sz="4" w:space="0" w:color="auto"/>
              <w:left w:val="single" w:sz="4" w:space="0" w:color="auto"/>
              <w:bottom w:val="single" w:sz="4" w:space="0" w:color="auto"/>
              <w:right w:val="single" w:sz="4" w:space="0" w:color="auto"/>
            </w:tcBorders>
            <w:hideMark/>
          </w:tcPr>
          <w:p w14:paraId="19686577" w14:textId="77777777" w:rsidR="002F47F3" w:rsidRPr="002F47F3" w:rsidRDefault="002F47F3" w:rsidP="002F47F3">
            <w:pPr>
              <w:jc w:val="center"/>
              <w:rPr>
                <w:rFonts w:ascii="Times New Roman" w:eastAsia="Calibri" w:hAnsi="Times New Roman" w:cs="Times New Roman"/>
              </w:rPr>
            </w:pPr>
            <w:r w:rsidRPr="002F47F3">
              <w:rPr>
                <w:rFonts w:ascii="Times New Roman" w:eastAsia="Calibri" w:hAnsi="Times New Roman" w:cs="Times New Roman"/>
              </w:rPr>
              <w:t>-</w:t>
            </w:r>
          </w:p>
        </w:tc>
        <w:tc>
          <w:tcPr>
            <w:tcW w:w="363" w:type="dxa"/>
            <w:gridSpan w:val="2"/>
            <w:tcBorders>
              <w:top w:val="single" w:sz="4" w:space="0" w:color="auto"/>
              <w:left w:val="single" w:sz="4" w:space="0" w:color="auto"/>
              <w:bottom w:val="single" w:sz="4" w:space="0" w:color="auto"/>
              <w:right w:val="single" w:sz="4" w:space="0" w:color="auto"/>
            </w:tcBorders>
            <w:hideMark/>
          </w:tcPr>
          <w:p w14:paraId="55093F1A" w14:textId="77777777" w:rsidR="002F47F3" w:rsidRPr="002F47F3" w:rsidRDefault="002F47F3" w:rsidP="002F47F3">
            <w:pPr>
              <w:jc w:val="center"/>
            </w:pPr>
            <w:r w:rsidRPr="002F47F3">
              <w:t>-</w:t>
            </w:r>
          </w:p>
        </w:tc>
      </w:tr>
    </w:tbl>
    <w:p w14:paraId="0486451E"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p>
    <w:p w14:paraId="2970D109"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1.10 Состояние платежной дисциплины и инвестиционной политики </w:t>
      </w:r>
      <w:r w:rsidRPr="002F47F3">
        <w:rPr>
          <w:rFonts w:ascii="Times New Roman" w:hAnsi="Times New Roman" w:cs="Times New Roman"/>
          <w:i/>
          <w:iCs/>
          <w:sz w:val="26"/>
          <w:szCs w:val="26"/>
        </w:rPr>
        <w:br/>
        <w:t xml:space="preserve">в жилищно-коммунальном комплексе, в том числе в соответствии с </w:t>
      </w:r>
      <w:hyperlink w:anchor="Par371" w:history="1">
        <w:r w:rsidRPr="002F47F3">
          <w:rPr>
            <w:rFonts w:ascii="Times New Roman" w:hAnsi="Times New Roman" w:cs="Times New Roman"/>
            <w:i/>
            <w:iCs/>
            <w:sz w:val="26"/>
            <w:szCs w:val="26"/>
          </w:rPr>
          <w:t>таблицей 3</w:t>
        </w:r>
      </w:hyperlink>
      <w:r w:rsidRPr="002F47F3">
        <w:rPr>
          <w:rFonts w:ascii="Times New Roman" w:hAnsi="Times New Roman" w:cs="Times New Roman"/>
          <w:i/>
          <w:iCs/>
          <w:sz w:val="26"/>
          <w:szCs w:val="26"/>
        </w:rPr>
        <w:t xml:space="preserve">. </w:t>
      </w:r>
    </w:p>
    <w:p w14:paraId="68101ED5"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 2023 году поступило 19 обращений от жителей Нефтеюганского района по вопросам тарифов на жилищно-коммунальные услуги и начисления платы за жилищно-коммунальные услуги. На все обращения направлены ответы заявителям в срок. </w:t>
      </w:r>
    </w:p>
    <w:p w14:paraId="4D7BC60B"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На официальном сайте органов местного самоуправления Нефтеюганского района ежегодно размещается: </w:t>
      </w:r>
    </w:p>
    <w:p w14:paraId="206966B8"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информация о доступных способах дистанционного внесения платы за жилое помещение и коммунальные услуги для граждан городского и сельских поселений Нефтеюганского района; </w:t>
      </w:r>
    </w:p>
    <w:p w14:paraId="069668B4"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lastRenderedPageBreak/>
        <w:t xml:space="preserve">- информация о тарифах на коммунальные услуги для населения Нефтеюганского района; </w:t>
      </w:r>
    </w:p>
    <w:p w14:paraId="533B7C49"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информация по вопросам ценообразования, формирования тарифов и порядка расчета платы за коммунальные услуги и услуги, касающиеся обслуживания жилищного фонда; </w:t>
      </w:r>
    </w:p>
    <w:p w14:paraId="2C1BCD85"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информация о проведении акций ресурсоснабжающими организациями по списанию пени при полном погашении задолженности за коммунальные услуги, а также об акции «Коммунальные каникулы» или как оформить рассрочку по долгам за коммунальные услуги;</w:t>
      </w:r>
    </w:p>
    <w:p w14:paraId="41A8285B"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информация о порядке предоставления отдельным категориям граждан компенсации расходов на оплату жилого помещения и коммунальных услуг.</w:t>
      </w:r>
    </w:p>
    <w:p w14:paraId="6B20F802"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На канале «Телекомпания Седьмой канал» ООО ТРК «Сибирь» ежегодно выходят новостные сюжеты о задолженности населения Нефтеюганского района и работе Службы судебных приставов на территории Нефтеюганского района.</w:t>
      </w:r>
    </w:p>
    <w:p w14:paraId="6AD75378"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 состоянию на 01 января 2024 года средний уровень собираемости платежей населения за жилищно-коммунальные услуги по Нефтеюганскому району составил 99,0% (без учета электроэнергии, услуг по обращению с твердыми коммунальными услугами, взносов на капитальный ремонт), что на 0,3% выше к уровню 2022 году (на 01 января 2023 года 98,7%). </w:t>
      </w:r>
    </w:p>
    <w:p w14:paraId="61AA0E6A"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Администрацией Нефтеюганского района и предприятиями жилищно-коммунального хозяйства, регулярно проводится разъяснительная работа о необходимости своевременной оплаты за жилищно-коммунальные услуги. Рассматриваются вопросы задолженности за жилищно-коммунальные услуги населения, учреждений и предприятий за топливно-энергетические ресурсы на заседаниях Общественного совета по вопросам жилищно-коммунального хозяйства и дорожной деятельности, рабочих совещаниях с представителями службы судебных приставов по г.Нефтеюганску и Нефтеюганскому району, Советах Глав Нефтеюганского района. Предприятиями жилищно-коммунального хозяйства ежегодно проводятся акции по списанию пени: «Весна без долгов», «Лето без долгов», «Новый год без долгов».</w:t>
      </w:r>
    </w:p>
    <w:p w14:paraId="53F7E108"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sz w:val="26"/>
          <w:szCs w:val="26"/>
        </w:rPr>
      </w:pPr>
    </w:p>
    <w:p w14:paraId="496D2D53" w14:textId="77777777" w:rsidR="006804C1" w:rsidRDefault="006804C1" w:rsidP="002F47F3">
      <w:pPr>
        <w:autoSpaceDE w:val="0"/>
        <w:autoSpaceDN w:val="0"/>
        <w:adjustRightInd w:val="0"/>
        <w:spacing w:after="0" w:line="240" w:lineRule="auto"/>
        <w:ind w:firstLine="709"/>
        <w:jc w:val="right"/>
        <w:rPr>
          <w:rFonts w:ascii="Times New Roman" w:hAnsi="Times New Roman" w:cs="Times New Roman"/>
          <w:sz w:val="24"/>
          <w:szCs w:val="24"/>
        </w:rPr>
      </w:pPr>
    </w:p>
    <w:p w14:paraId="55047C52" w14:textId="6D3E1149" w:rsidR="002F47F3" w:rsidRPr="002F47F3" w:rsidRDefault="002F47F3" w:rsidP="002F47F3">
      <w:pPr>
        <w:autoSpaceDE w:val="0"/>
        <w:autoSpaceDN w:val="0"/>
        <w:adjustRightInd w:val="0"/>
        <w:spacing w:after="0" w:line="240" w:lineRule="auto"/>
        <w:ind w:firstLine="709"/>
        <w:jc w:val="right"/>
        <w:rPr>
          <w:rFonts w:ascii="Times New Roman" w:hAnsi="Times New Roman" w:cs="Times New Roman"/>
          <w:sz w:val="24"/>
          <w:szCs w:val="24"/>
        </w:rPr>
      </w:pPr>
      <w:r w:rsidRPr="002F47F3">
        <w:rPr>
          <w:rFonts w:ascii="Times New Roman" w:hAnsi="Times New Roman" w:cs="Times New Roman"/>
          <w:sz w:val="24"/>
          <w:szCs w:val="24"/>
        </w:rPr>
        <w:t>Таблица 3</w:t>
      </w:r>
    </w:p>
    <w:p w14:paraId="28224715"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sz w:val="24"/>
          <w:szCs w:val="24"/>
        </w:rPr>
      </w:pPr>
    </w:p>
    <w:p w14:paraId="460DBCAE"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Состояние платежной дисциплины и инвестиционной</w:t>
      </w:r>
    </w:p>
    <w:p w14:paraId="180C4710"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политики в жилищно-коммунальном комплексе</w:t>
      </w:r>
    </w:p>
    <w:p w14:paraId="2A0F0136"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муниципального образования Нефтеюганский район</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3"/>
        <w:gridCol w:w="788"/>
        <w:gridCol w:w="709"/>
        <w:gridCol w:w="709"/>
        <w:gridCol w:w="851"/>
        <w:gridCol w:w="851"/>
        <w:gridCol w:w="850"/>
        <w:gridCol w:w="970"/>
        <w:gridCol w:w="872"/>
      </w:tblGrid>
      <w:tr w:rsidR="002F47F3" w:rsidRPr="002F47F3" w14:paraId="5E400E60" w14:textId="77777777" w:rsidTr="00E63797">
        <w:trPr>
          <w:trHeight w:val="615"/>
          <w:tblHeader/>
          <w:jc w:val="center"/>
        </w:trPr>
        <w:tc>
          <w:tcPr>
            <w:tcW w:w="567" w:type="dxa"/>
            <w:vAlign w:val="center"/>
            <w:hideMark/>
          </w:tcPr>
          <w:p w14:paraId="657216C5"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N п/п</w:t>
            </w:r>
          </w:p>
        </w:tc>
        <w:tc>
          <w:tcPr>
            <w:tcW w:w="2703" w:type="dxa"/>
            <w:vAlign w:val="center"/>
            <w:hideMark/>
          </w:tcPr>
          <w:p w14:paraId="64E06F50"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Наименование показателя</w:t>
            </w:r>
          </w:p>
        </w:tc>
        <w:tc>
          <w:tcPr>
            <w:tcW w:w="788" w:type="dxa"/>
            <w:vAlign w:val="center"/>
            <w:hideMark/>
          </w:tcPr>
          <w:p w14:paraId="111B318C"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Единица измерения</w:t>
            </w:r>
          </w:p>
        </w:tc>
        <w:tc>
          <w:tcPr>
            <w:tcW w:w="709" w:type="dxa"/>
            <w:vAlign w:val="center"/>
            <w:hideMark/>
          </w:tcPr>
          <w:p w14:paraId="5B488766"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2020</w:t>
            </w:r>
          </w:p>
        </w:tc>
        <w:tc>
          <w:tcPr>
            <w:tcW w:w="709" w:type="dxa"/>
            <w:vAlign w:val="center"/>
            <w:hideMark/>
          </w:tcPr>
          <w:p w14:paraId="087F2F19"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2021</w:t>
            </w:r>
          </w:p>
        </w:tc>
        <w:tc>
          <w:tcPr>
            <w:tcW w:w="851" w:type="dxa"/>
            <w:vAlign w:val="center"/>
            <w:hideMark/>
          </w:tcPr>
          <w:p w14:paraId="123E79CC"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2022</w:t>
            </w:r>
          </w:p>
        </w:tc>
        <w:tc>
          <w:tcPr>
            <w:tcW w:w="851" w:type="dxa"/>
            <w:vAlign w:val="center"/>
            <w:hideMark/>
          </w:tcPr>
          <w:p w14:paraId="01D344EE"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2023</w:t>
            </w:r>
          </w:p>
        </w:tc>
        <w:tc>
          <w:tcPr>
            <w:tcW w:w="850" w:type="dxa"/>
            <w:vAlign w:val="center"/>
            <w:hideMark/>
          </w:tcPr>
          <w:p w14:paraId="21080C52"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2024</w:t>
            </w:r>
          </w:p>
        </w:tc>
        <w:tc>
          <w:tcPr>
            <w:tcW w:w="970" w:type="dxa"/>
            <w:vAlign w:val="center"/>
            <w:hideMark/>
          </w:tcPr>
          <w:p w14:paraId="4CCD5F90"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2025</w:t>
            </w:r>
          </w:p>
        </w:tc>
        <w:tc>
          <w:tcPr>
            <w:tcW w:w="872" w:type="dxa"/>
            <w:vAlign w:val="center"/>
          </w:tcPr>
          <w:p w14:paraId="7DD7E383"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2026</w:t>
            </w:r>
          </w:p>
        </w:tc>
      </w:tr>
      <w:tr w:rsidR="002F47F3" w:rsidRPr="002F47F3" w14:paraId="11E0E298" w14:textId="77777777" w:rsidTr="00E63797">
        <w:trPr>
          <w:trHeight w:val="1256"/>
          <w:jc w:val="center"/>
        </w:trPr>
        <w:tc>
          <w:tcPr>
            <w:tcW w:w="567" w:type="dxa"/>
            <w:vAlign w:val="center"/>
            <w:hideMark/>
          </w:tcPr>
          <w:p w14:paraId="5A746765"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w:t>
            </w:r>
          </w:p>
        </w:tc>
        <w:tc>
          <w:tcPr>
            <w:tcW w:w="2703" w:type="dxa"/>
            <w:vAlign w:val="center"/>
            <w:hideMark/>
          </w:tcPr>
          <w:p w14:paraId="3EAF6475" w14:textId="77777777" w:rsidR="002F47F3" w:rsidRPr="002F47F3" w:rsidRDefault="00122683" w:rsidP="002F47F3">
            <w:pPr>
              <w:spacing w:after="0" w:line="240" w:lineRule="auto"/>
              <w:rPr>
                <w:rFonts w:ascii="Times New Roman" w:eastAsia="Times New Roman" w:hAnsi="Times New Roman" w:cs="Times New Roman"/>
                <w:lang w:eastAsia="ru-RU"/>
              </w:rPr>
            </w:pPr>
            <w:hyperlink r:id="rId9" w:anchor="RANGE!P903" w:history="1">
              <w:r w:rsidR="002F47F3" w:rsidRPr="002F47F3">
                <w:rPr>
                  <w:rFonts w:ascii="Times New Roman" w:eastAsia="Times New Roman" w:hAnsi="Times New Roman" w:cs="Times New Roman"/>
                  <w:lang w:eastAsia="ru-RU"/>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w:t>
              </w:r>
              <w:r w:rsidR="002F47F3" w:rsidRPr="002F47F3">
                <w:rPr>
                  <w:rFonts w:ascii="Times New Roman" w:eastAsia="Times New Roman" w:hAnsi="Times New Roman" w:cs="Times New Roman"/>
                  <w:lang w:eastAsia="ru-RU"/>
                </w:rPr>
                <w:lastRenderedPageBreak/>
                <w:t xml:space="preserve">комплекса, перед поставщиками ресурсов в общем объеме данной задолженности </w:t>
              </w:r>
            </w:hyperlink>
          </w:p>
        </w:tc>
        <w:tc>
          <w:tcPr>
            <w:tcW w:w="788" w:type="dxa"/>
            <w:vAlign w:val="center"/>
            <w:hideMark/>
          </w:tcPr>
          <w:p w14:paraId="69ADC361"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lastRenderedPageBreak/>
              <w:t>процентов</w:t>
            </w:r>
          </w:p>
        </w:tc>
        <w:tc>
          <w:tcPr>
            <w:tcW w:w="709" w:type="dxa"/>
            <w:vAlign w:val="center"/>
            <w:hideMark/>
          </w:tcPr>
          <w:p w14:paraId="4A2D4923"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709" w:type="dxa"/>
            <w:vAlign w:val="center"/>
            <w:hideMark/>
          </w:tcPr>
          <w:p w14:paraId="465BA8F1"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851" w:type="dxa"/>
            <w:vAlign w:val="center"/>
            <w:hideMark/>
          </w:tcPr>
          <w:p w14:paraId="456D0E9A"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851" w:type="dxa"/>
            <w:vAlign w:val="center"/>
            <w:hideMark/>
          </w:tcPr>
          <w:p w14:paraId="03D5F6C0"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850" w:type="dxa"/>
            <w:vAlign w:val="center"/>
            <w:hideMark/>
          </w:tcPr>
          <w:p w14:paraId="4267DE32"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970" w:type="dxa"/>
            <w:vAlign w:val="center"/>
            <w:hideMark/>
          </w:tcPr>
          <w:p w14:paraId="25C3F1B7"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c>
          <w:tcPr>
            <w:tcW w:w="872" w:type="dxa"/>
            <w:vAlign w:val="center"/>
          </w:tcPr>
          <w:p w14:paraId="691CD33E"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0</w:t>
            </w:r>
          </w:p>
        </w:tc>
      </w:tr>
      <w:tr w:rsidR="002F47F3" w:rsidRPr="002F47F3" w14:paraId="38AF2CF2" w14:textId="77777777" w:rsidTr="00E63797">
        <w:trPr>
          <w:trHeight w:val="843"/>
          <w:jc w:val="center"/>
        </w:trPr>
        <w:tc>
          <w:tcPr>
            <w:tcW w:w="567" w:type="dxa"/>
            <w:vAlign w:val="center"/>
            <w:hideMark/>
          </w:tcPr>
          <w:p w14:paraId="7B61985D"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2.</w:t>
            </w:r>
          </w:p>
        </w:tc>
        <w:tc>
          <w:tcPr>
            <w:tcW w:w="2703" w:type="dxa"/>
            <w:vAlign w:val="center"/>
            <w:hideMark/>
          </w:tcPr>
          <w:p w14:paraId="6A1F1BFF" w14:textId="77777777" w:rsidR="002F47F3" w:rsidRPr="002F47F3" w:rsidRDefault="00122683" w:rsidP="002F47F3">
            <w:pPr>
              <w:spacing w:after="0" w:line="240" w:lineRule="auto"/>
              <w:rPr>
                <w:rFonts w:ascii="Times New Roman" w:eastAsia="Times New Roman" w:hAnsi="Times New Roman" w:cs="Times New Roman"/>
                <w:lang w:eastAsia="ru-RU"/>
              </w:rPr>
            </w:pPr>
            <w:hyperlink r:id="rId10" w:anchor="RANGE!P906" w:history="1">
              <w:r w:rsidR="002F47F3" w:rsidRPr="002F47F3">
                <w:rPr>
                  <w:rFonts w:ascii="Times New Roman" w:eastAsia="Times New Roman" w:hAnsi="Times New Roman" w:cs="Times New Roman"/>
                  <w:lang w:eastAsia="ru-RU"/>
                </w:rPr>
                <w:t xml:space="preserve">Фактический уровень собираемости взносов на капитальный ремонт общего имущества многоквартирных домов за отчетный период </w:t>
              </w:r>
            </w:hyperlink>
          </w:p>
        </w:tc>
        <w:tc>
          <w:tcPr>
            <w:tcW w:w="788" w:type="dxa"/>
            <w:vAlign w:val="center"/>
            <w:hideMark/>
          </w:tcPr>
          <w:p w14:paraId="4681FB59" w14:textId="77777777" w:rsidR="002F47F3" w:rsidRPr="002F47F3" w:rsidRDefault="002F47F3" w:rsidP="002F47F3">
            <w:pPr>
              <w:spacing w:after="0" w:line="240" w:lineRule="auto"/>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процентов</w:t>
            </w:r>
          </w:p>
        </w:tc>
        <w:tc>
          <w:tcPr>
            <w:tcW w:w="709" w:type="dxa"/>
            <w:vAlign w:val="center"/>
          </w:tcPr>
          <w:p w14:paraId="03946CE3" w14:textId="77777777" w:rsidR="002F47F3" w:rsidRPr="002F47F3" w:rsidRDefault="002F47F3" w:rsidP="00C901B7">
            <w:pPr>
              <w:spacing w:after="0" w:line="240" w:lineRule="auto"/>
              <w:ind w:left="-58"/>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113,7</w:t>
            </w:r>
          </w:p>
        </w:tc>
        <w:tc>
          <w:tcPr>
            <w:tcW w:w="709" w:type="dxa"/>
            <w:vAlign w:val="center"/>
          </w:tcPr>
          <w:p w14:paraId="7021F4FD"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99,1</w:t>
            </w:r>
          </w:p>
        </w:tc>
        <w:tc>
          <w:tcPr>
            <w:tcW w:w="851" w:type="dxa"/>
            <w:vAlign w:val="center"/>
          </w:tcPr>
          <w:p w14:paraId="61C07469"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102,94</w:t>
            </w:r>
          </w:p>
        </w:tc>
        <w:tc>
          <w:tcPr>
            <w:tcW w:w="851" w:type="dxa"/>
            <w:vAlign w:val="center"/>
          </w:tcPr>
          <w:p w14:paraId="2F3ECC91"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100,7</w:t>
            </w:r>
          </w:p>
        </w:tc>
        <w:tc>
          <w:tcPr>
            <w:tcW w:w="850" w:type="dxa"/>
            <w:vAlign w:val="center"/>
            <w:hideMark/>
          </w:tcPr>
          <w:p w14:paraId="173AAA26"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100,00</w:t>
            </w:r>
          </w:p>
        </w:tc>
        <w:tc>
          <w:tcPr>
            <w:tcW w:w="970" w:type="dxa"/>
            <w:vAlign w:val="center"/>
            <w:hideMark/>
          </w:tcPr>
          <w:p w14:paraId="409E349E"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100,00</w:t>
            </w:r>
          </w:p>
        </w:tc>
        <w:tc>
          <w:tcPr>
            <w:tcW w:w="872" w:type="dxa"/>
            <w:vAlign w:val="center"/>
          </w:tcPr>
          <w:p w14:paraId="10556FD0"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100,00</w:t>
            </w:r>
          </w:p>
        </w:tc>
      </w:tr>
      <w:tr w:rsidR="002F47F3" w:rsidRPr="002F47F3" w14:paraId="5A7C9338" w14:textId="77777777" w:rsidTr="00600B72">
        <w:trPr>
          <w:cantSplit/>
          <w:trHeight w:val="2395"/>
          <w:jc w:val="center"/>
        </w:trPr>
        <w:tc>
          <w:tcPr>
            <w:tcW w:w="567" w:type="dxa"/>
            <w:vAlign w:val="center"/>
            <w:hideMark/>
          </w:tcPr>
          <w:p w14:paraId="335C041A"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3.</w:t>
            </w:r>
          </w:p>
        </w:tc>
        <w:tc>
          <w:tcPr>
            <w:tcW w:w="2703" w:type="dxa"/>
            <w:vAlign w:val="center"/>
            <w:hideMark/>
          </w:tcPr>
          <w:p w14:paraId="6C161828" w14:textId="77777777" w:rsidR="002F47F3" w:rsidRPr="002F47F3" w:rsidRDefault="00122683" w:rsidP="002F47F3">
            <w:pPr>
              <w:spacing w:after="0" w:line="240" w:lineRule="auto"/>
              <w:rPr>
                <w:rFonts w:ascii="Times New Roman" w:eastAsia="Times New Roman" w:hAnsi="Times New Roman" w:cs="Times New Roman"/>
                <w:lang w:eastAsia="ru-RU"/>
              </w:rPr>
            </w:pPr>
            <w:hyperlink r:id="rId11" w:anchor="RANGE!P909" w:history="1">
              <w:r w:rsidR="002F47F3" w:rsidRPr="002F47F3">
                <w:rPr>
                  <w:rFonts w:ascii="Times New Roman" w:eastAsia="Times New Roman" w:hAnsi="Times New Roman" w:cs="Times New Roman"/>
                  <w:lang w:eastAsia="ru-RU"/>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p>
        </w:tc>
        <w:tc>
          <w:tcPr>
            <w:tcW w:w="788" w:type="dxa"/>
            <w:textDirection w:val="btLr"/>
            <w:vAlign w:val="center"/>
            <w:hideMark/>
          </w:tcPr>
          <w:p w14:paraId="26A9B802" w14:textId="77777777" w:rsidR="002F47F3" w:rsidRPr="002F47F3"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2F47F3">
              <w:rPr>
                <w:rFonts w:ascii="Times New Roman" w:eastAsia="Times New Roman" w:hAnsi="Times New Roman" w:cs="Times New Roman"/>
                <w:sz w:val="20"/>
                <w:szCs w:val="20"/>
                <w:lang w:eastAsia="ru-RU"/>
              </w:rPr>
              <w:t>в наличии/в разработке/отсутствуют</w:t>
            </w:r>
          </w:p>
        </w:tc>
        <w:tc>
          <w:tcPr>
            <w:tcW w:w="709" w:type="dxa"/>
            <w:textDirection w:val="btLr"/>
            <w:vAlign w:val="center"/>
            <w:hideMark/>
          </w:tcPr>
          <w:p w14:paraId="5804F9C5" w14:textId="77777777" w:rsidR="002F47F3" w:rsidRPr="00FF5FD8" w:rsidRDefault="002F47F3" w:rsidP="00FF5FD8">
            <w:pPr>
              <w:spacing w:after="0" w:line="240" w:lineRule="auto"/>
              <w:ind w:left="-59" w:right="-20"/>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в разработке</w:t>
            </w:r>
          </w:p>
        </w:tc>
        <w:tc>
          <w:tcPr>
            <w:tcW w:w="709" w:type="dxa"/>
            <w:textDirection w:val="btLr"/>
            <w:vAlign w:val="center"/>
            <w:hideMark/>
          </w:tcPr>
          <w:p w14:paraId="51EEDAA0" w14:textId="77777777" w:rsidR="002F47F3" w:rsidRPr="00FF5FD8" w:rsidRDefault="002F47F3" w:rsidP="00FF5FD8">
            <w:pPr>
              <w:spacing w:after="0" w:line="240" w:lineRule="auto"/>
              <w:ind w:left="113" w:right="-15"/>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в наличии</w:t>
            </w:r>
          </w:p>
        </w:tc>
        <w:tc>
          <w:tcPr>
            <w:tcW w:w="851" w:type="dxa"/>
            <w:textDirection w:val="btLr"/>
            <w:vAlign w:val="center"/>
            <w:hideMark/>
          </w:tcPr>
          <w:p w14:paraId="534600B8" w14:textId="77777777" w:rsidR="002F47F3" w:rsidRPr="00FF5FD8" w:rsidRDefault="002F47F3" w:rsidP="00FF5FD8">
            <w:pPr>
              <w:spacing w:after="0" w:line="240" w:lineRule="auto"/>
              <w:ind w:left="-55" w:right="-25"/>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 xml:space="preserve">в наличии </w:t>
            </w:r>
          </w:p>
        </w:tc>
        <w:tc>
          <w:tcPr>
            <w:tcW w:w="851" w:type="dxa"/>
            <w:textDirection w:val="btLr"/>
            <w:vAlign w:val="center"/>
            <w:hideMark/>
          </w:tcPr>
          <w:p w14:paraId="3F966F75" w14:textId="77777777" w:rsidR="002F47F3" w:rsidRPr="00FF5FD8"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отсутствуют</w:t>
            </w:r>
          </w:p>
        </w:tc>
        <w:tc>
          <w:tcPr>
            <w:tcW w:w="850" w:type="dxa"/>
            <w:textDirection w:val="btLr"/>
            <w:vAlign w:val="center"/>
            <w:hideMark/>
          </w:tcPr>
          <w:p w14:paraId="093EA277" w14:textId="77777777" w:rsidR="002F47F3" w:rsidRPr="00FF5FD8"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в разработке</w:t>
            </w:r>
          </w:p>
        </w:tc>
        <w:tc>
          <w:tcPr>
            <w:tcW w:w="970" w:type="dxa"/>
            <w:textDirection w:val="btLr"/>
            <w:vAlign w:val="center"/>
            <w:hideMark/>
          </w:tcPr>
          <w:p w14:paraId="42EB633B" w14:textId="77777777" w:rsidR="002F47F3" w:rsidRPr="00FF5FD8"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в наличии</w:t>
            </w:r>
          </w:p>
        </w:tc>
        <w:tc>
          <w:tcPr>
            <w:tcW w:w="872" w:type="dxa"/>
            <w:textDirection w:val="btLr"/>
            <w:vAlign w:val="center"/>
          </w:tcPr>
          <w:p w14:paraId="5B4AAA85" w14:textId="77777777" w:rsidR="002F47F3" w:rsidRPr="00FF5FD8" w:rsidRDefault="002F47F3" w:rsidP="00FF5FD8">
            <w:pPr>
              <w:spacing w:after="0" w:line="240" w:lineRule="auto"/>
              <w:ind w:left="113" w:right="113"/>
              <w:jc w:val="center"/>
              <w:rPr>
                <w:rFonts w:ascii="Times New Roman" w:eastAsia="Times New Roman" w:hAnsi="Times New Roman" w:cs="Times New Roman"/>
                <w:sz w:val="20"/>
                <w:szCs w:val="20"/>
                <w:lang w:eastAsia="ru-RU"/>
              </w:rPr>
            </w:pPr>
            <w:r w:rsidRPr="00FF5FD8">
              <w:rPr>
                <w:rFonts w:ascii="Times New Roman" w:eastAsia="Times New Roman" w:hAnsi="Times New Roman" w:cs="Times New Roman"/>
                <w:sz w:val="20"/>
                <w:szCs w:val="20"/>
                <w:lang w:eastAsia="ru-RU"/>
              </w:rPr>
              <w:t>в наличии</w:t>
            </w:r>
          </w:p>
        </w:tc>
      </w:tr>
      <w:tr w:rsidR="002F47F3" w:rsidRPr="002F47F3" w14:paraId="1E5CBE1F" w14:textId="77777777" w:rsidTr="00E63797">
        <w:trPr>
          <w:trHeight w:val="1215"/>
          <w:jc w:val="center"/>
        </w:trPr>
        <w:tc>
          <w:tcPr>
            <w:tcW w:w="567" w:type="dxa"/>
            <w:vAlign w:val="center"/>
            <w:hideMark/>
          </w:tcPr>
          <w:p w14:paraId="7828C28D"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4.</w:t>
            </w:r>
          </w:p>
        </w:tc>
        <w:tc>
          <w:tcPr>
            <w:tcW w:w="2703" w:type="dxa"/>
            <w:vAlign w:val="center"/>
            <w:hideMark/>
          </w:tcPr>
          <w:p w14:paraId="4EBC9B0D" w14:textId="77777777" w:rsidR="002F47F3" w:rsidRPr="002F47F3" w:rsidRDefault="00122683" w:rsidP="002F47F3">
            <w:pPr>
              <w:spacing w:after="0" w:line="240" w:lineRule="auto"/>
              <w:rPr>
                <w:rFonts w:ascii="Times New Roman" w:eastAsia="Times New Roman" w:hAnsi="Times New Roman" w:cs="Times New Roman"/>
                <w:lang w:eastAsia="ru-RU"/>
              </w:rPr>
            </w:pPr>
            <w:hyperlink r:id="rId12" w:anchor="RANGE!P912" w:history="1">
              <w:r w:rsidR="002F47F3" w:rsidRPr="002F47F3">
                <w:rPr>
                  <w:rFonts w:ascii="Times New Roman" w:eastAsia="Times New Roman" w:hAnsi="Times New Roman" w:cs="Times New Roman"/>
                  <w:lang w:eastAsia="ru-RU"/>
                </w:rPr>
                <w:t xml:space="preserve">Фактический уровень собираемости платы граждан за предоставленные жилищно-коммунальные услуги за отчетный период </w:t>
              </w:r>
            </w:hyperlink>
          </w:p>
        </w:tc>
        <w:tc>
          <w:tcPr>
            <w:tcW w:w="788" w:type="dxa"/>
            <w:vAlign w:val="center"/>
            <w:hideMark/>
          </w:tcPr>
          <w:p w14:paraId="34951711"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процентов</w:t>
            </w:r>
          </w:p>
        </w:tc>
        <w:tc>
          <w:tcPr>
            <w:tcW w:w="709" w:type="dxa"/>
            <w:vAlign w:val="center"/>
            <w:hideMark/>
          </w:tcPr>
          <w:p w14:paraId="56A2BCBE"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98,7</w:t>
            </w:r>
          </w:p>
        </w:tc>
        <w:tc>
          <w:tcPr>
            <w:tcW w:w="709" w:type="dxa"/>
            <w:vAlign w:val="center"/>
            <w:hideMark/>
          </w:tcPr>
          <w:p w14:paraId="3C2FAF7F"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98,7</w:t>
            </w:r>
          </w:p>
        </w:tc>
        <w:tc>
          <w:tcPr>
            <w:tcW w:w="851" w:type="dxa"/>
            <w:vAlign w:val="center"/>
            <w:hideMark/>
          </w:tcPr>
          <w:p w14:paraId="0C6C7940"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98,7</w:t>
            </w:r>
          </w:p>
        </w:tc>
        <w:tc>
          <w:tcPr>
            <w:tcW w:w="851" w:type="dxa"/>
            <w:vAlign w:val="center"/>
            <w:hideMark/>
          </w:tcPr>
          <w:p w14:paraId="3874451F"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99,0</w:t>
            </w:r>
          </w:p>
        </w:tc>
        <w:tc>
          <w:tcPr>
            <w:tcW w:w="850" w:type="dxa"/>
            <w:vAlign w:val="center"/>
            <w:hideMark/>
          </w:tcPr>
          <w:p w14:paraId="5F8C8AEE"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w:t>
            </w:r>
          </w:p>
        </w:tc>
        <w:tc>
          <w:tcPr>
            <w:tcW w:w="970" w:type="dxa"/>
            <w:vAlign w:val="center"/>
          </w:tcPr>
          <w:p w14:paraId="2DBAB00B"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w:t>
            </w:r>
          </w:p>
        </w:tc>
        <w:tc>
          <w:tcPr>
            <w:tcW w:w="872" w:type="dxa"/>
            <w:vAlign w:val="center"/>
          </w:tcPr>
          <w:p w14:paraId="6E0058D4" w14:textId="77777777" w:rsidR="002F47F3" w:rsidRPr="002F47F3" w:rsidRDefault="002F47F3" w:rsidP="002F47F3">
            <w:pPr>
              <w:spacing w:after="0" w:line="240" w:lineRule="auto"/>
              <w:jc w:val="center"/>
              <w:rPr>
                <w:rFonts w:ascii="Times New Roman" w:eastAsia="Times New Roman" w:hAnsi="Times New Roman" w:cs="Times New Roman"/>
                <w:lang w:eastAsia="ru-RU"/>
              </w:rPr>
            </w:pPr>
            <w:r w:rsidRPr="002F47F3">
              <w:rPr>
                <w:rFonts w:ascii="Times New Roman" w:eastAsia="Times New Roman" w:hAnsi="Times New Roman" w:cs="Times New Roman"/>
                <w:lang w:eastAsia="ru-RU"/>
              </w:rPr>
              <w:t>100,0</w:t>
            </w:r>
          </w:p>
        </w:tc>
      </w:tr>
    </w:tbl>
    <w:p w14:paraId="66F65D89"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sz w:val="26"/>
          <w:szCs w:val="26"/>
        </w:rPr>
      </w:pPr>
    </w:p>
    <w:p w14:paraId="146F4C67"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Капитальный ремонт МКД.</w:t>
      </w:r>
    </w:p>
    <w:p w14:paraId="0CD2DA05"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На территории Ханты-Мансийского автономного округа – Югры, в том числе Нефтеюганского района продолжается реализация региональной программы капитального ремонта общего имущества в МКД (далее – Региональная программа), и ее краткосрочных планов, на сегодняшний день включены 202 многоквартирных дома (далее – МКД).</w:t>
      </w:r>
    </w:p>
    <w:p w14:paraId="1002BA0D"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 2023 году в рамках Региональной программы выполнен капитальный ремонт общего имущества в 22 МКД, в том числе ремонт внутридомовых инженерных систем, ремонт крыш, ремонт фасада. Надо отметить, что строительно-монтажные работы ведутся с опережением плана. Это говорит о хорошей организации и эффективности работ подрядчиков. </w:t>
      </w:r>
    </w:p>
    <w:p w14:paraId="53A83C18"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Реализация Региональной программы капитального ремонта многоквартирных домов является важным шагом в развитии жилищного фонда региона. Она способствует созданию комфортной и безопасной среды для проживания граждан. Благодаря таким программам регион стремится обеспечить своим жителям достойные условия проживания и улучшить качество жизни в целом.</w:t>
      </w:r>
    </w:p>
    <w:p w14:paraId="78164779"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Ведется работа в рамках проекта партии «Единая Россия» «Школа грамотного потребителя». В рамках партийного проекта «Школа грамотного потребителя» в                  2023 году администрацией Нефтеюганского района совместно с администрациями </w:t>
      </w:r>
      <w:r w:rsidRPr="002F47F3">
        <w:rPr>
          <w:rFonts w:ascii="Times New Roman" w:eastAsia="Calibri" w:hAnsi="Times New Roman" w:cs="Times New Roman"/>
          <w:sz w:val="26"/>
          <w:szCs w:val="26"/>
        </w:rPr>
        <w:lastRenderedPageBreak/>
        <w:t>городского и сельских поселений района, управляющими и ресурсоснабжающими организациями провели 21 встречу с жителями Нефтеюганского района.</w:t>
      </w:r>
    </w:p>
    <w:p w14:paraId="09C0D63C" w14:textId="5080F165"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В ходе этих встреч освещены важные вопросы, касающиеся жилищно-коммунального хозяйства и вызывающие заинтересованность у жителей нашего района. Даны разъяснения и консультации по вопросам жилищно-коммунального-хозяйства в соответствии с действующим законодательством. Жители, в свою очередь, высказывали свои пожелания и вносили предложения.</w:t>
      </w:r>
    </w:p>
    <w:p w14:paraId="45E77737" w14:textId="77777777" w:rsidR="002F47F3" w:rsidRPr="002F47F3" w:rsidRDefault="002F47F3" w:rsidP="002F47F3">
      <w:pPr>
        <w:autoSpaceDE w:val="0"/>
        <w:autoSpaceDN w:val="0"/>
        <w:adjustRightInd w:val="0"/>
        <w:spacing w:after="0" w:line="276" w:lineRule="auto"/>
        <w:ind w:firstLine="567"/>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ab/>
        <w:t>Подводя итоги 2023 года, следует отметить, что вопросы, связанные с жилищно-коммунальным хозяйством, остаются актуальными для населения Нефтеюганского района. Разработаны планы работы на 2024 год, в которых учтены интересы и потребности жителей.</w:t>
      </w:r>
    </w:p>
    <w:p w14:paraId="5BD55464" w14:textId="77777777" w:rsidR="002F47F3" w:rsidRPr="002F47F3" w:rsidRDefault="002F47F3" w:rsidP="002F47F3">
      <w:pPr>
        <w:spacing w:after="0" w:line="240" w:lineRule="auto"/>
        <w:ind w:firstLine="709"/>
        <w:jc w:val="both"/>
        <w:rPr>
          <w:rFonts w:ascii="Times New Roman" w:eastAsia="Calibri" w:hAnsi="Times New Roman" w:cs="Times New Roman"/>
          <w:noProof/>
          <w:sz w:val="26"/>
          <w:szCs w:val="26"/>
        </w:rPr>
      </w:pPr>
      <w:r w:rsidRPr="002F47F3">
        <w:rPr>
          <w:rFonts w:ascii="Times New Roman" w:eastAsia="Calibri" w:hAnsi="Times New Roman" w:cs="Times New Roman"/>
          <w:noProof/>
          <w:sz w:val="26"/>
          <w:szCs w:val="26"/>
        </w:rPr>
        <w:t xml:space="preserve">На территории Нефтеюганского района с 2017 года реализуется Федеральный проект «Формирование комфортной городской среды», в 2018 году </w:t>
      </w:r>
      <w:r w:rsidRPr="002F47F3">
        <w:rPr>
          <w:rFonts w:ascii="Times New Roman" w:eastAsia="Calibri" w:hAnsi="Times New Roman" w:cs="Times New Roman"/>
          <w:noProof/>
          <w:sz w:val="26"/>
          <w:szCs w:val="26"/>
        </w:rPr>
        <w:br/>
        <w:t xml:space="preserve">в соответствии с Указом Президента Российской Федерации от 07.08.2018 № 204 </w:t>
      </w:r>
      <w:r w:rsidRPr="002F47F3">
        <w:rPr>
          <w:rFonts w:ascii="Times New Roman" w:eastAsia="Calibri" w:hAnsi="Times New Roman" w:cs="Times New Roman"/>
          <w:noProof/>
          <w:sz w:val="26"/>
          <w:szCs w:val="26"/>
        </w:rPr>
        <w:br/>
        <w:t xml:space="preserve">«О национальных целях и стратегических задачах развития Российской Федерации </w:t>
      </w:r>
      <w:r w:rsidRPr="002F47F3">
        <w:rPr>
          <w:rFonts w:ascii="Times New Roman" w:eastAsia="Calibri" w:hAnsi="Times New Roman" w:cs="Times New Roman"/>
          <w:noProof/>
          <w:sz w:val="26"/>
          <w:szCs w:val="26"/>
        </w:rPr>
        <w:br/>
        <w:t>на период до 2024 год» он вошел в национальный проект «Жилье и городская среда».</w:t>
      </w:r>
    </w:p>
    <w:p w14:paraId="2213713F" w14:textId="11F4CBCC"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noProof/>
          <w:sz w:val="26"/>
          <w:szCs w:val="26"/>
        </w:rPr>
        <w:t xml:space="preserve">Целью проекта является </w:t>
      </w:r>
      <w:r w:rsidRPr="002F47F3">
        <w:rPr>
          <w:rFonts w:ascii="Times New Roman" w:eastAsia="Calibri" w:hAnsi="Times New Roman" w:cs="Times New Roman"/>
          <w:sz w:val="26"/>
          <w:szCs w:val="26"/>
        </w:rPr>
        <w:t xml:space="preserve">повышение качества условий проживания населения </w:t>
      </w:r>
      <w:r w:rsidRPr="002F47F3">
        <w:rPr>
          <w:rFonts w:ascii="Times New Roman" w:eastAsia="Calibri" w:hAnsi="Times New Roman" w:cs="Times New Roman"/>
          <w:sz w:val="26"/>
          <w:szCs w:val="26"/>
        </w:rPr>
        <w:br/>
        <w:t xml:space="preserve">за счет формирования благоприятной среды. </w:t>
      </w:r>
    </w:p>
    <w:p w14:paraId="5EEC4D76"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Установленные на 2023 год целевые показатели, </w:t>
      </w:r>
      <w:r w:rsidRPr="002F47F3">
        <w:rPr>
          <w:rFonts w:ascii="Times New Roman" w:eastAsia="Times New Roman" w:hAnsi="Times New Roman" w:cs="Times New Roman"/>
          <w:sz w:val="26"/>
          <w:szCs w:val="26"/>
          <w:lang w:eastAsia="ru-RU"/>
        </w:rPr>
        <w:t>на достижение которых направлен</w:t>
      </w:r>
      <w:r w:rsidRPr="002F47F3">
        <w:rPr>
          <w:rFonts w:ascii="Times New Roman" w:eastAsia="Calibri" w:hAnsi="Times New Roman" w:cs="Times New Roman"/>
          <w:sz w:val="26"/>
          <w:szCs w:val="26"/>
        </w:rPr>
        <w:t xml:space="preserve"> региональный проект, достигнуты: </w:t>
      </w:r>
    </w:p>
    <w:p w14:paraId="2A647DF6" w14:textId="77777777" w:rsidR="002F47F3" w:rsidRPr="002F47F3" w:rsidRDefault="002F47F3" w:rsidP="002F47F3">
      <w:pPr>
        <w:spacing w:after="0" w:line="240" w:lineRule="auto"/>
        <w:ind w:firstLine="709"/>
        <w:jc w:val="both"/>
        <w:rPr>
          <w:rFonts w:ascii="Times New Roman" w:eastAsia="Calibri" w:hAnsi="Times New Roman" w:cs="Times New Roman"/>
          <w:i/>
          <w:iCs/>
          <w:sz w:val="26"/>
          <w:szCs w:val="26"/>
        </w:rPr>
      </w:pPr>
      <w:r w:rsidRPr="002F47F3">
        <w:rPr>
          <w:rFonts w:ascii="Times New Roman" w:eastAsia="Calibri" w:hAnsi="Times New Roman" w:cs="Times New Roman"/>
          <w:sz w:val="26"/>
          <w:szCs w:val="26"/>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реализуется проекты по созданию комфортной городской среды» установленный региональным проектом «Формирование комфортной городской среды» </w:t>
      </w:r>
      <w:r w:rsidRPr="002F47F3">
        <w:rPr>
          <w:rFonts w:ascii="Times New Roman" w:eastAsia="Calibri" w:hAnsi="Times New Roman" w:cs="Times New Roman"/>
          <w:i/>
          <w:iCs/>
          <w:sz w:val="26"/>
          <w:szCs w:val="26"/>
        </w:rPr>
        <w:t>перевыполнен и составил 47,0% (план 25,0%);</w:t>
      </w:r>
    </w:p>
    <w:p w14:paraId="6C4114E4" w14:textId="77777777" w:rsidR="002F47F3" w:rsidRPr="002F47F3" w:rsidRDefault="002F47F3" w:rsidP="002F47F3">
      <w:pPr>
        <w:tabs>
          <w:tab w:val="left" w:pos="993"/>
        </w:tabs>
        <w:ind w:firstLine="709"/>
        <w:contextualSpacing/>
        <w:jc w:val="both"/>
        <w:rPr>
          <w:rFonts w:ascii="Times New Roman" w:eastAsia="Yu Gothic UI Semibold" w:hAnsi="Times New Roman" w:cs="Times New Roman"/>
          <w:i/>
          <w:iCs/>
          <w:sz w:val="26"/>
          <w:szCs w:val="26"/>
        </w:rPr>
      </w:pPr>
      <w:r w:rsidRPr="002F47F3">
        <w:rPr>
          <w:rFonts w:ascii="Times New Roman" w:eastAsia="Yu Gothic UI Semibold" w:hAnsi="Times New Roman" w:cs="Times New Roman"/>
          <w:sz w:val="26"/>
          <w:szCs w:val="26"/>
        </w:rPr>
        <w:t xml:space="preserve">- «Количество благоустроенных общественных территорий» </w:t>
      </w:r>
      <w:r w:rsidRPr="002F47F3">
        <w:rPr>
          <w:rFonts w:ascii="Times New Roman" w:eastAsia="Yu Gothic UI Semibold" w:hAnsi="Times New Roman" w:cs="Times New Roman"/>
          <w:i/>
          <w:iCs/>
          <w:sz w:val="26"/>
          <w:szCs w:val="26"/>
        </w:rPr>
        <w:t>достигнут и составил 1 единицу (план 1 единица);</w:t>
      </w:r>
    </w:p>
    <w:p w14:paraId="17CB5675" w14:textId="77777777" w:rsidR="002F47F3" w:rsidRPr="002F47F3" w:rsidRDefault="002F47F3" w:rsidP="002F47F3">
      <w:pPr>
        <w:spacing w:after="0" w:line="240" w:lineRule="auto"/>
        <w:ind w:firstLine="709"/>
        <w:jc w:val="both"/>
        <w:rPr>
          <w:rFonts w:ascii="Times New Roman" w:eastAsia="Calibri" w:hAnsi="Times New Roman" w:cs="Times New Roman"/>
          <w:i/>
          <w:iCs/>
          <w:sz w:val="26"/>
          <w:szCs w:val="26"/>
        </w:rPr>
      </w:pPr>
      <w:r w:rsidRPr="002F47F3">
        <w:rPr>
          <w:rFonts w:ascii="Times New Roman" w:eastAsia="Calibri" w:hAnsi="Times New Roman" w:cs="Times New Roman"/>
          <w:sz w:val="26"/>
          <w:szCs w:val="26"/>
        </w:rPr>
        <w:t xml:space="preserve">-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r w:rsidRPr="002F47F3">
        <w:rPr>
          <w:rFonts w:ascii="Times New Roman" w:eastAsia="Calibri" w:hAnsi="Times New Roman" w:cs="Times New Roman"/>
          <w:i/>
          <w:iCs/>
          <w:sz w:val="26"/>
          <w:szCs w:val="26"/>
        </w:rPr>
        <w:t>перевыполнен и составил 100,0% (план 90,0%).</w:t>
      </w:r>
    </w:p>
    <w:p w14:paraId="6EC08212"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shd w:val="clear" w:color="auto" w:fill="FFFFFF"/>
        </w:rPr>
      </w:pPr>
      <w:r w:rsidRPr="002F47F3">
        <w:rPr>
          <w:rFonts w:ascii="Times New Roman" w:eastAsia="Calibri" w:hAnsi="Times New Roman" w:cs="Times New Roman"/>
          <w:sz w:val="26"/>
          <w:szCs w:val="26"/>
        </w:rPr>
        <w:t>В 2023 году реализован проект «Зеленый остров» в сп.Куть-Ях» 2 этап, основной целью которого является сохранение природы и с</w:t>
      </w:r>
      <w:r w:rsidRPr="002F47F3">
        <w:rPr>
          <w:rFonts w:ascii="Times New Roman" w:eastAsia="Calibri" w:hAnsi="Times New Roman" w:cs="Times New Roman"/>
          <w:sz w:val="26"/>
          <w:szCs w:val="26"/>
          <w:shd w:val="clear" w:color="auto" w:fill="FFFFFF"/>
        </w:rPr>
        <w:t xml:space="preserve">оздание условий для экологического просвещения жителей сп.Куть-Ях и гостей поселения, проведения семейного познавательного досуга, а также участия в мероприятиях экологической направленности посредством благоустройства амфитеатра и создания арт-поляны с экологической тропой на территории парка «Зелёный остров». </w:t>
      </w:r>
    </w:p>
    <w:p w14:paraId="6A4AD5E3" w14:textId="77777777" w:rsidR="002F47F3" w:rsidRPr="002F47F3" w:rsidRDefault="002F47F3" w:rsidP="002F47F3">
      <w:pPr>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По итогам проведения общественного обсуждения к реализации в 2024 году отобрана общественная территория с.Чеускино. Общественное обсуждение проводилось в период с 24.03.2023 по 27.04.2023 на портале государственной информационной системы Ханты-Мансийского автономного округа – Югры «Открытый регион – Югра» (myopenugra.ru). По результатам обсуждения проекта, число граждан, принявших участие в обсуждении проекта, составило 2 246 человек. </w:t>
      </w:r>
    </w:p>
    <w:p w14:paraId="11544B25" w14:textId="77777777" w:rsidR="002F47F3" w:rsidRPr="002F47F3" w:rsidRDefault="002F47F3" w:rsidP="002F47F3">
      <w:pPr>
        <w:ind w:firstLine="709"/>
        <w:contextualSpacing/>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lastRenderedPageBreak/>
        <w:t>Благодаря участию в проекте «Формирование комфортной городской среды», «Реализация инициативных проектов» и неравнодушным жителям наших поселений проводится колоссальная работа по обустройству поселений.</w:t>
      </w:r>
    </w:p>
    <w:p w14:paraId="747810AD" w14:textId="77777777" w:rsidR="002F47F3" w:rsidRPr="002F47F3" w:rsidRDefault="002F47F3" w:rsidP="002F47F3">
      <w:pPr>
        <w:spacing w:after="0" w:line="276"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Более семи лет в Нефтеюганском районе активно развивается инициативное бюджетирование. Основными направлениями реализованных проектов являются: благоустройство городского поселения и сельских территорий, а также создание общественных пространств.</w:t>
      </w:r>
    </w:p>
    <w:p w14:paraId="3D24A12D" w14:textId="7B329776"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В 2023 году в </w:t>
      </w:r>
      <w:r w:rsidR="00E31F5B">
        <w:rPr>
          <w:rFonts w:ascii="Times New Roman" w:eastAsia="Calibri" w:hAnsi="Times New Roman" w:cs="Times New Roman"/>
          <w:sz w:val="26"/>
          <w:szCs w:val="26"/>
        </w:rPr>
        <w:t>Нефтеюганском</w:t>
      </w:r>
      <w:r w:rsidRPr="002F47F3">
        <w:rPr>
          <w:rFonts w:ascii="Times New Roman" w:eastAsia="Calibri" w:hAnsi="Times New Roman" w:cs="Times New Roman"/>
          <w:sz w:val="26"/>
          <w:szCs w:val="26"/>
        </w:rPr>
        <w:t xml:space="preserve"> районе отобраны и реализованы 14 проектов на общую стоимость 45 531,3 тыс. рублей:</w:t>
      </w:r>
    </w:p>
    <w:p w14:paraId="41481D94"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в рамках конкурса инициативных проектов Нефтеюганского района реализовано 12 проектов на общую стоимость 19 162,8 тыс. рублей;</w:t>
      </w:r>
    </w:p>
    <w:p w14:paraId="06A395A1"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в рамках регионального конкурса инициативных проектов в 2023 году реализовано 2 проекта</w:t>
      </w:r>
      <w:r w:rsidRPr="009253C5">
        <w:rPr>
          <w:rFonts w:ascii="Times New Roman" w:eastAsia="Calibri" w:hAnsi="Times New Roman" w:cs="Times New Roman"/>
          <w:sz w:val="26"/>
          <w:szCs w:val="26"/>
        </w:rPr>
        <w:t xml:space="preserve"> </w:t>
      </w:r>
      <w:r w:rsidRPr="002F47F3">
        <w:rPr>
          <w:rFonts w:ascii="Times New Roman" w:eastAsia="Calibri" w:hAnsi="Times New Roman" w:cs="Times New Roman"/>
          <w:sz w:val="26"/>
          <w:szCs w:val="26"/>
        </w:rPr>
        <w:t>на общую стоимость 26 368,5 тыс. рублей, а именно:</w:t>
      </w:r>
    </w:p>
    <w:p w14:paraId="4CAFF351"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w:t>
      </w:r>
      <w:r w:rsidRPr="002F47F3">
        <w:rPr>
          <w:rFonts w:ascii="Times New Roman" w:eastAsia="Calibri" w:hAnsi="Times New Roman" w:cs="Times New Roman"/>
          <w:i/>
          <w:iCs/>
          <w:sz w:val="26"/>
          <w:szCs w:val="26"/>
        </w:rPr>
        <w:t>проект «Парк выпускников «Алые паруса»» гп.Пойковский</w:t>
      </w:r>
      <w:r w:rsidRPr="002F47F3">
        <w:rPr>
          <w:rFonts w:ascii="Times New Roman" w:eastAsia="Calibri" w:hAnsi="Times New Roman" w:cs="Times New Roman"/>
          <w:sz w:val="26"/>
          <w:szCs w:val="26"/>
        </w:rPr>
        <w:t>, направленный на благоустройство общественных территорий на общую стоимость 14 556,2 тыс. рублей. Преобразована малопродуктивная территория центральной площади городского поселения Пойковский в многофункциональный парк выпускников «Алые паруса», главной достопримечательностью которого стал фонтан в виде корабля с алыми парусами. На территории парка расположились арт-объекты: декоративные бронзовые ботинки и раскрытая книга. Целью инициативного проекта является связь поколений, благодаря введения замечательной традиции - каждый выпускной класс кладет в свою ячейку, расположенную на книге, предмет, олицетворяющий символ своего времени, символ молодости.</w:t>
      </w:r>
    </w:p>
    <w:p w14:paraId="15163C40" w14:textId="77777777" w:rsidR="002F47F3" w:rsidRPr="002F47F3" w:rsidRDefault="002F47F3"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sidRPr="002F47F3">
        <w:rPr>
          <w:rFonts w:ascii="Times New Roman" w:eastAsia="Calibri" w:hAnsi="Times New Roman" w:cs="Times New Roman"/>
          <w:sz w:val="26"/>
          <w:szCs w:val="26"/>
        </w:rPr>
        <w:t xml:space="preserve">- </w:t>
      </w:r>
      <w:r w:rsidRPr="002F47F3">
        <w:rPr>
          <w:rFonts w:ascii="Times New Roman" w:eastAsia="Calibri" w:hAnsi="Times New Roman" w:cs="Times New Roman"/>
          <w:i/>
          <w:iCs/>
          <w:sz w:val="26"/>
          <w:szCs w:val="26"/>
        </w:rPr>
        <w:t>проект «Парк «Зеленый остров»» сп.Куть-Ях</w:t>
      </w:r>
      <w:r w:rsidRPr="002F47F3">
        <w:rPr>
          <w:rFonts w:ascii="Times New Roman" w:eastAsia="Calibri" w:hAnsi="Times New Roman" w:cs="Times New Roman"/>
          <w:sz w:val="26"/>
          <w:szCs w:val="26"/>
        </w:rPr>
        <w:t>, направленный на благоустройство общественной территории на общую стоимость 11 812,3 тыс. рублей. Уникальность проекта заключается в инновационном подходе к технологиям выполнения работ. Создано единое центральное место для проведения массового и семейного отдыха, в котором сохранена природная и экологическая составляющая окружающего нас мира, что влечет за собой просвещение населения и воспитание познавательных интересов у детей о флоре и фауне родного края, ведению здорового образа жизни. В целях проведения экологических праздников, природоохранных акций, экологических соревнований и флешмобов возведен амфитеатр, располагающийся на арт-поляне, объединяющей 2 части поселка.</w:t>
      </w:r>
    </w:p>
    <w:p w14:paraId="11122437" w14:textId="6D1375F3" w:rsidR="002F47F3" w:rsidRPr="002F47F3" w:rsidRDefault="00411A3E" w:rsidP="002F47F3">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Кроме того,</w:t>
      </w:r>
      <w:r w:rsidR="002F47F3" w:rsidRPr="002F47F3">
        <w:rPr>
          <w:rFonts w:ascii="Times New Roman" w:eastAsia="Calibri" w:hAnsi="Times New Roman" w:cs="Times New Roman"/>
          <w:sz w:val="26"/>
          <w:szCs w:val="26"/>
        </w:rPr>
        <w:t xml:space="preserve"> на реализацию проекта «Парк «Зеленый остров»» сп.Куть-Ях в рамках регионального проекта «Формирование комфортной городской среды» национального проекта «Жилье и городская среда» предусмотрено финансирование 8 052,00 тыс. рублей.  </w:t>
      </w:r>
    </w:p>
    <w:p w14:paraId="000417F8"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p>
    <w:p w14:paraId="38182B3C" w14:textId="77777777" w:rsidR="002F47F3" w:rsidRPr="002F47F3" w:rsidRDefault="002F47F3" w:rsidP="002F47F3">
      <w:pPr>
        <w:autoSpaceDE w:val="0"/>
        <w:autoSpaceDN w:val="0"/>
        <w:adjustRightInd w:val="0"/>
        <w:spacing w:after="0" w:line="240" w:lineRule="auto"/>
        <w:ind w:firstLine="709"/>
        <w:jc w:val="both"/>
        <w:rPr>
          <w:rFonts w:ascii="Times New Roman" w:hAnsi="Times New Roman" w:cs="Times New Roman"/>
          <w:i/>
          <w:iCs/>
          <w:sz w:val="26"/>
          <w:szCs w:val="26"/>
        </w:rPr>
      </w:pPr>
      <w:r w:rsidRPr="002F47F3">
        <w:rPr>
          <w:rFonts w:ascii="Times New Roman" w:hAnsi="Times New Roman" w:cs="Times New Roman"/>
          <w:i/>
          <w:iCs/>
          <w:sz w:val="26"/>
          <w:szCs w:val="26"/>
        </w:rPr>
        <w:t>1.11 Эффективность деятельности по организации мероприятий при осуществлении деятельности по обращению с животными без владельцев, в том числе в соответствии с таблицей 4. (п. 1.11 введен распоряжением Правительства ХМАО - Югры от 26.08.2022 N 512-рп).</w:t>
      </w:r>
    </w:p>
    <w:p w14:paraId="123F61BC"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На территории Нефтеюганского района с 2022 года действует приют для животных без владельцев на 300 питомцев, который позволяет проводить полный комплекс мероприятий в сфере обращения с животными, включая оказание ветеринарных и лечебных услуг. Общая сумма финансирования на создание приюта (окружной и местный бюджеты) составила почти 50,0 млн. рублей.</w:t>
      </w:r>
    </w:p>
    <w:p w14:paraId="24952ED5"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lastRenderedPageBreak/>
        <w:t>Ветеринарное обслуживание на территории приюта проводится в ветеринарном кабинете филиалом БУ «Ветеринарный центр» в г.Нефтеюганске на основании заключенного соглашения в рамках выполнения государственного задания (стерилизация, вакцинация) и заключенного контракта (осмотр, лечение).</w:t>
      </w:r>
    </w:p>
    <w:p w14:paraId="0A326A70"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В 2023 году в районе отловлено 323 собаки, все прошли процедуру вакцинации и биркования, 117 собак передано новым владельцам, 226 собак принято в муниципальную собственность, 291 собака находится на содержании в приюте. </w:t>
      </w:r>
    </w:p>
    <w:p w14:paraId="4B2A01FC" w14:textId="092EFC85"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Для обеспечения стабильной благополучной эпизоотической обстановки в Нефтеюганском районе, в рамках исполнения отдельного государственного полномочия в соответствии с Законом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предусмотрено финансирование приюта в размере 17,1 млн. рублей. </w:t>
      </w:r>
    </w:p>
    <w:p w14:paraId="259AFC56" w14:textId="1D84A8F6"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В</w:t>
      </w:r>
      <w:r w:rsidR="00941240">
        <w:rPr>
          <w:rFonts w:ascii="Times New Roman" w:eastAsia="Times New Roman" w:hAnsi="Times New Roman" w:cs="Times New Roman"/>
          <w:sz w:val="26"/>
          <w:szCs w:val="26"/>
          <w:lang w:eastAsia="ru-RU"/>
        </w:rPr>
        <w:t>К</w:t>
      </w:r>
      <w:r w:rsidRPr="002F47F3">
        <w:rPr>
          <w:rFonts w:ascii="Times New Roman" w:eastAsia="Times New Roman" w:hAnsi="Times New Roman" w:cs="Times New Roman"/>
          <w:sz w:val="26"/>
          <w:szCs w:val="26"/>
          <w:lang w:eastAsia="ru-RU"/>
        </w:rPr>
        <w:t>онтакте создана группа </w:t>
      </w:r>
      <w:hyperlink r:id="rId13" w:history="1">
        <w:r w:rsidRPr="002F47F3">
          <w:rPr>
            <w:rFonts w:ascii="Times New Roman" w:eastAsia="Times New Roman" w:hAnsi="Times New Roman" w:cs="Times New Roman"/>
            <w:sz w:val="26"/>
            <w:szCs w:val="26"/>
            <w:lang w:eastAsia="ru-RU"/>
          </w:rPr>
          <w:t>«Служба</w:t>
        </w:r>
      </w:hyperlink>
      <w:r w:rsidRPr="002F47F3">
        <w:rPr>
          <w:rFonts w:ascii="Times New Roman" w:eastAsia="Times New Roman" w:hAnsi="Times New Roman" w:cs="Times New Roman"/>
          <w:sz w:val="26"/>
          <w:szCs w:val="26"/>
          <w:lang w:eastAsia="ru-RU"/>
        </w:rPr>
        <w:t xml:space="preserve"> по обращению с животными», где публикуются новости о проводимых акциях и изменениях в законодательстве в области обращения с животными, а также размещается информация о каждом подопечном приюта.</w:t>
      </w:r>
    </w:p>
    <w:p w14:paraId="45CF3646"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Муниципальному приюту «Верный хозяин» оказывается всесторонняя помощь некоммерческими организациями, волонтерами, крестьянскими (фермерскими) хозяйствами и молодежью. Передано в приют почти 1 000 кг корма, 6 000 кг сена, собрано около 200 мисок. Оказывается помощь в мелком ремонте, уборке территории и выгуле собак.</w:t>
      </w:r>
    </w:p>
    <w:p w14:paraId="3961FCC3"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Активное участие принимает АНО «Приют для животных «Верный друг». При поддержке Фонда президентских грантов закуплено оборудование, которое передано на безвозмездной основе в ветеринарный кабинет муниципального приюта. Оплачены операции по стерилизации (кастрации) 66 животных. С целью пристройства животных из приюта АНО проводит на базе отдыха «Парус» благотворительные ярмарки, а за счет полученной субсидии из бюджета Нефтеюганского района проведен зоофестиваль «Пёс-Фест». На мероприятие пришло почти 200 волонтеров, общественников и неравнодушных любителей четвероногих, в том числе 35 детей, которым были представлены увлекательные мастер-классы. </w:t>
      </w:r>
    </w:p>
    <w:p w14:paraId="7F2A9CCD"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Нефтеюганский район принял участие в Международной премии #МЫВМЕСТЕ с проектом «ДРУГ ДЛЯ ДРУГА» в номинации «Территория для жизни» и на региональном этапе занял 2-е место и вышел в полуфинал.</w:t>
      </w:r>
    </w:p>
    <w:p w14:paraId="20CE6E1E" w14:textId="38938E24"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Во Всероссийском конкурсе «Лучшая муниципальная практика» в номинации «Градостроительная политика, обеспечение благоприятной среды жизнедеятельности населения и развитие жилищно-коммунального хозяйства» практика «Создание приюта для животных без владельцев в поселке Сингапай» на региональном этапе заняла 3-е место и 5-е призовое место на федеральном уровне с финансированием в</w:t>
      </w:r>
      <w:r w:rsidR="00A122F9">
        <w:rPr>
          <w:rFonts w:ascii="Times New Roman" w:eastAsia="Times New Roman" w:hAnsi="Times New Roman" w:cs="Times New Roman"/>
          <w:sz w:val="26"/>
          <w:szCs w:val="26"/>
          <w:lang w:eastAsia="ru-RU"/>
        </w:rPr>
        <w:t xml:space="preserve"> </w:t>
      </w:r>
      <w:r w:rsidRPr="002F47F3">
        <w:rPr>
          <w:rFonts w:ascii="Times New Roman" w:eastAsia="Times New Roman" w:hAnsi="Times New Roman" w:cs="Times New Roman"/>
          <w:sz w:val="26"/>
          <w:szCs w:val="26"/>
          <w:lang w:eastAsia="ru-RU"/>
        </w:rPr>
        <w:t>2,6 млн. рублей.</w:t>
      </w:r>
    </w:p>
    <w:p w14:paraId="2A63424D"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Муниципальный приют рекомендован Центром управления регионом Ханты-Мансийского автономного округа – Югры к применению на всей территории автономного округа.</w:t>
      </w:r>
    </w:p>
    <w:p w14:paraId="3CF34FCD" w14:textId="77777777" w:rsidR="002F47F3" w:rsidRPr="002F47F3" w:rsidRDefault="002F47F3" w:rsidP="002F47F3">
      <w:pPr>
        <w:tabs>
          <w:tab w:val="left" w:pos="855"/>
        </w:tabs>
        <w:autoSpaceDE w:val="0"/>
        <w:autoSpaceDN w:val="0"/>
        <w:adjustRightInd w:val="0"/>
        <w:spacing w:after="0" w:line="240" w:lineRule="auto"/>
        <w:ind w:firstLine="539"/>
        <w:rPr>
          <w:rFonts w:ascii="Times New Roman" w:hAnsi="Times New Roman" w:cs="Times New Roman"/>
          <w:sz w:val="24"/>
          <w:szCs w:val="24"/>
        </w:rPr>
      </w:pPr>
    </w:p>
    <w:p w14:paraId="1713E842" w14:textId="77777777" w:rsidR="00FA0E96" w:rsidRDefault="00FA0E96" w:rsidP="002F47F3">
      <w:pPr>
        <w:autoSpaceDE w:val="0"/>
        <w:autoSpaceDN w:val="0"/>
        <w:adjustRightInd w:val="0"/>
        <w:spacing w:after="0" w:line="240" w:lineRule="auto"/>
        <w:ind w:firstLine="539"/>
        <w:jc w:val="right"/>
        <w:rPr>
          <w:rFonts w:ascii="Times New Roman" w:hAnsi="Times New Roman" w:cs="Times New Roman"/>
          <w:sz w:val="24"/>
          <w:szCs w:val="24"/>
        </w:rPr>
      </w:pPr>
    </w:p>
    <w:p w14:paraId="51E9FABF" w14:textId="589995C7" w:rsidR="002F47F3" w:rsidRPr="002F47F3" w:rsidRDefault="002F47F3" w:rsidP="002F47F3">
      <w:pPr>
        <w:autoSpaceDE w:val="0"/>
        <w:autoSpaceDN w:val="0"/>
        <w:adjustRightInd w:val="0"/>
        <w:spacing w:after="0" w:line="240" w:lineRule="auto"/>
        <w:ind w:firstLine="539"/>
        <w:jc w:val="right"/>
        <w:rPr>
          <w:rFonts w:ascii="Times New Roman" w:hAnsi="Times New Roman" w:cs="Times New Roman"/>
          <w:sz w:val="24"/>
          <w:szCs w:val="24"/>
        </w:rPr>
      </w:pPr>
      <w:r w:rsidRPr="002F47F3">
        <w:rPr>
          <w:rFonts w:ascii="Times New Roman" w:hAnsi="Times New Roman" w:cs="Times New Roman"/>
          <w:sz w:val="24"/>
          <w:szCs w:val="24"/>
        </w:rPr>
        <w:t>Таблица 4</w:t>
      </w:r>
    </w:p>
    <w:p w14:paraId="18454383" w14:textId="77777777" w:rsidR="002F47F3" w:rsidRPr="002F47F3" w:rsidRDefault="002F47F3" w:rsidP="002F47F3">
      <w:pPr>
        <w:autoSpaceDE w:val="0"/>
        <w:autoSpaceDN w:val="0"/>
        <w:adjustRightInd w:val="0"/>
        <w:spacing w:after="0" w:line="240" w:lineRule="auto"/>
        <w:ind w:firstLine="539"/>
        <w:jc w:val="right"/>
        <w:rPr>
          <w:rFonts w:ascii="Times New Roman" w:hAnsi="Times New Roman" w:cs="Times New Roman"/>
          <w:sz w:val="24"/>
          <w:szCs w:val="24"/>
        </w:rPr>
      </w:pPr>
    </w:p>
    <w:p w14:paraId="343BAF10" w14:textId="77777777" w:rsidR="002F47F3" w:rsidRPr="002F47F3" w:rsidRDefault="002F47F3" w:rsidP="002F47F3">
      <w:pPr>
        <w:autoSpaceDE w:val="0"/>
        <w:autoSpaceDN w:val="0"/>
        <w:adjustRightInd w:val="0"/>
        <w:spacing w:after="0" w:line="240" w:lineRule="auto"/>
        <w:ind w:firstLine="539"/>
        <w:jc w:val="center"/>
        <w:rPr>
          <w:rFonts w:ascii="Times New Roman" w:hAnsi="Times New Roman" w:cs="Times New Roman"/>
          <w:sz w:val="24"/>
          <w:szCs w:val="24"/>
        </w:rPr>
      </w:pPr>
      <w:r w:rsidRPr="002F47F3">
        <w:rPr>
          <w:rFonts w:ascii="Times New Roman" w:hAnsi="Times New Roman" w:cs="Times New Roman"/>
          <w:sz w:val="24"/>
          <w:szCs w:val="24"/>
        </w:rPr>
        <w:t xml:space="preserve">Эффективность деятельности по организации мероприятий при осуществлении деятельности по обращению с животными без владельцев </w:t>
      </w:r>
    </w:p>
    <w:p w14:paraId="70B7D4AC" w14:textId="77777777" w:rsidR="002F47F3" w:rsidRPr="002F47F3" w:rsidRDefault="002F47F3" w:rsidP="002F47F3">
      <w:pPr>
        <w:autoSpaceDE w:val="0"/>
        <w:autoSpaceDN w:val="0"/>
        <w:adjustRightInd w:val="0"/>
        <w:spacing w:after="0" w:line="240" w:lineRule="auto"/>
        <w:ind w:firstLine="539"/>
        <w:jc w:val="center"/>
        <w:rPr>
          <w:rFonts w:ascii="Times New Roman" w:hAnsi="Times New Roman" w:cs="Times New Roman"/>
          <w:sz w:val="24"/>
          <w:szCs w:val="24"/>
        </w:rPr>
      </w:pPr>
      <w:r w:rsidRPr="002F47F3">
        <w:rPr>
          <w:rFonts w:ascii="Times New Roman" w:hAnsi="Times New Roman" w:cs="Times New Roman"/>
          <w:sz w:val="24"/>
          <w:szCs w:val="24"/>
        </w:rPr>
        <w:t>муниципального образования Нефтеюганский район</w:t>
      </w:r>
    </w:p>
    <w:p w14:paraId="5766BED9" w14:textId="77777777" w:rsidR="002F47F3" w:rsidRPr="002F47F3" w:rsidRDefault="002F47F3" w:rsidP="002F47F3">
      <w:pPr>
        <w:autoSpaceDE w:val="0"/>
        <w:autoSpaceDN w:val="0"/>
        <w:adjustRightInd w:val="0"/>
        <w:spacing w:after="0" w:line="240" w:lineRule="auto"/>
        <w:ind w:firstLine="539"/>
        <w:jc w:val="both"/>
        <w:rPr>
          <w:rFonts w:ascii="Times New Roman" w:hAnsi="Times New Roman" w:cs="Times New Roman"/>
          <w:sz w:val="24"/>
          <w:szCs w:val="24"/>
        </w:rPr>
      </w:pPr>
    </w:p>
    <w:tbl>
      <w:tblPr>
        <w:tblOverlap w:val="never"/>
        <w:tblW w:w="9943" w:type="dxa"/>
        <w:tblInd w:w="-572" w:type="dxa"/>
        <w:tblLayout w:type="fixed"/>
        <w:tblCellMar>
          <w:left w:w="10" w:type="dxa"/>
          <w:right w:w="10" w:type="dxa"/>
        </w:tblCellMar>
        <w:tblLook w:val="04A0" w:firstRow="1" w:lastRow="0" w:firstColumn="1" w:lastColumn="0" w:noHBand="0" w:noVBand="1"/>
      </w:tblPr>
      <w:tblGrid>
        <w:gridCol w:w="686"/>
        <w:gridCol w:w="3709"/>
        <w:gridCol w:w="696"/>
        <w:gridCol w:w="696"/>
        <w:gridCol w:w="696"/>
        <w:gridCol w:w="696"/>
        <w:gridCol w:w="681"/>
        <w:gridCol w:w="672"/>
        <w:gridCol w:w="739"/>
        <w:gridCol w:w="672"/>
      </w:tblGrid>
      <w:tr w:rsidR="002F47F3" w:rsidRPr="002F47F3" w14:paraId="6634A678" w14:textId="77777777" w:rsidTr="00E63797">
        <w:trPr>
          <w:trHeight w:hRule="exact" w:val="768"/>
          <w:tblHeader/>
        </w:trPr>
        <w:tc>
          <w:tcPr>
            <w:tcW w:w="686" w:type="dxa"/>
            <w:tcBorders>
              <w:top w:val="single" w:sz="4" w:space="0" w:color="auto"/>
              <w:left w:val="single" w:sz="4" w:space="0" w:color="auto"/>
            </w:tcBorders>
            <w:shd w:val="clear" w:color="auto" w:fill="FFFFFF"/>
            <w:vAlign w:val="bottom"/>
          </w:tcPr>
          <w:p w14:paraId="1BB4681F"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val="en-US" w:bidi="en-US"/>
              </w:rPr>
              <w:t>N</w:t>
            </w:r>
          </w:p>
          <w:p w14:paraId="730B2634" w14:textId="77777777" w:rsidR="002F47F3" w:rsidRPr="002F47F3" w:rsidRDefault="002F47F3" w:rsidP="002F47F3">
            <w:pPr>
              <w:widowControl w:val="0"/>
              <w:spacing w:after="0" w:line="233"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п/п</w:t>
            </w:r>
          </w:p>
        </w:tc>
        <w:tc>
          <w:tcPr>
            <w:tcW w:w="3709" w:type="dxa"/>
            <w:tcBorders>
              <w:top w:val="single" w:sz="4" w:space="0" w:color="auto"/>
              <w:left w:val="single" w:sz="4" w:space="0" w:color="auto"/>
            </w:tcBorders>
            <w:shd w:val="clear" w:color="auto" w:fill="FFFFFF"/>
            <w:vAlign w:val="center"/>
          </w:tcPr>
          <w:p w14:paraId="0DC59AE5" w14:textId="77777777" w:rsidR="002F47F3" w:rsidRPr="002F47F3" w:rsidRDefault="002F47F3" w:rsidP="002F47F3">
            <w:pPr>
              <w:widowControl w:val="0"/>
              <w:spacing w:after="0" w:line="240" w:lineRule="auto"/>
              <w:rPr>
                <w:rFonts w:ascii="Times New Roman" w:eastAsia="Times New Roman" w:hAnsi="Times New Roman" w:cs="Times New Roman"/>
              </w:rPr>
            </w:pPr>
            <w:r w:rsidRPr="002F47F3">
              <w:rPr>
                <w:rFonts w:ascii="Times New Roman" w:eastAsia="Times New Roman" w:hAnsi="Times New Roman" w:cs="Times New Roman"/>
                <w:lang w:eastAsia="ru-RU" w:bidi="ru-RU"/>
              </w:rPr>
              <w:t>Наименование показателя</w:t>
            </w:r>
          </w:p>
        </w:tc>
        <w:tc>
          <w:tcPr>
            <w:tcW w:w="696" w:type="dxa"/>
            <w:tcBorders>
              <w:top w:val="single" w:sz="4" w:space="0" w:color="auto"/>
              <w:left w:val="single" w:sz="4" w:space="0" w:color="auto"/>
            </w:tcBorders>
            <w:shd w:val="clear" w:color="auto" w:fill="FFFFFF"/>
            <w:vAlign w:val="bottom"/>
          </w:tcPr>
          <w:p w14:paraId="70D3FC5C" w14:textId="77777777" w:rsidR="002F47F3" w:rsidRPr="002F47F3" w:rsidRDefault="002F47F3" w:rsidP="002F47F3">
            <w:pPr>
              <w:widowControl w:val="0"/>
              <w:spacing w:after="0" w:line="233"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Ед. изм.</w:t>
            </w:r>
          </w:p>
        </w:tc>
        <w:tc>
          <w:tcPr>
            <w:tcW w:w="696" w:type="dxa"/>
            <w:tcBorders>
              <w:top w:val="single" w:sz="4" w:space="0" w:color="auto"/>
              <w:left w:val="single" w:sz="4" w:space="0" w:color="auto"/>
            </w:tcBorders>
            <w:shd w:val="clear" w:color="auto" w:fill="FFFFFF"/>
            <w:vAlign w:val="center"/>
          </w:tcPr>
          <w:p w14:paraId="0F8545F8"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2020</w:t>
            </w:r>
          </w:p>
        </w:tc>
        <w:tc>
          <w:tcPr>
            <w:tcW w:w="696" w:type="dxa"/>
            <w:tcBorders>
              <w:top w:val="single" w:sz="4" w:space="0" w:color="auto"/>
              <w:left w:val="single" w:sz="4" w:space="0" w:color="auto"/>
            </w:tcBorders>
            <w:shd w:val="clear" w:color="auto" w:fill="FFFFFF"/>
            <w:vAlign w:val="center"/>
          </w:tcPr>
          <w:p w14:paraId="06D9E7FB"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2021</w:t>
            </w:r>
          </w:p>
        </w:tc>
        <w:tc>
          <w:tcPr>
            <w:tcW w:w="696" w:type="dxa"/>
            <w:tcBorders>
              <w:top w:val="single" w:sz="4" w:space="0" w:color="auto"/>
              <w:left w:val="single" w:sz="4" w:space="0" w:color="auto"/>
            </w:tcBorders>
            <w:shd w:val="clear" w:color="auto" w:fill="FFFFFF"/>
            <w:vAlign w:val="center"/>
          </w:tcPr>
          <w:p w14:paraId="70A53417"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2022</w:t>
            </w:r>
          </w:p>
        </w:tc>
        <w:tc>
          <w:tcPr>
            <w:tcW w:w="681" w:type="dxa"/>
            <w:tcBorders>
              <w:top w:val="single" w:sz="4" w:space="0" w:color="auto"/>
              <w:left w:val="single" w:sz="4" w:space="0" w:color="auto"/>
            </w:tcBorders>
            <w:shd w:val="clear" w:color="auto" w:fill="FFFFFF"/>
            <w:vAlign w:val="center"/>
          </w:tcPr>
          <w:p w14:paraId="0CCC4122" w14:textId="77777777" w:rsidR="002F47F3" w:rsidRPr="002F47F3" w:rsidRDefault="002F47F3" w:rsidP="002F47F3">
            <w:pPr>
              <w:widowControl w:val="0"/>
              <w:spacing w:after="0" w:line="240" w:lineRule="auto"/>
              <w:jc w:val="center"/>
              <w:rPr>
                <w:rFonts w:ascii="Times New Roman" w:eastAsia="Times New Roman" w:hAnsi="Times New Roman" w:cs="Times New Roman"/>
                <w:lang w:bidi="en-US"/>
              </w:rPr>
            </w:pPr>
            <w:r w:rsidRPr="002F47F3">
              <w:rPr>
                <w:rFonts w:ascii="Times New Roman" w:eastAsia="Times New Roman" w:hAnsi="Times New Roman" w:cs="Times New Roman"/>
                <w:lang w:bidi="en-US"/>
              </w:rPr>
              <w:t>2023</w:t>
            </w:r>
          </w:p>
          <w:p w14:paraId="12EB62B0"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факт</w:t>
            </w:r>
          </w:p>
        </w:tc>
        <w:tc>
          <w:tcPr>
            <w:tcW w:w="672" w:type="dxa"/>
            <w:tcBorders>
              <w:top w:val="single" w:sz="4" w:space="0" w:color="auto"/>
              <w:left w:val="single" w:sz="4" w:space="0" w:color="auto"/>
            </w:tcBorders>
            <w:shd w:val="clear" w:color="auto" w:fill="FFFFFF"/>
            <w:vAlign w:val="center"/>
          </w:tcPr>
          <w:p w14:paraId="6B35A94A" w14:textId="77777777" w:rsidR="002F47F3" w:rsidRPr="002F47F3" w:rsidRDefault="002F47F3" w:rsidP="002F47F3">
            <w:pPr>
              <w:widowControl w:val="0"/>
              <w:spacing w:after="0" w:line="240" w:lineRule="auto"/>
              <w:jc w:val="center"/>
              <w:rPr>
                <w:rFonts w:ascii="Times New Roman" w:eastAsia="Times New Roman" w:hAnsi="Times New Roman" w:cs="Times New Roman"/>
                <w:lang w:bidi="en-US"/>
              </w:rPr>
            </w:pPr>
            <w:r w:rsidRPr="002F47F3">
              <w:rPr>
                <w:rFonts w:ascii="Times New Roman" w:eastAsia="Times New Roman" w:hAnsi="Times New Roman" w:cs="Times New Roman"/>
                <w:lang w:bidi="en-US"/>
              </w:rPr>
              <w:t>2024</w:t>
            </w:r>
          </w:p>
          <w:p w14:paraId="04AC744C"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план</w:t>
            </w:r>
          </w:p>
        </w:tc>
        <w:tc>
          <w:tcPr>
            <w:tcW w:w="739" w:type="dxa"/>
            <w:tcBorders>
              <w:top w:val="single" w:sz="4" w:space="0" w:color="auto"/>
              <w:left w:val="single" w:sz="4" w:space="0" w:color="auto"/>
            </w:tcBorders>
            <w:shd w:val="clear" w:color="auto" w:fill="FFFFFF"/>
            <w:vAlign w:val="center"/>
          </w:tcPr>
          <w:p w14:paraId="66F63730" w14:textId="77777777" w:rsidR="002F47F3" w:rsidRPr="002F47F3" w:rsidRDefault="002F47F3" w:rsidP="002F47F3">
            <w:pPr>
              <w:widowControl w:val="0"/>
              <w:spacing w:after="0" w:line="240" w:lineRule="auto"/>
              <w:jc w:val="center"/>
              <w:rPr>
                <w:rFonts w:ascii="Times New Roman" w:eastAsia="Times New Roman" w:hAnsi="Times New Roman" w:cs="Times New Roman"/>
                <w:lang w:bidi="en-US"/>
              </w:rPr>
            </w:pPr>
            <w:r w:rsidRPr="002F47F3">
              <w:rPr>
                <w:rFonts w:ascii="Times New Roman" w:eastAsia="Times New Roman" w:hAnsi="Times New Roman" w:cs="Times New Roman"/>
                <w:lang w:bidi="en-US"/>
              </w:rPr>
              <w:t>2025</w:t>
            </w:r>
          </w:p>
          <w:p w14:paraId="0EB01364"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план</w:t>
            </w:r>
          </w:p>
        </w:tc>
        <w:tc>
          <w:tcPr>
            <w:tcW w:w="672" w:type="dxa"/>
            <w:tcBorders>
              <w:top w:val="single" w:sz="4" w:space="0" w:color="auto"/>
              <w:left w:val="single" w:sz="4" w:space="0" w:color="auto"/>
              <w:right w:val="single" w:sz="4" w:space="0" w:color="auto"/>
            </w:tcBorders>
            <w:shd w:val="clear" w:color="auto" w:fill="FFFFFF"/>
            <w:vAlign w:val="center"/>
          </w:tcPr>
          <w:p w14:paraId="13E4ACD6" w14:textId="77777777" w:rsidR="002F47F3" w:rsidRPr="002F47F3" w:rsidRDefault="002F47F3" w:rsidP="002F47F3">
            <w:pPr>
              <w:widowControl w:val="0"/>
              <w:spacing w:after="0" w:line="240" w:lineRule="auto"/>
              <w:jc w:val="center"/>
              <w:rPr>
                <w:rFonts w:ascii="Times New Roman" w:eastAsia="Times New Roman" w:hAnsi="Times New Roman" w:cs="Times New Roman"/>
                <w:lang w:bidi="en-US"/>
              </w:rPr>
            </w:pPr>
            <w:r w:rsidRPr="002F47F3">
              <w:rPr>
                <w:rFonts w:ascii="Times New Roman" w:eastAsia="Times New Roman" w:hAnsi="Times New Roman" w:cs="Times New Roman"/>
                <w:lang w:bidi="en-US"/>
              </w:rPr>
              <w:t>2026</w:t>
            </w:r>
          </w:p>
          <w:p w14:paraId="46C7487C" w14:textId="77777777" w:rsidR="002F47F3" w:rsidRPr="002F47F3" w:rsidRDefault="002F47F3" w:rsidP="002F47F3">
            <w:pPr>
              <w:widowControl w:val="0"/>
              <w:spacing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bidi="en-US"/>
              </w:rPr>
              <w:t>план</w:t>
            </w:r>
          </w:p>
        </w:tc>
      </w:tr>
      <w:tr w:rsidR="002F47F3" w:rsidRPr="002F47F3" w14:paraId="32B55D27" w14:textId="77777777" w:rsidTr="00E63797">
        <w:trPr>
          <w:trHeight w:hRule="exact" w:val="1374"/>
        </w:trPr>
        <w:tc>
          <w:tcPr>
            <w:tcW w:w="686" w:type="dxa"/>
            <w:tcBorders>
              <w:top w:val="single" w:sz="4" w:space="0" w:color="auto"/>
              <w:left w:val="single" w:sz="4" w:space="0" w:color="auto"/>
            </w:tcBorders>
            <w:shd w:val="clear" w:color="auto" w:fill="FFFFFF"/>
            <w:vAlign w:val="center"/>
          </w:tcPr>
          <w:p w14:paraId="0CE3393E"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1.</w:t>
            </w:r>
          </w:p>
        </w:tc>
        <w:tc>
          <w:tcPr>
            <w:tcW w:w="3709" w:type="dxa"/>
            <w:tcBorders>
              <w:top w:val="single" w:sz="4" w:space="0" w:color="auto"/>
              <w:left w:val="single" w:sz="4" w:space="0" w:color="auto"/>
            </w:tcBorders>
            <w:shd w:val="clear" w:color="auto" w:fill="FFFFFF"/>
            <w:vAlign w:val="center"/>
          </w:tcPr>
          <w:p w14:paraId="0417A55E"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696" w:type="dxa"/>
            <w:tcBorders>
              <w:top w:val="single" w:sz="4" w:space="0" w:color="auto"/>
              <w:left w:val="single" w:sz="4" w:space="0" w:color="auto"/>
            </w:tcBorders>
            <w:shd w:val="clear" w:color="auto" w:fill="FFFFFF"/>
            <w:vAlign w:val="center"/>
          </w:tcPr>
          <w:p w14:paraId="1A2FB036" w14:textId="77777777" w:rsidR="002F47F3" w:rsidRPr="002F47F3" w:rsidRDefault="002F47F3" w:rsidP="002F47F3">
            <w:pPr>
              <w:jc w:val="center"/>
              <w:rPr>
                <w:rFonts w:ascii="Times New Roman" w:eastAsia="Times New Roman" w:hAnsi="Times New Roman" w:cs="Times New Roman"/>
                <w:highlight w:val="yellow"/>
                <w:lang w:eastAsia="ru-RU" w:bidi="ru-RU"/>
              </w:rPr>
            </w:pPr>
          </w:p>
        </w:tc>
        <w:tc>
          <w:tcPr>
            <w:tcW w:w="696" w:type="dxa"/>
            <w:tcBorders>
              <w:top w:val="single" w:sz="4" w:space="0" w:color="auto"/>
              <w:left w:val="single" w:sz="4" w:space="0" w:color="auto"/>
            </w:tcBorders>
            <w:shd w:val="clear" w:color="auto" w:fill="FFFFFF"/>
            <w:vAlign w:val="center"/>
          </w:tcPr>
          <w:p w14:paraId="3287CFC6" w14:textId="77777777" w:rsidR="002F47F3" w:rsidRPr="002F47F3" w:rsidRDefault="002F47F3" w:rsidP="002F47F3">
            <w:pPr>
              <w:jc w:val="center"/>
              <w:rPr>
                <w:rFonts w:ascii="Times New Roman" w:eastAsia="Times New Roman" w:hAnsi="Times New Roman" w:cs="Times New Roman"/>
                <w:lang w:eastAsia="ru-RU" w:bidi="ru-RU"/>
              </w:rPr>
            </w:pPr>
          </w:p>
        </w:tc>
        <w:tc>
          <w:tcPr>
            <w:tcW w:w="696" w:type="dxa"/>
            <w:tcBorders>
              <w:top w:val="single" w:sz="4" w:space="0" w:color="auto"/>
              <w:left w:val="single" w:sz="4" w:space="0" w:color="auto"/>
            </w:tcBorders>
            <w:shd w:val="clear" w:color="auto" w:fill="FFFFFF"/>
            <w:vAlign w:val="center"/>
          </w:tcPr>
          <w:p w14:paraId="1F3AB5B3" w14:textId="77777777" w:rsidR="002F47F3" w:rsidRPr="002F47F3" w:rsidRDefault="002F47F3" w:rsidP="002F47F3">
            <w:pPr>
              <w:jc w:val="center"/>
              <w:rPr>
                <w:rFonts w:ascii="Times New Roman" w:eastAsia="Times New Roman" w:hAnsi="Times New Roman" w:cs="Times New Roman"/>
                <w:lang w:eastAsia="ru-RU" w:bidi="ru-RU"/>
              </w:rPr>
            </w:pPr>
          </w:p>
        </w:tc>
        <w:tc>
          <w:tcPr>
            <w:tcW w:w="696" w:type="dxa"/>
            <w:tcBorders>
              <w:top w:val="single" w:sz="4" w:space="0" w:color="auto"/>
              <w:left w:val="single" w:sz="4" w:space="0" w:color="auto"/>
            </w:tcBorders>
            <w:shd w:val="clear" w:color="auto" w:fill="FFFFFF"/>
            <w:vAlign w:val="center"/>
          </w:tcPr>
          <w:p w14:paraId="2A59548B" w14:textId="77777777" w:rsidR="002F47F3" w:rsidRPr="002F47F3" w:rsidRDefault="002F47F3" w:rsidP="002F47F3">
            <w:pPr>
              <w:jc w:val="center"/>
              <w:rPr>
                <w:rFonts w:ascii="Times New Roman" w:eastAsia="Times New Roman" w:hAnsi="Times New Roman" w:cs="Times New Roman"/>
                <w:lang w:eastAsia="ru-RU" w:bidi="ru-RU"/>
              </w:rPr>
            </w:pPr>
          </w:p>
        </w:tc>
        <w:tc>
          <w:tcPr>
            <w:tcW w:w="681" w:type="dxa"/>
            <w:tcBorders>
              <w:top w:val="single" w:sz="4" w:space="0" w:color="auto"/>
              <w:left w:val="single" w:sz="4" w:space="0" w:color="auto"/>
            </w:tcBorders>
            <w:shd w:val="clear" w:color="auto" w:fill="FFFFFF"/>
            <w:vAlign w:val="center"/>
          </w:tcPr>
          <w:p w14:paraId="400D1B08" w14:textId="77777777" w:rsidR="002F47F3" w:rsidRPr="002F47F3" w:rsidRDefault="002F47F3" w:rsidP="002F47F3">
            <w:pPr>
              <w:jc w:val="center"/>
              <w:rPr>
                <w:rFonts w:ascii="Times New Roman" w:eastAsia="Times New Roman" w:hAnsi="Times New Roman" w:cs="Times New Roman"/>
                <w:lang w:eastAsia="ru-RU" w:bidi="ru-RU"/>
              </w:rPr>
            </w:pPr>
          </w:p>
        </w:tc>
        <w:tc>
          <w:tcPr>
            <w:tcW w:w="672" w:type="dxa"/>
            <w:tcBorders>
              <w:top w:val="single" w:sz="4" w:space="0" w:color="auto"/>
              <w:left w:val="single" w:sz="4" w:space="0" w:color="auto"/>
            </w:tcBorders>
            <w:shd w:val="clear" w:color="auto" w:fill="FFFFFF"/>
            <w:vAlign w:val="center"/>
          </w:tcPr>
          <w:p w14:paraId="51D2E722" w14:textId="77777777" w:rsidR="002F47F3" w:rsidRPr="002F47F3" w:rsidRDefault="002F47F3" w:rsidP="002F47F3">
            <w:pPr>
              <w:jc w:val="center"/>
              <w:rPr>
                <w:rFonts w:ascii="Times New Roman" w:eastAsia="Times New Roman" w:hAnsi="Times New Roman" w:cs="Times New Roman"/>
                <w:lang w:eastAsia="ru-RU" w:bidi="ru-RU"/>
              </w:rPr>
            </w:pPr>
          </w:p>
        </w:tc>
        <w:tc>
          <w:tcPr>
            <w:tcW w:w="739" w:type="dxa"/>
            <w:tcBorders>
              <w:top w:val="single" w:sz="4" w:space="0" w:color="auto"/>
              <w:left w:val="single" w:sz="4" w:space="0" w:color="auto"/>
            </w:tcBorders>
            <w:shd w:val="clear" w:color="auto" w:fill="FFFFFF"/>
            <w:vAlign w:val="center"/>
          </w:tcPr>
          <w:p w14:paraId="22F9EC67" w14:textId="77777777" w:rsidR="002F47F3" w:rsidRPr="002F47F3" w:rsidRDefault="002F47F3" w:rsidP="002F47F3">
            <w:pPr>
              <w:jc w:val="center"/>
              <w:rPr>
                <w:rFonts w:ascii="Times New Roman" w:eastAsia="Times New Roman" w:hAnsi="Times New Roman" w:cs="Times New Roman"/>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68EEF838" w14:textId="77777777" w:rsidR="002F47F3" w:rsidRPr="002F47F3" w:rsidRDefault="002F47F3" w:rsidP="002F47F3">
            <w:pPr>
              <w:jc w:val="center"/>
              <w:rPr>
                <w:rFonts w:ascii="Times New Roman" w:eastAsia="Times New Roman" w:hAnsi="Times New Roman" w:cs="Times New Roman"/>
                <w:lang w:eastAsia="ru-RU" w:bidi="ru-RU"/>
              </w:rPr>
            </w:pPr>
          </w:p>
        </w:tc>
      </w:tr>
      <w:tr w:rsidR="002F47F3" w:rsidRPr="002F47F3" w14:paraId="010E3BD6" w14:textId="77777777" w:rsidTr="00E63797">
        <w:trPr>
          <w:trHeight w:hRule="exact" w:val="855"/>
        </w:trPr>
        <w:tc>
          <w:tcPr>
            <w:tcW w:w="686" w:type="dxa"/>
            <w:tcBorders>
              <w:top w:val="single" w:sz="4" w:space="0" w:color="auto"/>
              <w:left w:val="single" w:sz="4" w:space="0" w:color="auto"/>
            </w:tcBorders>
            <w:shd w:val="clear" w:color="auto" w:fill="FFFFFF"/>
            <w:vAlign w:val="center"/>
          </w:tcPr>
          <w:p w14:paraId="72C36EB7"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1.1.</w:t>
            </w:r>
          </w:p>
        </w:tc>
        <w:tc>
          <w:tcPr>
            <w:tcW w:w="3709" w:type="dxa"/>
            <w:tcBorders>
              <w:top w:val="single" w:sz="4" w:space="0" w:color="auto"/>
              <w:left w:val="single" w:sz="4" w:space="0" w:color="auto"/>
            </w:tcBorders>
            <w:shd w:val="clear" w:color="auto" w:fill="FFFFFF"/>
            <w:vAlign w:val="center"/>
          </w:tcPr>
          <w:p w14:paraId="4E7B629B"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Доля животных без владельцев (собак), возвращенных в прежние места обитания</w:t>
            </w:r>
          </w:p>
        </w:tc>
        <w:tc>
          <w:tcPr>
            <w:tcW w:w="696" w:type="dxa"/>
            <w:tcBorders>
              <w:top w:val="single" w:sz="4" w:space="0" w:color="auto"/>
              <w:left w:val="single" w:sz="4" w:space="0" w:color="auto"/>
            </w:tcBorders>
            <w:shd w:val="clear" w:color="auto" w:fill="FFFFFF"/>
            <w:vAlign w:val="center"/>
          </w:tcPr>
          <w:p w14:paraId="6E82C586" w14:textId="77777777" w:rsidR="002F47F3" w:rsidRPr="002F47F3" w:rsidRDefault="002F47F3" w:rsidP="002F47F3">
            <w:pPr>
              <w:jc w:val="center"/>
              <w:rPr>
                <w:rFonts w:ascii="Times New Roman" w:eastAsia="Times New Roman" w:hAnsi="Times New Roman" w:cs="Times New Roman"/>
                <w:highlight w:val="yellow"/>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9E0912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72C64C0"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6D21D158"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4</w:t>
            </w:r>
          </w:p>
        </w:tc>
        <w:tc>
          <w:tcPr>
            <w:tcW w:w="681" w:type="dxa"/>
            <w:tcBorders>
              <w:top w:val="single" w:sz="4" w:space="0" w:color="auto"/>
              <w:left w:val="single" w:sz="4" w:space="0" w:color="auto"/>
            </w:tcBorders>
            <w:shd w:val="clear" w:color="auto" w:fill="FFFFFF"/>
            <w:vAlign w:val="center"/>
          </w:tcPr>
          <w:p w14:paraId="456914A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0</w:t>
            </w:r>
          </w:p>
        </w:tc>
        <w:tc>
          <w:tcPr>
            <w:tcW w:w="672" w:type="dxa"/>
            <w:tcBorders>
              <w:top w:val="single" w:sz="4" w:space="0" w:color="auto"/>
              <w:left w:val="single" w:sz="4" w:space="0" w:color="auto"/>
            </w:tcBorders>
            <w:shd w:val="clear" w:color="auto" w:fill="FFFFFF"/>
            <w:vAlign w:val="center"/>
          </w:tcPr>
          <w:p w14:paraId="6B49417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0</w:t>
            </w:r>
          </w:p>
        </w:tc>
        <w:tc>
          <w:tcPr>
            <w:tcW w:w="739" w:type="dxa"/>
            <w:tcBorders>
              <w:top w:val="single" w:sz="4" w:space="0" w:color="auto"/>
              <w:left w:val="single" w:sz="4" w:space="0" w:color="auto"/>
            </w:tcBorders>
            <w:shd w:val="clear" w:color="auto" w:fill="FFFFFF"/>
            <w:vAlign w:val="center"/>
          </w:tcPr>
          <w:p w14:paraId="7461A8C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0</w:t>
            </w:r>
          </w:p>
        </w:tc>
        <w:tc>
          <w:tcPr>
            <w:tcW w:w="672" w:type="dxa"/>
            <w:tcBorders>
              <w:top w:val="single" w:sz="4" w:space="0" w:color="auto"/>
              <w:left w:val="single" w:sz="4" w:space="0" w:color="auto"/>
              <w:right w:val="single" w:sz="4" w:space="0" w:color="auto"/>
            </w:tcBorders>
            <w:shd w:val="clear" w:color="auto" w:fill="FFFFFF"/>
            <w:vAlign w:val="center"/>
          </w:tcPr>
          <w:p w14:paraId="6193E03C"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0</w:t>
            </w:r>
          </w:p>
        </w:tc>
      </w:tr>
      <w:tr w:rsidR="002F47F3" w:rsidRPr="002F47F3" w14:paraId="4E2658AD" w14:textId="77777777" w:rsidTr="00E63797">
        <w:trPr>
          <w:trHeight w:hRule="exact" w:val="555"/>
        </w:trPr>
        <w:tc>
          <w:tcPr>
            <w:tcW w:w="686" w:type="dxa"/>
            <w:tcBorders>
              <w:top w:val="single" w:sz="4" w:space="0" w:color="auto"/>
              <w:left w:val="single" w:sz="4" w:space="0" w:color="auto"/>
            </w:tcBorders>
            <w:shd w:val="clear" w:color="auto" w:fill="FFFFFF"/>
            <w:vAlign w:val="center"/>
          </w:tcPr>
          <w:p w14:paraId="1A1A32A6" w14:textId="77777777" w:rsidR="002F47F3" w:rsidRPr="002F47F3" w:rsidRDefault="002F47F3" w:rsidP="002F47F3">
            <w:pPr>
              <w:widowControl w:val="0"/>
              <w:spacing w:before="8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1.2.</w:t>
            </w:r>
          </w:p>
        </w:tc>
        <w:tc>
          <w:tcPr>
            <w:tcW w:w="3709" w:type="dxa"/>
            <w:tcBorders>
              <w:top w:val="single" w:sz="4" w:space="0" w:color="auto"/>
              <w:left w:val="single" w:sz="4" w:space="0" w:color="auto"/>
            </w:tcBorders>
            <w:shd w:val="clear" w:color="auto" w:fill="FFFFFF"/>
            <w:vAlign w:val="center"/>
          </w:tcPr>
          <w:p w14:paraId="7A15BCBB"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Доля животных без владельцев (собак), переданных новым владельцам</w:t>
            </w:r>
          </w:p>
        </w:tc>
        <w:tc>
          <w:tcPr>
            <w:tcW w:w="696" w:type="dxa"/>
            <w:tcBorders>
              <w:top w:val="single" w:sz="4" w:space="0" w:color="auto"/>
              <w:left w:val="single" w:sz="4" w:space="0" w:color="auto"/>
            </w:tcBorders>
            <w:shd w:val="clear" w:color="auto" w:fill="FFFFFF"/>
            <w:vAlign w:val="center"/>
          </w:tcPr>
          <w:p w14:paraId="2EF640A4"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381AA89F"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71C3BBD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7D093BE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47</w:t>
            </w:r>
          </w:p>
        </w:tc>
        <w:tc>
          <w:tcPr>
            <w:tcW w:w="681" w:type="dxa"/>
            <w:tcBorders>
              <w:top w:val="single" w:sz="4" w:space="0" w:color="auto"/>
              <w:left w:val="single" w:sz="4" w:space="0" w:color="auto"/>
            </w:tcBorders>
            <w:shd w:val="clear" w:color="auto" w:fill="FFFFFF"/>
            <w:vAlign w:val="center"/>
          </w:tcPr>
          <w:p w14:paraId="664B29C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301</w:t>
            </w:r>
          </w:p>
        </w:tc>
        <w:tc>
          <w:tcPr>
            <w:tcW w:w="672" w:type="dxa"/>
            <w:tcBorders>
              <w:top w:val="single" w:sz="4" w:space="0" w:color="auto"/>
              <w:left w:val="single" w:sz="4" w:space="0" w:color="auto"/>
            </w:tcBorders>
            <w:shd w:val="clear" w:color="auto" w:fill="FFFFFF"/>
            <w:vAlign w:val="center"/>
          </w:tcPr>
          <w:p w14:paraId="6C8EF86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40</w:t>
            </w:r>
          </w:p>
        </w:tc>
        <w:tc>
          <w:tcPr>
            <w:tcW w:w="739" w:type="dxa"/>
            <w:tcBorders>
              <w:top w:val="single" w:sz="4" w:space="0" w:color="auto"/>
              <w:left w:val="single" w:sz="4" w:space="0" w:color="auto"/>
            </w:tcBorders>
            <w:shd w:val="clear" w:color="auto" w:fill="FFFFFF"/>
            <w:vAlign w:val="center"/>
          </w:tcPr>
          <w:p w14:paraId="43DBA4D0"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40</w:t>
            </w:r>
          </w:p>
        </w:tc>
        <w:tc>
          <w:tcPr>
            <w:tcW w:w="672" w:type="dxa"/>
            <w:tcBorders>
              <w:top w:val="single" w:sz="4" w:space="0" w:color="auto"/>
              <w:left w:val="single" w:sz="4" w:space="0" w:color="auto"/>
              <w:right w:val="single" w:sz="4" w:space="0" w:color="auto"/>
            </w:tcBorders>
            <w:shd w:val="clear" w:color="auto" w:fill="FFFFFF"/>
            <w:vAlign w:val="center"/>
          </w:tcPr>
          <w:p w14:paraId="5C4E97E7"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50</w:t>
            </w:r>
          </w:p>
        </w:tc>
      </w:tr>
      <w:tr w:rsidR="002F47F3" w:rsidRPr="002F47F3" w14:paraId="7BB1E3F6" w14:textId="77777777" w:rsidTr="00E63797">
        <w:trPr>
          <w:trHeight w:hRule="exact" w:val="847"/>
        </w:trPr>
        <w:tc>
          <w:tcPr>
            <w:tcW w:w="686" w:type="dxa"/>
            <w:tcBorders>
              <w:top w:val="single" w:sz="4" w:space="0" w:color="auto"/>
              <w:left w:val="single" w:sz="4" w:space="0" w:color="auto"/>
            </w:tcBorders>
            <w:shd w:val="clear" w:color="auto" w:fill="FFFFFF"/>
            <w:vAlign w:val="center"/>
          </w:tcPr>
          <w:p w14:paraId="3024C3EF"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1.3.</w:t>
            </w:r>
          </w:p>
        </w:tc>
        <w:tc>
          <w:tcPr>
            <w:tcW w:w="3709" w:type="dxa"/>
            <w:tcBorders>
              <w:top w:val="single" w:sz="4" w:space="0" w:color="auto"/>
              <w:left w:val="single" w:sz="4" w:space="0" w:color="auto"/>
            </w:tcBorders>
            <w:shd w:val="clear" w:color="auto" w:fill="FFFFFF"/>
            <w:vAlign w:val="center"/>
          </w:tcPr>
          <w:p w14:paraId="0D7D6E8F"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Снижение численности животных без владельцев (собак) к предыдущему году, в размере не менее 15%</w:t>
            </w:r>
          </w:p>
        </w:tc>
        <w:tc>
          <w:tcPr>
            <w:tcW w:w="696" w:type="dxa"/>
            <w:tcBorders>
              <w:top w:val="single" w:sz="4" w:space="0" w:color="auto"/>
              <w:left w:val="single" w:sz="4" w:space="0" w:color="auto"/>
            </w:tcBorders>
            <w:shd w:val="clear" w:color="auto" w:fill="FFFFFF"/>
            <w:vAlign w:val="center"/>
          </w:tcPr>
          <w:p w14:paraId="2007296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4DCC633B"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3507B037"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03000966"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15</w:t>
            </w:r>
          </w:p>
        </w:tc>
        <w:tc>
          <w:tcPr>
            <w:tcW w:w="681" w:type="dxa"/>
            <w:tcBorders>
              <w:top w:val="single" w:sz="4" w:space="0" w:color="auto"/>
              <w:left w:val="single" w:sz="4" w:space="0" w:color="auto"/>
            </w:tcBorders>
            <w:shd w:val="clear" w:color="auto" w:fill="FFFFFF"/>
            <w:vAlign w:val="center"/>
          </w:tcPr>
          <w:p w14:paraId="3375323F"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55</w:t>
            </w:r>
          </w:p>
        </w:tc>
        <w:tc>
          <w:tcPr>
            <w:tcW w:w="672" w:type="dxa"/>
            <w:tcBorders>
              <w:top w:val="single" w:sz="4" w:space="0" w:color="auto"/>
              <w:left w:val="single" w:sz="4" w:space="0" w:color="auto"/>
            </w:tcBorders>
            <w:shd w:val="clear" w:color="auto" w:fill="FFFFFF"/>
            <w:vAlign w:val="center"/>
          </w:tcPr>
          <w:p w14:paraId="32156A77"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15</w:t>
            </w:r>
          </w:p>
        </w:tc>
        <w:tc>
          <w:tcPr>
            <w:tcW w:w="739" w:type="dxa"/>
            <w:tcBorders>
              <w:top w:val="single" w:sz="4" w:space="0" w:color="auto"/>
              <w:left w:val="single" w:sz="4" w:space="0" w:color="auto"/>
            </w:tcBorders>
            <w:shd w:val="clear" w:color="auto" w:fill="FFFFFF"/>
            <w:vAlign w:val="center"/>
          </w:tcPr>
          <w:p w14:paraId="7AA21DF6"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15</w:t>
            </w:r>
          </w:p>
        </w:tc>
        <w:tc>
          <w:tcPr>
            <w:tcW w:w="672" w:type="dxa"/>
            <w:tcBorders>
              <w:top w:val="single" w:sz="4" w:space="0" w:color="auto"/>
              <w:left w:val="single" w:sz="4" w:space="0" w:color="auto"/>
              <w:right w:val="single" w:sz="4" w:space="0" w:color="auto"/>
            </w:tcBorders>
            <w:shd w:val="clear" w:color="auto" w:fill="FFFFFF"/>
            <w:vAlign w:val="center"/>
          </w:tcPr>
          <w:p w14:paraId="38645231"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15</w:t>
            </w:r>
          </w:p>
        </w:tc>
      </w:tr>
      <w:tr w:rsidR="002F47F3" w:rsidRPr="002F47F3" w14:paraId="7656F6A3" w14:textId="77777777" w:rsidTr="00E63797">
        <w:trPr>
          <w:trHeight w:hRule="exact" w:val="1282"/>
        </w:trPr>
        <w:tc>
          <w:tcPr>
            <w:tcW w:w="686" w:type="dxa"/>
            <w:tcBorders>
              <w:top w:val="single" w:sz="4" w:space="0" w:color="auto"/>
              <w:left w:val="single" w:sz="4" w:space="0" w:color="auto"/>
            </w:tcBorders>
            <w:shd w:val="clear" w:color="auto" w:fill="FFFFFF"/>
            <w:vAlign w:val="center"/>
          </w:tcPr>
          <w:p w14:paraId="72833D1D"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2.</w:t>
            </w:r>
          </w:p>
        </w:tc>
        <w:tc>
          <w:tcPr>
            <w:tcW w:w="3709" w:type="dxa"/>
            <w:tcBorders>
              <w:top w:val="single" w:sz="4" w:space="0" w:color="auto"/>
              <w:left w:val="single" w:sz="4" w:space="0" w:color="auto"/>
            </w:tcBorders>
            <w:shd w:val="clear" w:color="auto" w:fill="FFFFFF"/>
            <w:vAlign w:val="center"/>
          </w:tcPr>
          <w:p w14:paraId="2FCC7F57"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696" w:type="dxa"/>
            <w:tcBorders>
              <w:top w:val="single" w:sz="4" w:space="0" w:color="auto"/>
              <w:left w:val="single" w:sz="4" w:space="0" w:color="auto"/>
            </w:tcBorders>
            <w:shd w:val="clear" w:color="auto" w:fill="FFFFFF"/>
            <w:vAlign w:val="center"/>
          </w:tcPr>
          <w:p w14:paraId="533E058B" w14:textId="77777777" w:rsidR="002F47F3" w:rsidRPr="002F47F3" w:rsidRDefault="002F47F3" w:rsidP="002F47F3">
            <w:pPr>
              <w:jc w:val="center"/>
              <w:rPr>
                <w:rFonts w:ascii="Times New Roman" w:eastAsia="Times New Roman" w:hAnsi="Times New Roman" w:cs="Times New Roman"/>
                <w:highlight w:val="yellow"/>
                <w:lang w:eastAsia="ru-RU" w:bidi="ru-RU"/>
              </w:rPr>
            </w:pPr>
          </w:p>
        </w:tc>
        <w:tc>
          <w:tcPr>
            <w:tcW w:w="696" w:type="dxa"/>
            <w:tcBorders>
              <w:top w:val="single" w:sz="4" w:space="0" w:color="auto"/>
              <w:left w:val="single" w:sz="4" w:space="0" w:color="auto"/>
            </w:tcBorders>
            <w:shd w:val="clear" w:color="auto" w:fill="FFFFFF"/>
            <w:vAlign w:val="center"/>
          </w:tcPr>
          <w:p w14:paraId="0D6796A4" w14:textId="77777777" w:rsidR="002F47F3" w:rsidRPr="002F47F3" w:rsidRDefault="002F47F3" w:rsidP="002F47F3">
            <w:pPr>
              <w:jc w:val="center"/>
              <w:rPr>
                <w:rFonts w:ascii="Times New Roman" w:eastAsia="Times New Roman" w:hAnsi="Times New Roman" w:cs="Times New Roman"/>
                <w:lang w:eastAsia="ru-RU" w:bidi="ru-RU"/>
              </w:rPr>
            </w:pPr>
          </w:p>
        </w:tc>
        <w:tc>
          <w:tcPr>
            <w:tcW w:w="696" w:type="dxa"/>
            <w:tcBorders>
              <w:top w:val="single" w:sz="4" w:space="0" w:color="auto"/>
              <w:left w:val="single" w:sz="4" w:space="0" w:color="auto"/>
            </w:tcBorders>
            <w:shd w:val="clear" w:color="auto" w:fill="FFFFFF"/>
            <w:vAlign w:val="center"/>
          </w:tcPr>
          <w:p w14:paraId="5A0ACFB1" w14:textId="77777777" w:rsidR="002F47F3" w:rsidRPr="002F47F3" w:rsidRDefault="002F47F3" w:rsidP="002F47F3">
            <w:pPr>
              <w:jc w:val="center"/>
              <w:rPr>
                <w:rFonts w:ascii="Times New Roman" w:eastAsia="Times New Roman" w:hAnsi="Times New Roman" w:cs="Times New Roman"/>
                <w:lang w:eastAsia="ru-RU" w:bidi="ru-RU"/>
              </w:rPr>
            </w:pPr>
          </w:p>
        </w:tc>
        <w:tc>
          <w:tcPr>
            <w:tcW w:w="696" w:type="dxa"/>
            <w:tcBorders>
              <w:top w:val="single" w:sz="4" w:space="0" w:color="auto"/>
              <w:left w:val="single" w:sz="4" w:space="0" w:color="auto"/>
            </w:tcBorders>
            <w:shd w:val="clear" w:color="auto" w:fill="FFFFFF"/>
            <w:vAlign w:val="center"/>
          </w:tcPr>
          <w:p w14:paraId="6BCEA964" w14:textId="77777777" w:rsidR="002F47F3" w:rsidRPr="002F47F3" w:rsidRDefault="002F47F3" w:rsidP="002F47F3">
            <w:pPr>
              <w:jc w:val="center"/>
              <w:rPr>
                <w:rFonts w:ascii="Times New Roman" w:eastAsia="Times New Roman" w:hAnsi="Times New Roman" w:cs="Times New Roman"/>
                <w:lang w:eastAsia="ru-RU" w:bidi="ru-RU"/>
              </w:rPr>
            </w:pPr>
          </w:p>
        </w:tc>
        <w:tc>
          <w:tcPr>
            <w:tcW w:w="681" w:type="dxa"/>
            <w:tcBorders>
              <w:top w:val="single" w:sz="4" w:space="0" w:color="auto"/>
              <w:left w:val="single" w:sz="4" w:space="0" w:color="auto"/>
            </w:tcBorders>
            <w:shd w:val="clear" w:color="auto" w:fill="FFFFFF"/>
            <w:vAlign w:val="center"/>
          </w:tcPr>
          <w:p w14:paraId="72455756" w14:textId="77777777" w:rsidR="002F47F3" w:rsidRPr="002F47F3" w:rsidRDefault="002F47F3" w:rsidP="002F47F3">
            <w:pPr>
              <w:jc w:val="center"/>
              <w:rPr>
                <w:rFonts w:ascii="Times New Roman" w:eastAsia="Times New Roman" w:hAnsi="Times New Roman" w:cs="Times New Roman"/>
                <w:lang w:eastAsia="ru-RU" w:bidi="ru-RU"/>
              </w:rPr>
            </w:pPr>
          </w:p>
        </w:tc>
        <w:tc>
          <w:tcPr>
            <w:tcW w:w="672" w:type="dxa"/>
            <w:tcBorders>
              <w:top w:val="single" w:sz="4" w:space="0" w:color="auto"/>
              <w:left w:val="single" w:sz="4" w:space="0" w:color="auto"/>
            </w:tcBorders>
            <w:shd w:val="clear" w:color="auto" w:fill="FFFFFF"/>
            <w:vAlign w:val="center"/>
          </w:tcPr>
          <w:p w14:paraId="693481BD" w14:textId="77777777" w:rsidR="002F47F3" w:rsidRPr="002F47F3" w:rsidRDefault="002F47F3" w:rsidP="002F47F3">
            <w:pPr>
              <w:jc w:val="center"/>
              <w:rPr>
                <w:rFonts w:ascii="Times New Roman" w:eastAsia="Times New Roman" w:hAnsi="Times New Roman" w:cs="Times New Roman"/>
                <w:lang w:eastAsia="ru-RU" w:bidi="ru-RU"/>
              </w:rPr>
            </w:pPr>
          </w:p>
        </w:tc>
        <w:tc>
          <w:tcPr>
            <w:tcW w:w="739" w:type="dxa"/>
            <w:tcBorders>
              <w:top w:val="single" w:sz="4" w:space="0" w:color="auto"/>
              <w:left w:val="single" w:sz="4" w:space="0" w:color="auto"/>
            </w:tcBorders>
            <w:shd w:val="clear" w:color="auto" w:fill="FFFFFF"/>
            <w:vAlign w:val="center"/>
          </w:tcPr>
          <w:p w14:paraId="1E622779" w14:textId="77777777" w:rsidR="002F47F3" w:rsidRPr="002F47F3" w:rsidRDefault="002F47F3" w:rsidP="002F47F3">
            <w:pPr>
              <w:jc w:val="center"/>
              <w:rPr>
                <w:rFonts w:ascii="Times New Roman" w:eastAsia="Times New Roman" w:hAnsi="Times New Roman" w:cs="Times New Roman"/>
                <w:lang w:eastAsia="ru-RU" w:bidi="ru-RU"/>
              </w:rPr>
            </w:pPr>
          </w:p>
        </w:tc>
        <w:tc>
          <w:tcPr>
            <w:tcW w:w="672" w:type="dxa"/>
            <w:tcBorders>
              <w:top w:val="single" w:sz="4" w:space="0" w:color="auto"/>
              <w:left w:val="single" w:sz="4" w:space="0" w:color="auto"/>
              <w:right w:val="single" w:sz="4" w:space="0" w:color="auto"/>
            </w:tcBorders>
            <w:shd w:val="clear" w:color="auto" w:fill="FFFFFF"/>
            <w:vAlign w:val="center"/>
          </w:tcPr>
          <w:p w14:paraId="36911171" w14:textId="77777777" w:rsidR="002F47F3" w:rsidRPr="002F47F3" w:rsidRDefault="002F47F3" w:rsidP="002F47F3">
            <w:pPr>
              <w:jc w:val="center"/>
              <w:rPr>
                <w:rFonts w:ascii="Times New Roman" w:eastAsia="Times New Roman" w:hAnsi="Times New Roman" w:cs="Times New Roman"/>
                <w:lang w:eastAsia="ru-RU" w:bidi="ru-RU"/>
              </w:rPr>
            </w:pPr>
          </w:p>
        </w:tc>
      </w:tr>
      <w:tr w:rsidR="002F47F3" w:rsidRPr="002F47F3" w14:paraId="105DBE13" w14:textId="77777777" w:rsidTr="00E63797">
        <w:trPr>
          <w:trHeight w:hRule="exact" w:val="555"/>
        </w:trPr>
        <w:tc>
          <w:tcPr>
            <w:tcW w:w="686" w:type="dxa"/>
            <w:tcBorders>
              <w:top w:val="single" w:sz="4" w:space="0" w:color="auto"/>
              <w:left w:val="single" w:sz="4" w:space="0" w:color="auto"/>
            </w:tcBorders>
            <w:shd w:val="clear" w:color="auto" w:fill="FFFFFF"/>
            <w:vAlign w:val="center"/>
          </w:tcPr>
          <w:p w14:paraId="0140BC36"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2.1.</w:t>
            </w:r>
          </w:p>
        </w:tc>
        <w:tc>
          <w:tcPr>
            <w:tcW w:w="3709" w:type="dxa"/>
            <w:tcBorders>
              <w:top w:val="single" w:sz="4" w:space="0" w:color="auto"/>
              <w:left w:val="single" w:sz="4" w:space="0" w:color="auto"/>
            </w:tcBorders>
            <w:shd w:val="clear" w:color="auto" w:fill="FFFFFF"/>
            <w:vAlign w:val="center"/>
          </w:tcPr>
          <w:p w14:paraId="2B8113CC"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 xml:space="preserve">Количество обращений граждан в расчете на 10 тыс. человек населения </w:t>
            </w:r>
          </w:p>
        </w:tc>
        <w:tc>
          <w:tcPr>
            <w:tcW w:w="696" w:type="dxa"/>
            <w:tcBorders>
              <w:top w:val="single" w:sz="4" w:space="0" w:color="auto"/>
              <w:left w:val="single" w:sz="4" w:space="0" w:color="auto"/>
            </w:tcBorders>
            <w:shd w:val="clear" w:color="auto" w:fill="FFFFFF"/>
            <w:vAlign w:val="center"/>
          </w:tcPr>
          <w:p w14:paraId="11E14B16" w14:textId="77777777" w:rsidR="002F47F3" w:rsidRPr="002F47F3" w:rsidRDefault="002F47F3" w:rsidP="002F47F3">
            <w:pPr>
              <w:jc w:val="center"/>
              <w:rPr>
                <w:rFonts w:ascii="Times New Roman" w:eastAsia="Times New Roman" w:hAnsi="Times New Roman" w:cs="Times New Roman"/>
                <w:highlight w:val="yellow"/>
                <w:lang w:eastAsia="ru-RU" w:bidi="ru-RU"/>
              </w:rPr>
            </w:pPr>
            <w:r w:rsidRPr="002F47F3">
              <w:rPr>
                <w:rFonts w:ascii="Times New Roman" w:eastAsia="Times New Roman" w:hAnsi="Times New Roman" w:cs="Times New Roman"/>
                <w:lang w:eastAsia="ru-RU" w:bidi="ru-RU"/>
              </w:rPr>
              <w:t>ед.</w:t>
            </w:r>
          </w:p>
        </w:tc>
        <w:tc>
          <w:tcPr>
            <w:tcW w:w="696" w:type="dxa"/>
            <w:tcBorders>
              <w:top w:val="single" w:sz="4" w:space="0" w:color="auto"/>
              <w:left w:val="single" w:sz="4" w:space="0" w:color="auto"/>
            </w:tcBorders>
            <w:shd w:val="clear" w:color="auto" w:fill="FFFFFF"/>
            <w:vAlign w:val="center"/>
          </w:tcPr>
          <w:p w14:paraId="0B0A3F0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2320E24C"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3F964B46"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9</w:t>
            </w:r>
          </w:p>
        </w:tc>
        <w:tc>
          <w:tcPr>
            <w:tcW w:w="681" w:type="dxa"/>
            <w:tcBorders>
              <w:top w:val="single" w:sz="4" w:space="0" w:color="auto"/>
              <w:left w:val="single" w:sz="4" w:space="0" w:color="auto"/>
            </w:tcBorders>
            <w:shd w:val="clear" w:color="auto" w:fill="FFFFFF"/>
            <w:vAlign w:val="center"/>
          </w:tcPr>
          <w:p w14:paraId="03D28D78"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7,3</w:t>
            </w:r>
          </w:p>
        </w:tc>
        <w:tc>
          <w:tcPr>
            <w:tcW w:w="672" w:type="dxa"/>
            <w:tcBorders>
              <w:top w:val="single" w:sz="4" w:space="0" w:color="auto"/>
              <w:left w:val="single" w:sz="4" w:space="0" w:color="auto"/>
            </w:tcBorders>
            <w:shd w:val="clear" w:color="auto" w:fill="FFFFFF"/>
            <w:vAlign w:val="center"/>
          </w:tcPr>
          <w:p w14:paraId="3F89E5E6"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5</w:t>
            </w:r>
          </w:p>
        </w:tc>
        <w:tc>
          <w:tcPr>
            <w:tcW w:w="739" w:type="dxa"/>
            <w:tcBorders>
              <w:top w:val="single" w:sz="4" w:space="0" w:color="auto"/>
              <w:left w:val="single" w:sz="4" w:space="0" w:color="auto"/>
              <w:right w:val="single" w:sz="4" w:space="0" w:color="auto"/>
            </w:tcBorders>
            <w:shd w:val="clear" w:color="auto" w:fill="FFFFFF"/>
            <w:vAlign w:val="center"/>
          </w:tcPr>
          <w:p w14:paraId="28456FF7"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3</w:t>
            </w:r>
          </w:p>
        </w:tc>
        <w:tc>
          <w:tcPr>
            <w:tcW w:w="672" w:type="dxa"/>
            <w:tcBorders>
              <w:top w:val="single" w:sz="4" w:space="0" w:color="auto"/>
              <w:left w:val="single" w:sz="4" w:space="0" w:color="auto"/>
              <w:right w:val="single" w:sz="4" w:space="0" w:color="auto"/>
            </w:tcBorders>
            <w:shd w:val="clear" w:color="auto" w:fill="FFFFFF"/>
            <w:vAlign w:val="center"/>
          </w:tcPr>
          <w:p w14:paraId="0AE50E2E"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3</w:t>
            </w:r>
          </w:p>
        </w:tc>
      </w:tr>
      <w:tr w:rsidR="002F47F3" w:rsidRPr="002F47F3" w14:paraId="3348CD59" w14:textId="77777777" w:rsidTr="00E63797">
        <w:trPr>
          <w:trHeight w:hRule="exact" w:val="577"/>
        </w:trPr>
        <w:tc>
          <w:tcPr>
            <w:tcW w:w="686" w:type="dxa"/>
            <w:tcBorders>
              <w:top w:val="single" w:sz="4" w:space="0" w:color="auto"/>
              <w:left w:val="single" w:sz="4" w:space="0" w:color="auto"/>
            </w:tcBorders>
            <w:shd w:val="clear" w:color="auto" w:fill="FFFFFF"/>
            <w:vAlign w:val="center"/>
          </w:tcPr>
          <w:p w14:paraId="77519DB0"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2.2.</w:t>
            </w:r>
          </w:p>
        </w:tc>
        <w:tc>
          <w:tcPr>
            <w:tcW w:w="3709" w:type="dxa"/>
            <w:tcBorders>
              <w:top w:val="single" w:sz="4" w:space="0" w:color="auto"/>
              <w:left w:val="single" w:sz="4" w:space="0" w:color="auto"/>
            </w:tcBorders>
            <w:shd w:val="clear" w:color="auto" w:fill="FFFFFF"/>
            <w:vAlign w:val="center"/>
          </w:tcPr>
          <w:p w14:paraId="111B7163"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Количество нападений собак в расчете на 10 тыс. человек населения</w:t>
            </w:r>
          </w:p>
        </w:tc>
        <w:tc>
          <w:tcPr>
            <w:tcW w:w="696" w:type="dxa"/>
            <w:tcBorders>
              <w:top w:val="single" w:sz="4" w:space="0" w:color="auto"/>
              <w:left w:val="single" w:sz="4" w:space="0" w:color="auto"/>
            </w:tcBorders>
            <w:shd w:val="clear" w:color="auto" w:fill="FFFFFF"/>
            <w:vAlign w:val="center"/>
          </w:tcPr>
          <w:p w14:paraId="64D98D9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ед.</w:t>
            </w:r>
          </w:p>
        </w:tc>
        <w:tc>
          <w:tcPr>
            <w:tcW w:w="696" w:type="dxa"/>
            <w:tcBorders>
              <w:top w:val="single" w:sz="4" w:space="0" w:color="auto"/>
              <w:left w:val="single" w:sz="4" w:space="0" w:color="auto"/>
            </w:tcBorders>
            <w:shd w:val="clear" w:color="auto" w:fill="FFFFFF"/>
            <w:vAlign w:val="center"/>
          </w:tcPr>
          <w:p w14:paraId="091A0DFD"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47974980"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tcBorders>
            <w:shd w:val="clear" w:color="auto" w:fill="FFFFFF"/>
            <w:vAlign w:val="center"/>
          </w:tcPr>
          <w:p w14:paraId="11EB7BE2"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8</w:t>
            </w:r>
          </w:p>
        </w:tc>
        <w:tc>
          <w:tcPr>
            <w:tcW w:w="681" w:type="dxa"/>
            <w:tcBorders>
              <w:top w:val="single" w:sz="4" w:space="0" w:color="auto"/>
              <w:left w:val="single" w:sz="4" w:space="0" w:color="auto"/>
            </w:tcBorders>
            <w:shd w:val="clear" w:color="auto" w:fill="FFFFFF"/>
            <w:vAlign w:val="center"/>
          </w:tcPr>
          <w:p w14:paraId="11FC526A"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5</w:t>
            </w:r>
          </w:p>
        </w:tc>
        <w:tc>
          <w:tcPr>
            <w:tcW w:w="672" w:type="dxa"/>
            <w:tcBorders>
              <w:top w:val="single" w:sz="4" w:space="0" w:color="auto"/>
              <w:left w:val="single" w:sz="4" w:space="0" w:color="auto"/>
            </w:tcBorders>
            <w:shd w:val="clear" w:color="auto" w:fill="FFFFFF"/>
            <w:vAlign w:val="center"/>
          </w:tcPr>
          <w:p w14:paraId="17F260A9" w14:textId="37F609E7" w:rsidR="002F47F3" w:rsidRPr="002F47F3" w:rsidRDefault="0033389E" w:rsidP="002F47F3">
            <w:pPr>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4,1</w:t>
            </w:r>
          </w:p>
        </w:tc>
        <w:tc>
          <w:tcPr>
            <w:tcW w:w="739" w:type="dxa"/>
            <w:tcBorders>
              <w:top w:val="single" w:sz="4" w:space="0" w:color="auto"/>
              <w:left w:val="single" w:sz="4" w:space="0" w:color="auto"/>
              <w:right w:val="single" w:sz="4" w:space="0" w:color="auto"/>
            </w:tcBorders>
            <w:shd w:val="clear" w:color="auto" w:fill="FFFFFF"/>
            <w:vAlign w:val="center"/>
          </w:tcPr>
          <w:p w14:paraId="4872F70E"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2</w:t>
            </w:r>
          </w:p>
        </w:tc>
        <w:tc>
          <w:tcPr>
            <w:tcW w:w="672" w:type="dxa"/>
            <w:tcBorders>
              <w:top w:val="single" w:sz="4" w:space="0" w:color="auto"/>
              <w:left w:val="single" w:sz="4" w:space="0" w:color="auto"/>
              <w:right w:val="single" w:sz="4" w:space="0" w:color="auto"/>
            </w:tcBorders>
            <w:shd w:val="clear" w:color="auto" w:fill="FFFFFF"/>
            <w:vAlign w:val="center"/>
          </w:tcPr>
          <w:p w14:paraId="7D7CAEBF"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2</w:t>
            </w:r>
          </w:p>
        </w:tc>
      </w:tr>
      <w:tr w:rsidR="002F47F3" w:rsidRPr="002F47F3" w14:paraId="307F6AC9" w14:textId="77777777" w:rsidTr="00E63797">
        <w:trPr>
          <w:trHeight w:hRule="exact" w:val="565"/>
        </w:trPr>
        <w:tc>
          <w:tcPr>
            <w:tcW w:w="686" w:type="dxa"/>
            <w:tcBorders>
              <w:top w:val="single" w:sz="4" w:space="0" w:color="auto"/>
              <w:left w:val="single" w:sz="4" w:space="0" w:color="auto"/>
              <w:bottom w:val="single" w:sz="4" w:space="0" w:color="auto"/>
            </w:tcBorders>
            <w:shd w:val="clear" w:color="auto" w:fill="FFFFFF"/>
            <w:vAlign w:val="center"/>
          </w:tcPr>
          <w:p w14:paraId="0AFAA1D5"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2.3.</w:t>
            </w:r>
          </w:p>
        </w:tc>
        <w:tc>
          <w:tcPr>
            <w:tcW w:w="3709" w:type="dxa"/>
            <w:tcBorders>
              <w:top w:val="single" w:sz="4" w:space="0" w:color="auto"/>
              <w:left w:val="single" w:sz="4" w:space="0" w:color="auto"/>
              <w:bottom w:val="single" w:sz="4" w:space="0" w:color="auto"/>
            </w:tcBorders>
            <w:shd w:val="clear" w:color="auto" w:fill="FFFFFF"/>
            <w:vAlign w:val="center"/>
          </w:tcPr>
          <w:p w14:paraId="4C1F1B54"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Доля выполненных заявок на отлов собак</w:t>
            </w:r>
          </w:p>
        </w:tc>
        <w:tc>
          <w:tcPr>
            <w:tcW w:w="696" w:type="dxa"/>
            <w:tcBorders>
              <w:top w:val="single" w:sz="4" w:space="0" w:color="auto"/>
              <w:left w:val="single" w:sz="4" w:space="0" w:color="auto"/>
              <w:bottom w:val="single" w:sz="4" w:space="0" w:color="auto"/>
            </w:tcBorders>
            <w:shd w:val="clear" w:color="auto" w:fill="FFFFFF"/>
            <w:vAlign w:val="center"/>
          </w:tcPr>
          <w:p w14:paraId="60685322"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1D4A3597"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42F6AD75"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0C6945E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c>
          <w:tcPr>
            <w:tcW w:w="681" w:type="dxa"/>
            <w:tcBorders>
              <w:top w:val="single" w:sz="4" w:space="0" w:color="auto"/>
              <w:left w:val="single" w:sz="4" w:space="0" w:color="auto"/>
              <w:bottom w:val="single" w:sz="4" w:space="0" w:color="auto"/>
            </w:tcBorders>
            <w:shd w:val="clear" w:color="auto" w:fill="FFFFFF"/>
            <w:vAlign w:val="center"/>
          </w:tcPr>
          <w:p w14:paraId="3DABBE68"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86</w:t>
            </w:r>
          </w:p>
        </w:tc>
        <w:tc>
          <w:tcPr>
            <w:tcW w:w="672" w:type="dxa"/>
            <w:tcBorders>
              <w:top w:val="single" w:sz="4" w:space="0" w:color="auto"/>
              <w:left w:val="single" w:sz="4" w:space="0" w:color="auto"/>
              <w:bottom w:val="single" w:sz="4" w:space="0" w:color="auto"/>
            </w:tcBorders>
            <w:shd w:val="clear" w:color="auto" w:fill="FFFFFF"/>
            <w:vAlign w:val="center"/>
          </w:tcPr>
          <w:p w14:paraId="00B46F8E"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c>
          <w:tcPr>
            <w:tcW w:w="739" w:type="dxa"/>
            <w:tcBorders>
              <w:top w:val="single" w:sz="4" w:space="0" w:color="auto"/>
              <w:left w:val="single" w:sz="4" w:space="0" w:color="auto"/>
              <w:bottom w:val="single" w:sz="4" w:space="0" w:color="auto"/>
            </w:tcBorders>
            <w:shd w:val="clear" w:color="auto" w:fill="FFFFFF"/>
            <w:vAlign w:val="center"/>
          </w:tcPr>
          <w:p w14:paraId="252850E9"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16B4C893"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r>
      <w:tr w:rsidR="002F47F3" w:rsidRPr="002F47F3" w14:paraId="0E3BC6BF" w14:textId="77777777" w:rsidTr="00E63797">
        <w:trPr>
          <w:trHeight w:hRule="exact" w:val="1278"/>
        </w:trPr>
        <w:tc>
          <w:tcPr>
            <w:tcW w:w="686" w:type="dxa"/>
            <w:tcBorders>
              <w:top w:val="single" w:sz="4" w:space="0" w:color="auto"/>
              <w:left w:val="single" w:sz="4" w:space="0" w:color="auto"/>
              <w:bottom w:val="single" w:sz="4" w:space="0" w:color="auto"/>
            </w:tcBorders>
            <w:shd w:val="clear" w:color="auto" w:fill="FFFFFF"/>
            <w:vAlign w:val="center"/>
          </w:tcPr>
          <w:p w14:paraId="233065C5" w14:textId="77777777" w:rsidR="002F47F3" w:rsidRPr="002F47F3" w:rsidRDefault="002F47F3" w:rsidP="002F47F3">
            <w:pPr>
              <w:widowControl w:val="0"/>
              <w:spacing w:before="100" w:after="0" w:line="240" w:lineRule="auto"/>
              <w:jc w:val="center"/>
              <w:rPr>
                <w:rFonts w:ascii="Times New Roman" w:eastAsia="Times New Roman" w:hAnsi="Times New Roman" w:cs="Times New Roman"/>
              </w:rPr>
            </w:pPr>
            <w:r w:rsidRPr="002F47F3">
              <w:rPr>
                <w:rFonts w:ascii="Times New Roman" w:eastAsia="Times New Roman" w:hAnsi="Times New Roman" w:cs="Times New Roman"/>
                <w:lang w:eastAsia="ru-RU" w:bidi="ru-RU"/>
              </w:rPr>
              <w:t>3.</w:t>
            </w:r>
          </w:p>
        </w:tc>
        <w:tc>
          <w:tcPr>
            <w:tcW w:w="3709" w:type="dxa"/>
            <w:tcBorders>
              <w:top w:val="single" w:sz="4" w:space="0" w:color="auto"/>
              <w:left w:val="single" w:sz="4" w:space="0" w:color="auto"/>
              <w:bottom w:val="single" w:sz="4" w:space="0" w:color="auto"/>
            </w:tcBorders>
            <w:shd w:val="clear" w:color="auto" w:fill="FFFFFF"/>
            <w:vAlign w:val="center"/>
          </w:tcPr>
          <w:p w14:paraId="12BCF001" w14:textId="77777777" w:rsidR="002F47F3" w:rsidRPr="002F47F3" w:rsidRDefault="002F47F3" w:rsidP="002F47F3">
            <w:pPr>
              <w:widowControl w:val="0"/>
              <w:spacing w:after="0" w:line="240" w:lineRule="auto"/>
              <w:ind w:left="155" w:right="132"/>
              <w:jc w:val="both"/>
              <w:rPr>
                <w:rFonts w:ascii="Times New Roman" w:eastAsia="Times New Roman" w:hAnsi="Times New Roman" w:cs="Times New Roman"/>
              </w:rPr>
            </w:pPr>
            <w:r w:rsidRPr="002F47F3">
              <w:rPr>
                <w:rFonts w:ascii="Times New Roman" w:eastAsia="Times New Roman" w:hAnsi="Times New Roman" w:cs="Times New Roman"/>
                <w:lang w:eastAsia="ru-RU" w:bidi="ru-RU"/>
              </w:rPr>
              <w:t>Обеспеченность территорий городских округов и муниципальных районов автономного округа площадками для выгула и дрессировки собак</w:t>
            </w:r>
          </w:p>
        </w:tc>
        <w:tc>
          <w:tcPr>
            <w:tcW w:w="696" w:type="dxa"/>
            <w:tcBorders>
              <w:top w:val="single" w:sz="4" w:space="0" w:color="auto"/>
              <w:left w:val="single" w:sz="4" w:space="0" w:color="auto"/>
              <w:bottom w:val="single" w:sz="4" w:space="0" w:color="auto"/>
            </w:tcBorders>
            <w:shd w:val="clear" w:color="auto" w:fill="FFFFFF"/>
            <w:vAlign w:val="center"/>
          </w:tcPr>
          <w:p w14:paraId="754FFF62"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190550D2"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7BFA4E0B"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w:t>
            </w:r>
          </w:p>
        </w:tc>
        <w:tc>
          <w:tcPr>
            <w:tcW w:w="696" w:type="dxa"/>
            <w:tcBorders>
              <w:top w:val="single" w:sz="4" w:space="0" w:color="auto"/>
              <w:left w:val="single" w:sz="4" w:space="0" w:color="auto"/>
              <w:bottom w:val="single" w:sz="4" w:space="0" w:color="auto"/>
            </w:tcBorders>
            <w:shd w:val="clear" w:color="auto" w:fill="FFFFFF"/>
            <w:vAlign w:val="center"/>
          </w:tcPr>
          <w:p w14:paraId="4C910052"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200</w:t>
            </w:r>
          </w:p>
        </w:tc>
        <w:tc>
          <w:tcPr>
            <w:tcW w:w="681" w:type="dxa"/>
            <w:tcBorders>
              <w:top w:val="single" w:sz="4" w:space="0" w:color="auto"/>
              <w:left w:val="single" w:sz="4" w:space="0" w:color="auto"/>
              <w:bottom w:val="single" w:sz="4" w:space="0" w:color="auto"/>
            </w:tcBorders>
            <w:shd w:val="clear" w:color="auto" w:fill="FFFFFF"/>
            <w:vAlign w:val="center"/>
          </w:tcPr>
          <w:p w14:paraId="71C61B3C"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324</w:t>
            </w:r>
          </w:p>
        </w:tc>
        <w:tc>
          <w:tcPr>
            <w:tcW w:w="672" w:type="dxa"/>
            <w:tcBorders>
              <w:top w:val="single" w:sz="4" w:space="0" w:color="auto"/>
              <w:left w:val="single" w:sz="4" w:space="0" w:color="auto"/>
              <w:bottom w:val="single" w:sz="4" w:space="0" w:color="auto"/>
            </w:tcBorders>
            <w:shd w:val="clear" w:color="auto" w:fill="FFFFFF"/>
            <w:vAlign w:val="center"/>
          </w:tcPr>
          <w:p w14:paraId="580FB7A5"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c>
          <w:tcPr>
            <w:tcW w:w="739" w:type="dxa"/>
            <w:tcBorders>
              <w:top w:val="single" w:sz="4" w:space="0" w:color="auto"/>
              <w:left w:val="single" w:sz="4" w:space="0" w:color="auto"/>
              <w:bottom w:val="single" w:sz="4" w:space="0" w:color="auto"/>
            </w:tcBorders>
            <w:shd w:val="clear" w:color="auto" w:fill="FFFFFF"/>
            <w:vAlign w:val="center"/>
          </w:tcPr>
          <w:p w14:paraId="6E050FAD"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53375EC6" w14:textId="77777777" w:rsidR="002F47F3" w:rsidRPr="002F47F3" w:rsidRDefault="002F47F3" w:rsidP="002F47F3">
            <w:pPr>
              <w:jc w:val="center"/>
              <w:rPr>
                <w:rFonts w:ascii="Times New Roman" w:eastAsia="Times New Roman" w:hAnsi="Times New Roman" w:cs="Times New Roman"/>
                <w:lang w:eastAsia="ru-RU" w:bidi="ru-RU"/>
              </w:rPr>
            </w:pPr>
            <w:r w:rsidRPr="002F47F3">
              <w:rPr>
                <w:rFonts w:ascii="Times New Roman" w:eastAsia="Times New Roman" w:hAnsi="Times New Roman" w:cs="Times New Roman"/>
                <w:lang w:eastAsia="ru-RU" w:bidi="ru-RU"/>
              </w:rPr>
              <w:t>100</w:t>
            </w:r>
          </w:p>
        </w:tc>
      </w:tr>
    </w:tbl>
    <w:p w14:paraId="264447AF" w14:textId="77777777" w:rsidR="002F47F3" w:rsidRPr="002F47F3" w:rsidRDefault="002F47F3" w:rsidP="002F47F3">
      <w:pPr>
        <w:autoSpaceDE w:val="0"/>
        <w:autoSpaceDN w:val="0"/>
        <w:adjustRightInd w:val="0"/>
        <w:spacing w:after="0" w:line="240" w:lineRule="auto"/>
        <w:ind w:firstLine="539"/>
        <w:jc w:val="both"/>
        <w:rPr>
          <w:rFonts w:ascii="Times New Roman" w:hAnsi="Times New Roman" w:cs="Times New Roman"/>
          <w:i/>
          <w:iCs/>
          <w:sz w:val="26"/>
          <w:szCs w:val="26"/>
        </w:rPr>
      </w:pPr>
    </w:p>
    <w:p w14:paraId="247EC431" w14:textId="77777777" w:rsidR="002F47F3" w:rsidRPr="002F47F3" w:rsidRDefault="002F47F3" w:rsidP="002F47F3">
      <w:pPr>
        <w:autoSpaceDE w:val="0"/>
        <w:autoSpaceDN w:val="0"/>
        <w:adjustRightInd w:val="0"/>
        <w:spacing w:line="240" w:lineRule="auto"/>
        <w:ind w:firstLine="540"/>
        <w:jc w:val="both"/>
        <w:rPr>
          <w:rFonts w:ascii="Times New Roman" w:hAnsi="Times New Roman" w:cs="Times New Roman"/>
          <w:i/>
          <w:iCs/>
          <w:sz w:val="26"/>
          <w:szCs w:val="26"/>
        </w:rPr>
      </w:pPr>
      <w:r w:rsidRPr="002F47F3">
        <w:rPr>
          <w:rFonts w:ascii="Times New Roman" w:hAnsi="Times New Roman" w:cs="Times New Roman"/>
          <w:i/>
          <w:iCs/>
          <w:sz w:val="26"/>
          <w:szCs w:val="26"/>
        </w:rPr>
        <w:t xml:space="preserve">1.12. Эффективность деятельности по обращению с отходами, в том числе в соответствии с таблицей 5. </w:t>
      </w:r>
    </w:p>
    <w:p w14:paraId="2E394772" w14:textId="77777777" w:rsidR="002F47F3" w:rsidRPr="002F47F3" w:rsidRDefault="002F47F3" w:rsidP="002F47F3">
      <w:pPr>
        <w:suppressAutoHyphens/>
        <w:spacing w:after="0" w:line="240" w:lineRule="auto"/>
        <w:ind w:firstLine="708"/>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С 01.01.2023 </w:t>
      </w:r>
      <w:r w:rsidRPr="002F47F3">
        <w:rPr>
          <w:rFonts w:ascii="Times New Roman" w:eastAsia="Times New Roman" w:hAnsi="Times New Roman" w:cs="Times New Roman"/>
          <w:bCs/>
          <w:iCs/>
          <w:sz w:val="26"/>
          <w:szCs w:val="26"/>
          <w:lang w:eastAsia="ru-RU"/>
        </w:rPr>
        <w:t>на территории Нефтеюганского района</w:t>
      </w:r>
      <w:r w:rsidRPr="002F47F3">
        <w:rPr>
          <w:rFonts w:ascii="Times New Roman" w:eastAsia="Times New Roman" w:hAnsi="Times New Roman" w:cs="Times New Roman"/>
          <w:sz w:val="26"/>
          <w:szCs w:val="26"/>
          <w:lang w:eastAsia="ru-RU"/>
        </w:rPr>
        <w:t xml:space="preserve"> внедрено раздельное накопление твердых коммунальных отходов, после ввода в эксплуатацию Комплексного межмуниципального полигона для городов Нефтеюганск, Пыть-Ях, поселений Нефтеюганского района (постановление администрации Нефтеюганского района от 27.03.2023 № 396-па «О внедрении раздельного накопления твердых коммунальных отходов на территории Нефтеюганского района»).  </w:t>
      </w:r>
    </w:p>
    <w:p w14:paraId="6676AA5E" w14:textId="77777777" w:rsidR="002F47F3" w:rsidRPr="002F47F3" w:rsidRDefault="002F47F3" w:rsidP="002F47F3">
      <w:pPr>
        <w:snapToGrid w:val="0"/>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В настоящее время на территории района установлено 558 контейнерных площадок, из них 464 площадки соответствует требованиям законодательства, что </w:t>
      </w:r>
      <w:r w:rsidRPr="002F47F3">
        <w:rPr>
          <w:rFonts w:ascii="Times New Roman" w:eastAsia="Times New Roman" w:hAnsi="Times New Roman" w:cs="Times New Roman"/>
          <w:sz w:val="26"/>
          <w:szCs w:val="26"/>
          <w:lang w:eastAsia="ru-RU"/>
        </w:rPr>
        <w:lastRenderedPageBreak/>
        <w:t xml:space="preserve">составляет 83,1%. Продолжена работа по приведению контейнерных площадок в нормативное состояния, регулярно осуществляются выезды в городское и сельские поселения района в рамках «Экологического патруля». </w:t>
      </w:r>
    </w:p>
    <w:p w14:paraId="7172BCB3" w14:textId="60DA8B1D" w:rsidR="002F47F3" w:rsidRPr="002F47F3" w:rsidRDefault="002F47F3" w:rsidP="002F47F3">
      <w:pPr>
        <w:snapToGrid w:val="0"/>
        <w:spacing w:after="0" w:line="240" w:lineRule="auto"/>
        <w:ind w:firstLine="709"/>
        <w:jc w:val="both"/>
        <w:rPr>
          <w:rFonts w:ascii="Times New Roman" w:eastAsia="Times New Roman" w:hAnsi="Times New Roman" w:cs="Times New Roman"/>
          <w:sz w:val="26"/>
          <w:szCs w:val="26"/>
          <w:lang w:eastAsia="ru-RU"/>
        </w:rPr>
      </w:pPr>
      <w:r w:rsidRPr="002F47F3">
        <w:rPr>
          <w:rFonts w:ascii="Times New Roman" w:eastAsia="Times New Roman" w:hAnsi="Times New Roman" w:cs="Times New Roman"/>
          <w:sz w:val="26"/>
          <w:szCs w:val="26"/>
          <w:lang w:eastAsia="ru-RU"/>
        </w:rPr>
        <w:t xml:space="preserve">В сп.Салым реализован проект «Обустройство </w:t>
      </w:r>
      <w:r w:rsidR="00701060">
        <w:rPr>
          <w:rFonts w:ascii="Times New Roman" w:eastAsia="Times New Roman" w:hAnsi="Times New Roman" w:cs="Times New Roman"/>
          <w:sz w:val="26"/>
          <w:szCs w:val="26"/>
          <w:lang w:eastAsia="ru-RU"/>
        </w:rPr>
        <w:t xml:space="preserve">(мест) </w:t>
      </w:r>
      <w:r w:rsidRPr="002F47F3">
        <w:rPr>
          <w:rFonts w:ascii="Times New Roman" w:eastAsia="Times New Roman" w:hAnsi="Times New Roman" w:cs="Times New Roman"/>
          <w:sz w:val="26"/>
          <w:szCs w:val="26"/>
          <w:lang w:eastAsia="ru-RU"/>
        </w:rPr>
        <w:t xml:space="preserve">площадок </w:t>
      </w:r>
      <w:r w:rsidR="00701060">
        <w:rPr>
          <w:rFonts w:ascii="Times New Roman" w:eastAsia="Times New Roman" w:hAnsi="Times New Roman" w:cs="Times New Roman"/>
          <w:sz w:val="26"/>
          <w:szCs w:val="26"/>
          <w:lang w:eastAsia="ru-RU"/>
        </w:rPr>
        <w:t xml:space="preserve">для </w:t>
      </w:r>
      <w:r w:rsidRPr="002F47F3">
        <w:rPr>
          <w:rFonts w:ascii="Times New Roman" w:eastAsia="Times New Roman" w:hAnsi="Times New Roman" w:cs="Times New Roman"/>
          <w:sz w:val="26"/>
          <w:szCs w:val="26"/>
          <w:lang w:eastAsia="ru-RU"/>
        </w:rPr>
        <w:t>накопления твердых коммунальных отходов</w:t>
      </w:r>
      <w:r w:rsidR="00701060">
        <w:rPr>
          <w:rFonts w:ascii="Times New Roman" w:eastAsia="Times New Roman" w:hAnsi="Times New Roman" w:cs="Times New Roman"/>
          <w:sz w:val="26"/>
          <w:szCs w:val="26"/>
          <w:lang w:eastAsia="ru-RU"/>
        </w:rPr>
        <w:t xml:space="preserve"> по улицам Юбилейная, Майская, Мира, Дорожников, Привокзальная</w:t>
      </w:r>
      <w:r w:rsidRPr="002F47F3">
        <w:rPr>
          <w:rFonts w:ascii="Times New Roman" w:eastAsia="Times New Roman" w:hAnsi="Times New Roman" w:cs="Times New Roman"/>
          <w:sz w:val="26"/>
          <w:szCs w:val="26"/>
          <w:lang w:eastAsia="ru-RU"/>
        </w:rPr>
        <w:t xml:space="preserve">» по обустройству пяти контейнерных площадок. Стоимость проекта составила </w:t>
      </w:r>
      <w:r w:rsidR="003262C9">
        <w:rPr>
          <w:rFonts w:ascii="Times New Roman" w:eastAsia="Times New Roman" w:hAnsi="Times New Roman" w:cs="Times New Roman"/>
          <w:sz w:val="26"/>
          <w:szCs w:val="26"/>
          <w:lang w:eastAsia="ru-RU"/>
        </w:rPr>
        <w:t>1 693,5</w:t>
      </w:r>
      <w:r w:rsidRPr="002F47F3">
        <w:rPr>
          <w:rFonts w:ascii="Times New Roman" w:eastAsia="Times New Roman" w:hAnsi="Times New Roman" w:cs="Times New Roman"/>
          <w:sz w:val="26"/>
          <w:szCs w:val="26"/>
          <w:lang w:eastAsia="ru-RU"/>
        </w:rPr>
        <w:t xml:space="preserve"> тыс. рублей.</w:t>
      </w:r>
    </w:p>
    <w:p w14:paraId="59BE1616" w14:textId="77777777" w:rsidR="002F47F3" w:rsidRPr="002F47F3" w:rsidRDefault="002F47F3" w:rsidP="002F47F3">
      <w:pPr>
        <w:suppressAutoHyphens/>
        <w:spacing w:after="0" w:line="240" w:lineRule="auto"/>
        <w:ind w:firstLine="709"/>
        <w:jc w:val="both"/>
        <w:rPr>
          <w:rFonts w:ascii="Times New Roman" w:eastAsia="Times New Roman" w:hAnsi="Times New Roman" w:cs="Times New Roman"/>
          <w:sz w:val="26"/>
          <w:szCs w:val="26"/>
          <w:shd w:val="clear" w:color="auto" w:fill="FFFFFF"/>
          <w:lang w:eastAsia="ru-RU"/>
        </w:rPr>
      </w:pPr>
      <w:r w:rsidRPr="002F47F3">
        <w:rPr>
          <w:rFonts w:ascii="Times New Roman" w:eastAsia="Times New Roman" w:hAnsi="Times New Roman" w:cs="Times New Roman"/>
          <w:sz w:val="26"/>
          <w:szCs w:val="26"/>
          <w:shd w:val="clear" w:color="auto" w:fill="FFFFFF"/>
          <w:lang w:eastAsia="ru-RU"/>
        </w:rPr>
        <w:t>В соответствии с заключенным муниципальным контрактом подрядная организация приступила к работам по рекультивации несанкционированной свалки твердых коммунальных отходов. Объект включен в План экологических мероприятий по использованию средств, поступающих от экологических платежей.  Работа по рекультивации продолжится в 2024 году.</w:t>
      </w:r>
    </w:p>
    <w:p w14:paraId="6C623BF5" w14:textId="77777777" w:rsidR="002F47F3" w:rsidRPr="002F47F3" w:rsidRDefault="002F47F3" w:rsidP="002F47F3">
      <w:pPr>
        <w:autoSpaceDE w:val="0"/>
        <w:autoSpaceDN w:val="0"/>
        <w:adjustRightInd w:val="0"/>
        <w:spacing w:after="0" w:line="240" w:lineRule="auto"/>
        <w:ind w:firstLine="567"/>
        <w:jc w:val="both"/>
        <w:rPr>
          <w:rFonts w:ascii="Times New Roman" w:hAnsi="Times New Roman" w:cs="Times New Roman"/>
          <w:sz w:val="26"/>
          <w:szCs w:val="26"/>
        </w:rPr>
      </w:pPr>
    </w:p>
    <w:p w14:paraId="7CD320E7" w14:textId="77777777" w:rsidR="002F47F3" w:rsidRPr="002F47F3" w:rsidRDefault="002F47F3" w:rsidP="002F47F3">
      <w:pPr>
        <w:autoSpaceDE w:val="0"/>
        <w:autoSpaceDN w:val="0"/>
        <w:adjustRightInd w:val="0"/>
        <w:spacing w:after="0" w:line="240" w:lineRule="auto"/>
        <w:ind w:firstLine="567"/>
        <w:jc w:val="right"/>
        <w:rPr>
          <w:rFonts w:ascii="Times New Roman" w:hAnsi="Times New Roman" w:cs="Times New Roman"/>
          <w:sz w:val="24"/>
          <w:szCs w:val="24"/>
        </w:rPr>
      </w:pPr>
      <w:r w:rsidRPr="002F47F3">
        <w:rPr>
          <w:rFonts w:ascii="Times New Roman" w:hAnsi="Times New Roman" w:cs="Times New Roman"/>
          <w:sz w:val="24"/>
          <w:szCs w:val="24"/>
        </w:rPr>
        <w:t>Таблица 5</w:t>
      </w:r>
    </w:p>
    <w:p w14:paraId="4AA2380D"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Эффективность деятельности по обращению с отходами</w:t>
      </w:r>
    </w:p>
    <w:p w14:paraId="4C4D278F"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sz w:val="24"/>
          <w:szCs w:val="24"/>
        </w:rPr>
      </w:pPr>
      <w:r w:rsidRPr="002F47F3">
        <w:rPr>
          <w:rFonts w:ascii="Times New Roman" w:hAnsi="Times New Roman" w:cs="Times New Roman"/>
          <w:sz w:val="24"/>
          <w:szCs w:val="24"/>
        </w:rPr>
        <w:t>Нефтеюганского района</w:t>
      </w:r>
    </w:p>
    <w:p w14:paraId="46F374D0" w14:textId="77777777" w:rsidR="002F47F3" w:rsidRPr="002F47F3" w:rsidRDefault="002F47F3" w:rsidP="002F47F3">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
        <w:gridCol w:w="2745"/>
        <w:gridCol w:w="559"/>
        <w:gridCol w:w="713"/>
        <w:gridCol w:w="713"/>
        <w:gridCol w:w="713"/>
        <w:gridCol w:w="676"/>
        <w:gridCol w:w="797"/>
        <w:gridCol w:w="797"/>
        <w:gridCol w:w="793"/>
      </w:tblGrid>
      <w:tr w:rsidR="002F47F3" w:rsidRPr="002F47F3" w14:paraId="3E96D3DF" w14:textId="77777777" w:rsidTr="00E63797">
        <w:trPr>
          <w:tblHeader/>
        </w:trPr>
        <w:tc>
          <w:tcPr>
            <w:tcW w:w="541" w:type="dxa"/>
            <w:tcBorders>
              <w:top w:val="single" w:sz="4" w:space="0" w:color="auto"/>
              <w:left w:val="single" w:sz="4" w:space="0" w:color="auto"/>
              <w:bottom w:val="single" w:sz="4" w:space="0" w:color="auto"/>
              <w:right w:val="single" w:sz="4" w:space="0" w:color="auto"/>
            </w:tcBorders>
            <w:vAlign w:val="center"/>
          </w:tcPr>
          <w:p w14:paraId="04D51D91"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N п/п</w:t>
            </w:r>
          </w:p>
        </w:tc>
        <w:tc>
          <w:tcPr>
            <w:tcW w:w="2745" w:type="dxa"/>
            <w:tcBorders>
              <w:top w:val="single" w:sz="4" w:space="0" w:color="auto"/>
              <w:left w:val="single" w:sz="4" w:space="0" w:color="auto"/>
              <w:bottom w:val="single" w:sz="4" w:space="0" w:color="auto"/>
              <w:right w:val="single" w:sz="4" w:space="0" w:color="auto"/>
            </w:tcBorders>
            <w:vAlign w:val="center"/>
          </w:tcPr>
          <w:p w14:paraId="7EDBFA85"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Наименование показателя</w:t>
            </w:r>
          </w:p>
        </w:tc>
        <w:tc>
          <w:tcPr>
            <w:tcW w:w="559" w:type="dxa"/>
            <w:tcBorders>
              <w:top w:val="single" w:sz="4" w:space="0" w:color="auto"/>
              <w:left w:val="single" w:sz="4" w:space="0" w:color="auto"/>
              <w:bottom w:val="single" w:sz="4" w:space="0" w:color="auto"/>
              <w:right w:val="single" w:sz="4" w:space="0" w:color="auto"/>
            </w:tcBorders>
            <w:vAlign w:val="center"/>
          </w:tcPr>
          <w:p w14:paraId="5826BF05"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Ед.</w:t>
            </w:r>
          </w:p>
          <w:p w14:paraId="617B02A6"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изм.</w:t>
            </w:r>
          </w:p>
        </w:tc>
        <w:tc>
          <w:tcPr>
            <w:tcW w:w="713" w:type="dxa"/>
            <w:tcBorders>
              <w:top w:val="single" w:sz="4" w:space="0" w:color="auto"/>
              <w:left w:val="single" w:sz="4" w:space="0" w:color="auto"/>
              <w:bottom w:val="single" w:sz="4" w:space="0" w:color="auto"/>
              <w:right w:val="single" w:sz="4" w:space="0" w:color="auto"/>
            </w:tcBorders>
            <w:vAlign w:val="center"/>
          </w:tcPr>
          <w:p w14:paraId="4721805B"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2020 год</w:t>
            </w:r>
          </w:p>
        </w:tc>
        <w:tc>
          <w:tcPr>
            <w:tcW w:w="713" w:type="dxa"/>
            <w:tcBorders>
              <w:top w:val="single" w:sz="4" w:space="0" w:color="auto"/>
              <w:left w:val="single" w:sz="4" w:space="0" w:color="auto"/>
              <w:bottom w:val="single" w:sz="4" w:space="0" w:color="auto"/>
              <w:right w:val="single" w:sz="4" w:space="0" w:color="auto"/>
            </w:tcBorders>
            <w:vAlign w:val="center"/>
          </w:tcPr>
          <w:p w14:paraId="6B460C08"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2021 год</w:t>
            </w:r>
          </w:p>
        </w:tc>
        <w:tc>
          <w:tcPr>
            <w:tcW w:w="713" w:type="dxa"/>
            <w:tcBorders>
              <w:top w:val="single" w:sz="4" w:space="0" w:color="auto"/>
              <w:left w:val="single" w:sz="4" w:space="0" w:color="auto"/>
              <w:bottom w:val="single" w:sz="4" w:space="0" w:color="auto"/>
              <w:right w:val="single" w:sz="4" w:space="0" w:color="auto"/>
            </w:tcBorders>
            <w:vAlign w:val="center"/>
          </w:tcPr>
          <w:p w14:paraId="79487B19"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2022 год</w:t>
            </w:r>
          </w:p>
        </w:tc>
        <w:tc>
          <w:tcPr>
            <w:tcW w:w="676" w:type="dxa"/>
            <w:tcBorders>
              <w:top w:val="single" w:sz="4" w:space="0" w:color="auto"/>
              <w:left w:val="single" w:sz="4" w:space="0" w:color="auto"/>
              <w:bottom w:val="single" w:sz="4" w:space="0" w:color="auto"/>
              <w:right w:val="single" w:sz="4" w:space="0" w:color="auto"/>
            </w:tcBorders>
            <w:vAlign w:val="center"/>
          </w:tcPr>
          <w:p w14:paraId="6CA7795F"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2023 год</w:t>
            </w:r>
          </w:p>
        </w:tc>
        <w:tc>
          <w:tcPr>
            <w:tcW w:w="797" w:type="dxa"/>
            <w:tcBorders>
              <w:top w:val="single" w:sz="4" w:space="0" w:color="auto"/>
              <w:left w:val="single" w:sz="4" w:space="0" w:color="auto"/>
              <w:bottom w:val="single" w:sz="4" w:space="0" w:color="auto"/>
              <w:right w:val="single" w:sz="4" w:space="0" w:color="auto"/>
            </w:tcBorders>
            <w:vAlign w:val="center"/>
          </w:tcPr>
          <w:p w14:paraId="6FE82520"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2024 год</w:t>
            </w:r>
          </w:p>
        </w:tc>
        <w:tc>
          <w:tcPr>
            <w:tcW w:w="797" w:type="dxa"/>
            <w:tcBorders>
              <w:top w:val="single" w:sz="4" w:space="0" w:color="auto"/>
              <w:left w:val="single" w:sz="4" w:space="0" w:color="auto"/>
              <w:bottom w:val="single" w:sz="4" w:space="0" w:color="auto"/>
              <w:right w:val="single" w:sz="4" w:space="0" w:color="auto"/>
            </w:tcBorders>
            <w:vAlign w:val="center"/>
          </w:tcPr>
          <w:p w14:paraId="37E520F4"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2025 год</w:t>
            </w:r>
          </w:p>
        </w:tc>
        <w:tc>
          <w:tcPr>
            <w:tcW w:w="793" w:type="dxa"/>
            <w:tcBorders>
              <w:top w:val="single" w:sz="4" w:space="0" w:color="auto"/>
              <w:left w:val="single" w:sz="4" w:space="0" w:color="auto"/>
              <w:bottom w:val="single" w:sz="4" w:space="0" w:color="auto"/>
              <w:right w:val="single" w:sz="4" w:space="0" w:color="auto"/>
            </w:tcBorders>
            <w:vAlign w:val="center"/>
          </w:tcPr>
          <w:p w14:paraId="6C2E12DF"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2026 год</w:t>
            </w:r>
          </w:p>
        </w:tc>
      </w:tr>
      <w:tr w:rsidR="002F47F3" w:rsidRPr="002F47F3" w14:paraId="028D5A0C" w14:textId="77777777" w:rsidTr="00E63797">
        <w:tc>
          <w:tcPr>
            <w:tcW w:w="541" w:type="dxa"/>
            <w:tcBorders>
              <w:top w:val="single" w:sz="4" w:space="0" w:color="auto"/>
              <w:left w:val="single" w:sz="4" w:space="0" w:color="auto"/>
              <w:bottom w:val="single" w:sz="4" w:space="0" w:color="auto"/>
              <w:right w:val="single" w:sz="4" w:space="0" w:color="auto"/>
            </w:tcBorders>
          </w:tcPr>
          <w:p w14:paraId="3B4AEA5A"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2745" w:type="dxa"/>
            <w:tcBorders>
              <w:top w:val="single" w:sz="4" w:space="0" w:color="auto"/>
              <w:left w:val="single" w:sz="4" w:space="0" w:color="auto"/>
              <w:bottom w:val="single" w:sz="4" w:space="0" w:color="auto"/>
              <w:right w:val="single" w:sz="4" w:space="0" w:color="auto"/>
            </w:tcBorders>
          </w:tcPr>
          <w:p w14:paraId="440D5E74" w14:textId="77777777" w:rsidR="002F47F3" w:rsidRPr="002F47F3" w:rsidRDefault="002F47F3" w:rsidP="002F47F3">
            <w:pPr>
              <w:autoSpaceDE w:val="0"/>
              <w:autoSpaceDN w:val="0"/>
              <w:adjustRightInd w:val="0"/>
              <w:spacing w:after="0" w:line="240" w:lineRule="auto"/>
              <w:rPr>
                <w:rFonts w:ascii="Times New Roman" w:hAnsi="Times New Roman" w:cs="Times New Roman"/>
              </w:rPr>
            </w:pPr>
            <w:r w:rsidRPr="002F47F3">
              <w:rPr>
                <w:rFonts w:ascii="Times New Roman" w:hAnsi="Times New Roman" w:cs="Times New Roman"/>
              </w:rPr>
              <w:t xml:space="preserve">Количество несанкционированных свалок отходов </w:t>
            </w:r>
          </w:p>
        </w:tc>
        <w:tc>
          <w:tcPr>
            <w:tcW w:w="559" w:type="dxa"/>
            <w:tcBorders>
              <w:top w:val="single" w:sz="4" w:space="0" w:color="auto"/>
              <w:left w:val="single" w:sz="4" w:space="0" w:color="auto"/>
              <w:bottom w:val="single" w:sz="4" w:space="0" w:color="auto"/>
              <w:right w:val="single" w:sz="4" w:space="0" w:color="auto"/>
            </w:tcBorders>
          </w:tcPr>
          <w:p w14:paraId="4FED6739"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tcPr>
          <w:p w14:paraId="619DE2CD"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14:paraId="0112BE4C"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w:t>
            </w:r>
          </w:p>
        </w:tc>
        <w:tc>
          <w:tcPr>
            <w:tcW w:w="713" w:type="dxa"/>
            <w:tcBorders>
              <w:top w:val="single" w:sz="4" w:space="0" w:color="auto"/>
              <w:left w:val="single" w:sz="4" w:space="0" w:color="auto"/>
              <w:bottom w:val="single" w:sz="4" w:space="0" w:color="auto"/>
              <w:right w:val="single" w:sz="4" w:space="0" w:color="auto"/>
            </w:tcBorders>
          </w:tcPr>
          <w:p w14:paraId="471B2BB2"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676" w:type="dxa"/>
            <w:tcBorders>
              <w:top w:val="single" w:sz="4" w:space="0" w:color="auto"/>
              <w:left w:val="single" w:sz="4" w:space="0" w:color="auto"/>
              <w:bottom w:val="single" w:sz="4" w:space="0" w:color="auto"/>
              <w:right w:val="single" w:sz="4" w:space="0" w:color="auto"/>
            </w:tcBorders>
          </w:tcPr>
          <w:p w14:paraId="78682D72"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797" w:type="dxa"/>
            <w:tcBorders>
              <w:top w:val="single" w:sz="4" w:space="0" w:color="auto"/>
              <w:left w:val="single" w:sz="4" w:space="0" w:color="auto"/>
              <w:bottom w:val="single" w:sz="4" w:space="0" w:color="auto"/>
              <w:right w:val="single" w:sz="4" w:space="0" w:color="auto"/>
            </w:tcBorders>
          </w:tcPr>
          <w:p w14:paraId="4FA4554A"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797" w:type="dxa"/>
            <w:tcBorders>
              <w:top w:val="single" w:sz="4" w:space="0" w:color="auto"/>
              <w:left w:val="single" w:sz="4" w:space="0" w:color="auto"/>
              <w:bottom w:val="single" w:sz="4" w:space="0" w:color="auto"/>
              <w:right w:val="single" w:sz="4" w:space="0" w:color="auto"/>
            </w:tcBorders>
          </w:tcPr>
          <w:p w14:paraId="6E68E0DB"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1</w:t>
            </w:r>
          </w:p>
        </w:tc>
        <w:tc>
          <w:tcPr>
            <w:tcW w:w="793" w:type="dxa"/>
            <w:tcBorders>
              <w:top w:val="single" w:sz="4" w:space="0" w:color="auto"/>
              <w:left w:val="single" w:sz="4" w:space="0" w:color="auto"/>
              <w:bottom w:val="single" w:sz="4" w:space="0" w:color="auto"/>
              <w:right w:val="single" w:sz="4" w:space="0" w:color="auto"/>
            </w:tcBorders>
          </w:tcPr>
          <w:p w14:paraId="48871DC1"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0</w:t>
            </w:r>
          </w:p>
        </w:tc>
      </w:tr>
      <w:tr w:rsidR="002F47F3" w:rsidRPr="002F47F3" w14:paraId="630B44B1" w14:textId="77777777" w:rsidTr="00E63797">
        <w:tc>
          <w:tcPr>
            <w:tcW w:w="541" w:type="dxa"/>
            <w:tcBorders>
              <w:top w:val="single" w:sz="4" w:space="0" w:color="auto"/>
              <w:left w:val="single" w:sz="4" w:space="0" w:color="auto"/>
              <w:bottom w:val="single" w:sz="4" w:space="0" w:color="auto"/>
              <w:right w:val="single" w:sz="4" w:space="0" w:color="auto"/>
            </w:tcBorders>
          </w:tcPr>
          <w:p w14:paraId="03C4252D" w14:textId="77777777" w:rsidR="002F47F3" w:rsidRPr="002F47F3" w:rsidRDefault="002F47F3" w:rsidP="002F47F3">
            <w:pPr>
              <w:autoSpaceDE w:val="0"/>
              <w:autoSpaceDN w:val="0"/>
              <w:adjustRightInd w:val="0"/>
              <w:spacing w:after="0" w:line="240" w:lineRule="auto"/>
              <w:jc w:val="center"/>
              <w:rPr>
                <w:rFonts w:ascii="Times New Roman" w:hAnsi="Times New Roman" w:cs="Times New Roman"/>
              </w:rPr>
            </w:pPr>
            <w:r w:rsidRPr="002F47F3">
              <w:rPr>
                <w:rFonts w:ascii="Times New Roman" w:hAnsi="Times New Roman" w:cs="Times New Roman"/>
              </w:rPr>
              <w:t>2.</w:t>
            </w:r>
          </w:p>
        </w:tc>
        <w:tc>
          <w:tcPr>
            <w:tcW w:w="2745" w:type="dxa"/>
            <w:tcBorders>
              <w:top w:val="single" w:sz="4" w:space="0" w:color="auto"/>
              <w:left w:val="single" w:sz="4" w:space="0" w:color="auto"/>
              <w:bottom w:val="single" w:sz="4" w:space="0" w:color="auto"/>
              <w:right w:val="single" w:sz="4" w:space="0" w:color="auto"/>
            </w:tcBorders>
          </w:tcPr>
          <w:p w14:paraId="16D2E646" w14:textId="77777777" w:rsidR="002F47F3" w:rsidRPr="002F47F3" w:rsidRDefault="002F47F3" w:rsidP="002F47F3">
            <w:pPr>
              <w:autoSpaceDE w:val="0"/>
              <w:autoSpaceDN w:val="0"/>
              <w:adjustRightInd w:val="0"/>
              <w:spacing w:after="0" w:line="240" w:lineRule="auto"/>
              <w:rPr>
                <w:rFonts w:ascii="Times New Roman" w:hAnsi="Times New Roman" w:cs="Times New Roman"/>
              </w:rPr>
            </w:pPr>
            <w:r w:rsidRPr="002F47F3">
              <w:rPr>
                <w:rFonts w:ascii="Times New Roman" w:hAnsi="Times New Roman" w:cs="Times New Roman"/>
              </w:rPr>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p>
        </w:tc>
        <w:tc>
          <w:tcPr>
            <w:tcW w:w="559" w:type="dxa"/>
            <w:tcBorders>
              <w:top w:val="single" w:sz="4" w:space="0" w:color="auto"/>
              <w:left w:val="single" w:sz="4" w:space="0" w:color="auto"/>
              <w:bottom w:val="single" w:sz="4" w:space="0" w:color="auto"/>
              <w:right w:val="single" w:sz="4" w:space="0" w:color="auto"/>
            </w:tcBorders>
          </w:tcPr>
          <w:p w14:paraId="33D8DB5F"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tcPr>
          <w:p w14:paraId="21648ED6"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80,0</w:t>
            </w:r>
          </w:p>
        </w:tc>
        <w:tc>
          <w:tcPr>
            <w:tcW w:w="713" w:type="dxa"/>
            <w:tcBorders>
              <w:top w:val="single" w:sz="4" w:space="0" w:color="auto"/>
              <w:left w:val="single" w:sz="4" w:space="0" w:color="auto"/>
              <w:bottom w:val="single" w:sz="4" w:space="0" w:color="auto"/>
              <w:right w:val="single" w:sz="4" w:space="0" w:color="auto"/>
            </w:tcBorders>
          </w:tcPr>
          <w:p w14:paraId="29C8763B"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80,3</w:t>
            </w:r>
          </w:p>
        </w:tc>
        <w:tc>
          <w:tcPr>
            <w:tcW w:w="713" w:type="dxa"/>
            <w:tcBorders>
              <w:top w:val="single" w:sz="4" w:space="0" w:color="auto"/>
              <w:left w:val="single" w:sz="4" w:space="0" w:color="auto"/>
              <w:bottom w:val="single" w:sz="4" w:space="0" w:color="auto"/>
              <w:right w:val="single" w:sz="4" w:space="0" w:color="auto"/>
            </w:tcBorders>
          </w:tcPr>
          <w:p w14:paraId="0A6C8666"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82,4</w:t>
            </w:r>
          </w:p>
        </w:tc>
        <w:tc>
          <w:tcPr>
            <w:tcW w:w="676" w:type="dxa"/>
            <w:tcBorders>
              <w:top w:val="single" w:sz="4" w:space="0" w:color="auto"/>
              <w:left w:val="single" w:sz="4" w:space="0" w:color="auto"/>
              <w:bottom w:val="single" w:sz="4" w:space="0" w:color="auto"/>
              <w:right w:val="single" w:sz="4" w:space="0" w:color="auto"/>
            </w:tcBorders>
          </w:tcPr>
          <w:p w14:paraId="006CA16E"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83,1</w:t>
            </w:r>
          </w:p>
        </w:tc>
        <w:tc>
          <w:tcPr>
            <w:tcW w:w="797" w:type="dxa"/>
            <w:tcBorders>
              <w:top w:val="single" w:sz="4" w:space="0" w:color="auto"/>
              <w:left w:val="single" w:sz="4" w:space="0" w:color="auto"/>
              <w:bottom w:val="single" w:sz="4" w:space="0" w:color="auto"/>
              <w:right w:val="single" w:sz="4" w:space="0" w:color="auto"/>
            </w:tcBorders>
          </w:tcPr>
          <w:p w14:paraId="6279B4CA"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83,0</w:t>
            </w:r>
          </w:p>
        </w:tc>
        <w:tc>
          <w:tcPr>
            <w:tcW w:w="797" w:type="dxa"/>
            <w:tcBorders>
              <w:top w:val="single" w:sz="4" w:space="0" w:color="auto"/>
              <w:left w:val="single" w:sz="4" w:space="0" w:color="auto"/>
              <w:bottom w:val="single" w:sz="4" w:space="0" w:color="auto"/>
              <w:right w:val="single" w:sz="4" w:space="0" w:color="auto"/>
            </w:tcBorders>
          </w:tcPr>
          <w:p w14:paraId="721997F0"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84,0</w:t>
            </w:r>
          </w:p>
        </w:tc>
        <w:tc>
          <w:tcPr>
            <w:tcW w:w="793" w:type="dxa"/>
            <w:tcBorders>
              <w:top w:val="single" w:sz="4" w:space="0" w:color="auto"/>
              <w:left w:val="single" w:sz="4" w:space="0" w:color="auto"/>
              <w:bottom w:val="single" w:sz="4" w:space="0" w:color="auto"/>
              <w:right w:val="single" w:sz="4" w:space="0" w:color="auto"/>
            </w:tcBorders>
          </w:tcPr>
          <w:p w14:paraId="5AE6CB1F" w14:textId="77777777" w:rsidR="002F47F3" w:rsidRPr="002F47F3" w:rsidRDefault="002F47F3" w:rsidP="002F47F3">
            <w:pPr>
              <w:autoSpaceDE w:val="0"/>
              <w:autoSpaceDN w:val="0"/>
              <w:adjustRightInd w:val="0"/>
              <w:spacing w:after="0" w:line="240" w:lineRule="auto"/>
              <w:jc w:val="both"/>
              <w:rPr>
                <w:rFonts w:ascii="Times New Roman" w:hAnsi="Times New Roman" w:cs="Times New Roman"/>
              </w:rPr>
            </w:pPr>
            <w:r w:rsidRPr="002F47F3">
              <w:rPr>
                <w:rFonts w:ascii="Times New Roman" w:hAnsi="Times New Roman" w:cs="Times New Roman"/>
              </w:rPr>
              <w:t>85,0</w:t>
            </w:r>
          </w:p>
        </w:tc>
      </w:tr>
    </w:tbl>
    <w:p w14:paraId="7BD96A96" w14:textId="0324F1BC" w:rsidR="00261B7C" w:rsidRDefault="00261B7C"/>
    <w:p w14:paraId="3B5A6E46" w14:textId="17453705" w:rsidR="002F47F3" w:rsidRDefault="002F47F3"/>
    <w:p w14:paraId="35EBF925" w14:textId="77777777" w:rsidR="002F47F3" w:rsidRDefault="002F47F3" w:rsidP="00A122F9">
      <w:pPr>
        <w:tabs>
          <w:tab w:val="left" w:pos="2552"/>
        </w:tabs>
        <w:sectPr w:rsidR="002F47F3" w:rsidSect="00EC35C2">
          <w:headerReference w:type="default" r:id="rId14"/>
          <w:pgSz w:w="11906" w:h="16838"/>
          <w:pgMar w:top="1134" w:right="850" w:bottom="1134" w:left="1701" w:header="708" w:footer="708" w:gutter="0"/>
          <w:cols w:space="708"/>
          <w:docGrid w:linePitch="360"/>
        </w:sectPr>
      </w:pPr>
    </w:p>
    <w:p w14:paraId="446EBCB6" w14:textId="77777777" w:rsidR="00AC3FD2" w:rsidRPr="007E6407" w:rsidRDefault="00AC3FD2" w:rsidP="00AC3FD2">
      <w:pPr>
        <w:autoSpaceDE w:val="0"/>
        <w:autoSpaceDN w:val="0"/>
        <w:adjustRightInd w:val="0"/>
        <w:spacing w:after="0" w:line="240" w:lineRule="auto"/>
        <w:ind w:firstLine="709"/>
        <w:jc w:val="both"/>
        <w:rPr>
          <w:rFonts w:ascii="Times New Roman" w:hAnsi="Times New Roman" w:cs="Times New Roman"/>
          <w:b/>
          <w:bCs/>
          <w:sz w:val="26"/>
          <w:szCs w:val="26"/>
        </w:rPr>
      </w:pPr>
      <w:r w:rsidRPr="007E6407">
        <w:rPr>
          <w:rFonts w:ascii="Times New Roman" w:hAnsi="Times New Roman" w:cs="Times New Roman"/>
          <w:b/>
          <w:bCs/>
          <w:sz w:val="26"/>
          <w:szCs w:val="26"/>
        </w:rPr>
        <w:lastRenderedPageBreak/>
        <w:t>Раздел 2. Показатели, характеризующие социально-экономическое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
    <w:p w14:paraId="0D07A9F6" w14:textId="51C74C19" w:rsidR="00AC3FD2" w:rsidRDefault="00AC3FD2" w:rsidP="00AC3FD2">
      <w:pPr>
        <w:ind w:firstLine="708"/>
        <w:rPr>
          <w:rFonts w:ascii="Times New Roman" w:hAnsi="Times New Roman" w:cs="Times New Roman"/>
          <w:b/>
          <w:bCs/>
          <w:sz w:val="26"/>
          <w:szCs w:val="26"/>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993"/>
        <w:gridCol w:w="850"/>
        <w:gridCol w:w="992"/>
        <w:gridCol w:w="993"/>
        <w:gridCol w:w="992"/>
        <w:gridCol w:w="992"/>
        <w:gridCol w:w="992"/>
        <w:gridCol w:w="993"/>
        <w:gridCol w:w="992"/>
        <w:gridCol w:w="2551"/>
      </w:tblGrid>
      <w:tr w:rsidR="0043111A" w:rsidRPr="00403E44" w14:paraId="2524D971" w14:textId="77777777" w:rsidTr="00730FE0">
        <w:trPr>
          <w:trHeight w:val="315"/>
          <w:tblHeader/>
        </w:trPr>
        <w:tc>
          <w:tcPr>
            <w:tcW w:w="1418" w:type="dxa"/>
            <w:vMerge w:val="restart"/>
            <w:shd w:val="clear" w:color="auto" w:fill="auto"/>
            <w:vAlign w:val="center"/>
            <w:hideMark/>
          </w:tcPr>
          <w:p w14:paraId="0AF65491"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bookmarkStart w:id="13" w:name="_Hlk132384587"/>
            <w:r w:rsidRPr="00FA0EA7">
              <w:rPr>
                <w:rFonts w:ascii="Times New Roman" w:eastAsia="Times New Roman" w:hAnsi="Times New Roman" w:cs="Times New Roman"/>
                <w:b/>
                <w:bCs/>
                <w:color w:val="000000"/>
                <w:sz w:val="16"/>
                <w:szCs w:val="16"/>
                <w:lang w:eastAsia="ru-RU"/>
              </w:rPr>
              <w:t>Наименование раздела</w:t>
            </w:r>
          </w:p>
        </w:tc>
        <w:tc>
          <w:tcPr>
            <w:tcW w:w="2268" w:type="dxa"/>
            <w:vMerge w:val="restart"/>
            <w:shd w:val="clear" w:color="auto" w:fill="auto"/>
            <w:vAlign w:val="center"/>
            <w:hideMark/>
          </w:tcPr>
          <w:p w14:paraId="2716F3A7"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Наименование показателей</w:t>
            </w:r>
          </w:p>
        </w:tc>
        <w:tc>
          <w:tcPr>
            <w:tcW w:w="993" w:type="dxa"/>
            <w:vMerge w:val="restart"/>
            <w:shd w:val="clear" w:color="auto" w:fill="auto"/>
            <w:vAlign w:val="center"/>
            <w:hideMark/>
          </w:tcPr>
          <w:p w14:paraId="368E1141"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Единицы измерения</w:t>
            </w:r>
          </w:p>
        </w:tc>
        <w:tc>
          <w:tcPr>
            <w:tcW w:w="850" w:type="dxa"/>
            <w:vMerge w:val="restart"/>
            <w:shd w:val="clear" w:color="auto" w:fill="auto"/>
            <w:vAlign w:val="center"/>
            <w:hideMark/>
          </w:tcPr>
          <w:p w14:paraId="0338BE50"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Номер в докладе</w:t>
            </w:r>
          </w:p>
        </w:tc>
        <w:tc>
          <w:tcPr>
            <w:tcW w:w="3969" w:type="dxa"/>
            <w:gridSpan w:val="4"/>
            <w:shd w:val="clear" w:color="auto" w:fill="auto"/>
            <w:vAlign w:val="center"/>
            <w:hideMark/>
          </w:tcPr>
          <w:p w14:paraId="32E9B26B"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Отчёт</w:t>
            </w:r>
          </w:p>
        </w:tc>
        <w:tc>
          <w:tcPr>
            <w:tcW w:w="2977" w:type="dxa"/>
            <w:gridSpan w:val="3"/>
            <w:shd w:val="clear" w:color="auto" w:fill="auto"/>
            <w:vAlign w:val="center"/>
            <w:hideMark/>
          </w:tcPr>
          <w:p w14:paraId="4A6E84EB"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Прогноз</w:t>
            </w:r>
          </w:p>
        </w:tc>
        <w:tc>
          <w:tcPr>
            <w:tcW w:w="2551" w:type="dxa"/>
            <w:tcBorders>
              <w:bottom w:val="nil"/>
            </w:tcBorders>
            <w:shd w:val="clear" w:color="auto" w:fill="auto"/>
            <w:vAlign w:val="center"/>
            <w:hideMark/>
          </w:tcPr>
          <w:p w14:paraId="0CEE183F" w14:textId="7777777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Примечание</w:t>
            </w:r>
          </w:p>
        </w:tc>
      </w:tr>
      <w:tr w:rsidR="0043111A" w:rsidRPr="00403E44" w14:paraId="027306BF" w14:textId="77777777" w:rsidTr="00730FE0">
        <w:trPr>
          <w:trHeight w:val="315"/>
          <w:tblHeader/>
        </w:trPr>
        <w:tc>
          <w:tcPr>
            <w:tcW w:w="1418" w:type="dxa"/>
            <w:vMerge/>
            <w:vAlign w:val="center"/>
            <w:hideMark/>
          </w:tcPr>
          <w:p w14:paraId="11B69281" w14:textId="77777777" w:rsidR="00D70DC9" w:rsidRPr="00FA0EA7" w:rsidRDefault="00D70DC9" w:rsidP="00E63797">
            <w:pPr>
              <w:spacing w:after="0" w:line="240" w:lineRule="auto"/>
              <w:rPr>
                <w:rFonts w:ascii="Times New Roman" w:eastAsia="Times New Roman" w:hAnsi="Times New Roman" w:cs="Times New Roman"/>
                <w:b/>
                <w:bCs/>
                <w:color w:val="000000"/>
                <w:sz w:val="16"/>
                <w:szCs w:val="16"/>
                <w:lang w:eastAsia="ru-RU"/>
              </w:rPr>
            </w:pPr>
          </w:p>
        </w:tc>
        <w:tc>
          <w:tcPr>
            <w:tcW w:w="2268" w:type="dxa"/>
            <w:vMerge/>
            <w:vAlign w:val="center"/>
            <w:hideMark/>
          </w:tcPr>
          <w:p w14:paraId="241F1929" w14:textId="77777777" w:rsidR="00D70DC9" w:rsidRPr="00FA0EA7" w:rsidRDefault="00D70DC9" w:rsidP="00E63797">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14:paraId="5814F982" w14:textId="77777777" w:rsidR="00D70DC9" w:rsidRPr="00FA0EA7" w:rsidRDefault="00D70DC9" w:rsidP="00E63797">
            <w:pPr>
              <w:spacing w:after="0" w:line="240" w:lineRule="auto"/>
              <w:rPr>
                <w:rFonts w:ascii="Times New Roman" w:eastAsia="Times New Roman" w:hAnsi="Times New Roman" w:cs="Times New Roman"/>
                <w:b/>
                <w:bCs/>
                <w:color w:val="000000"/>
                <w:sz w:val="16"/>
                <w:szCs w:val="16"/>
                <w:lang w:eastAsia="ru-RU"/>
              </w:rPr>
            </w:pPr>
          </w:p>
        </w:tc>
        <w:tc>
          <w:tcPr>
            <w:tcW w:w="850" w:type="dxa"/>
            <w:vMerge/>
            <w:vAlign w:val="center"/>
            <w:hideMark/>
          </w:tcPr>
          <w:p w14:paraId="37B4D23C" w14:textId="77777777" w:rsidR="00D70DC9" w:rsidRPr="00FA0EA7" w:rsidRDefault="00D70DC9" w:rsidP="00E63797">
            <w:pPr>
              <w:spacing w:after="0" w:line="240" w:lineRule="auto"/>
              <w:rPr>
                <w:rFonts w:ascii="Times New Roman" w:eastAsia="Times New Roman" w:hAnsi="Times New Roman" w:cs="Times New Roman"/>
                <w:b/>
                <w:bCs/>
                <w:color w:val="000000"/>
                <w:sz w:val="16"/>
                <w:szCs w:val="16"/>
                <w:lang w:eastAsia="ru-RU"/>
              </w:rPr>
            </w:pPr>
          </w:p>
        </w:tc>
        <w:tc>
          <w:tcPr>
            <w:tcW w:w="992" w:type="dxa"/>
            <w:shd w:val="clear" w:color="auto" w:fill="auto"/>
            <w:vAlign w:val="center"/>
            <w:hideMark/>
          </w:tcPr>
          <w:p w14:paraId="2EF211C1" w14:textId="19DA5274"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w:t>
            </w:r>
            <w:r w:rsidR="0043111A">
              <w:rPr>
                <w:rFonts w:ascii="Times New Roman" w:eastAsia="Times New Roman" w:hAnsi="Times New Roman" w:cs="Times New Roman"/>
                <w:b/>
                <w:bCs/>
                <w:color w:val="000000"/>
                <w:sz w:val="16"/>
                <w:szCs w:val="16"/>
                <w:lang w:eastAsia="ru-RU"/>
              </w:rPr>
              <w:t>20</w:t>
            </w:r>
          </w:p>
        </w:tc>
        <w:tc>
          <w:tcPr>
            <w:tcW w:w="993" w:type="dxa"/>
            <w:shd w:val="clear" w:color="auto" w:fill="auto"/>
            <w:vAlign w:val="center"/>
            <w:hideMark/>
          </w:tcPr>
          <w:p w14:paraId="179FD74E" w14:textId="14610ADE"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1</w:t>
            </w:r>
          </w:p>
        </w:tc>
        <w:tc>
          <w:tcPr>
            <w:tcW w:w="992" w:type="dxa"/>
            <w:shd w:val="clear" w:color="auto" w:fill="auto"/>
            <w:vAlign w:val="center"/>
            <w:hideMark/>
          </w:tcPr>
          <w:p w14:paraId="6A139C08" w14:textId="69D6BBE5"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2</w:t>
            </w:r>
          </w:p>
        </w:tc>
        <w:tc>
          <w:tcPr>
            <w:tcW w:w="992" w:type="dxa"/>
            <w:shd w:val="clear" w:color="auto" w:fill="auto"/>
            <w:vAlign w:val="center"/>
            <w:hideMark/>
          </w:tcPr>
          <w:p w14:paraId="0D55D0CD" w14:textId="27423CA4"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3</w:t>
            </w:r>
          </w:p>
        </w:tc>
        <w:tc>
          <w:tcPr>
            <w:tcW w:w="992" w:type="dxa"/>
            <w:shd w:val="clear" w:color="auto" w:fill="auto"/>
            <w:vAlign w:val="center"/>
            <w:hideMark/>
          </w:tcPr>
          <w:p w14:paraId="3037FF8C" w14:textId="026D1857"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4</w:t>
            </w:r>
          </w:p>
        </w:tc>
        <w:tc>
          <w:tcPr>
            <w:tcW w:w="993" w:type="dxa"/>
            <w:shd w:val="clear" w:color="auto" w:fill="auto"/>
            <w:vAlign w:val="center"/>
            <w:hideMark/>
          </w:tcPr>
          <w:p w14:paraId="6F5364BD" w14:textId="2186A4E8"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5</w:t>
            </w:r>
          </w:p>
        </w:tc>
        <w:tc>
          <w:tcPr>
            <w:tcW w:w="992" w:type="dxa"/>
            <w:shd w:val="clear" w:color="auto" w:fill="auto"/>
            <w:vAlign w:val="center"/>
            <w:hideMark/>
          </w:tcPr>
          <w:p w14:paraId="6D4CA06B" w14:textId="1F9763B9" w:rsidR="00D70DC9" w:rsidRPr="00FA0EA7" w:rsidRDefault="00D70DC9" w:rsidP="00E63797">
            <w:pPr>
              <w:spacing w:after="0" w:line="240" w:lineRule="auto"/>
              <w:jc w:val="center"/>
              <w:rPr>
                <w:rFonts w:ascii="Times New Roman" w:eastAsia="Times New Roman" w:hAnsi="Times New Roman" w:cs="Times New Roman"/>
                <w:b/>
                <w:bCs/>
                <w:color w:val="000000"/>
                <w:sz w:val="16"/>
                <w:szCs w:val="16"/>
                <w:lang w:eastAsia="ru-RU"/>
              </w:rPr>
            </w:pPr>
            <w:r w:rsidRPr="00FA0EA7">
              <w:rPr>
                <w:rFonts w:ascii="Times New Roman" w:eastAsia="Times New Roman" w:hAnsi="Times New Roman" w:cs="Times New Roman"/>
                <w:b/>
                <w:bCs/>
                <w:color w:val="000000"/>
                <w:sz w:val="16"/>
                <w:szCs w:val="16"/>
                <w:lang w:eastAsia="ru-RU"/>
              </w:rPr>
              <w:t>202</w:t>
            </w:r>
            <w:r w:rsidR="0043111A">
              <w:rPr>
                <w:rFonts w:ascii="Times New Roman" w:eastAsia="Times New Roman" w:hAnsi="Times New Roman" w:cs="Times New Roman"/>
                <w:b/>
                <w:bCs/>
                <w:color w:val="000000"/>
                <w:sz w:val="16"/>
                <w:szCs w:val="16"/>
                <w:lang w:eastAsia="ru-RU"/>
              </w:rPr>
              <w:t>6</w:t>
            </w:r>
          </w:p>
        </w:tc>
        <w:tc>
          <w:tcPr>
            <w:tcW w:w="2551" w:type="dxa"/>
            <w:tcBorders>
              <w:top w:val="nil"/>
            </w:tcBorders>
            <w:vAlign w:val="center"/>
            <w:hideMark/>
          </w:tcPr>
          <w:p w14:paraId="2FB30928" w14:textId="77777777" w:rsidR="00D70DC9" w:rsidRPr="00FA0EA7" w:rsidRDefault="00D70DC9" w:rsidP="00E63797">
            <w:pPr>
              <w:spacing w:after="0" w:line="240" w:lineRule="auto"/>
              <w:rPr>
                <w:rFonts w:ascii="Times New Roman" w:eastAsia="Times New Roman" w:hAnsi="Times New Roman" w:cs="Times New Roman"/>
                <w:b/>
                <w:bCs/>
                <w:color w:val="000000"/>
                <w:sz w:val="16"/>
                <w:szCs w:val="16"/>
                <w:lang w:eastAsia="ru-RU"/>
              </w:rPr>
            </w:pPr>
          </w:p>
        </w:tc>
      </w:tr>
      <w:bookmarkEnd w:id="13"/>
      <w:tr w:rsidR="00C901B7" w:rsidRPr="00403E44" w14:paraId="13E49297" w14:textId="77777777" w:rsidTr="00520125">
        <w:trPr>
          <w:trHeight w:val="1200"/>
        </w:trPr>
        <w:tc>
          <w:tcPr>
            <w:tcW w:w="1418" w:type="dxa"/>
            <w:vMerge w:val="restart"/>
            <w:shd w:val="clear" w:color="auto" w:fill="auto"/>
            <w:hideMark/>
          </w:tcPr>
          <w:p w14:paraId="11D67E3E" w14:textId="77777777" w:rsidR="00C901B7" w:rsidRPr="00FA0EA7" w:rsidRDefault="00C901B7" w:rsidP="00C901B7">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Экономическое развитие</w:t>
            </w:r>
          </w:p>
        </w:tc>
        <w:tc>
          <w:tcPr>
            <w:tcW w:w="2268" w:type="dxa"/>
            <w:shd w:val="clear" w:color="auto" w:fill="auto"/>
            <w:hideMark/>
          </w:tcPr>
          <w:p w14:paraId="6CB5D47C" w14:textId="77777777" w:rsidR="00C901B7" w:rsidRPr="00600B72" w:rsidRDefault="00C901B7" w:rsidP="00C901B7">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субъектов малого и среднего предпринимательства в расчете на 10 тыс. человек населения</w:t>
            </w:r>
          </w:p>
        </w:tc>
        <w:tc>
          <w:tcPr>
            <w:tcW w:w="993" w:type="dxa"/>
            <w:shd w:val="clear" w:color="auto" w:fill="auto"/>
            <w:hideMark/>
          </w:tcPr>
          <w:p w14:paraId="16A5803A" w14:textId="77777777" w:rsidR="00C901B7" w:rsidRPr="00600B72" w:rsidRDefault="00C901B7" w:rsidP="00C901B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6634E931" w14:textId="77777777" w:rsidR="00C901B7" w:rsidRPr="00600B72" w:rsidRDefault="00C901B7" w:rsidP="00C901B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w:t>
            </w:r>
          </w:p>
        </w:tc>
        <w:tc>
          <w:tcPr>
            <w:tcW w:w="992" w:type="dxa"/>
            <w:shd w:val="clear" w:color="000000" w:fill="D7D7D7"/>
            <w:noWrap/>
            <w:hideMark/>
          </w:tcPr>
          <w:p w14:paraId="16E2D884" w14:textId="6A61801B"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155,0</w:t>
            </w:r>
          </w:p>
        </w:tc>
        <w:tc>
          <w:tcPr>
            <w:tcW w:w="993" w:type="dxa"/>
            <w:shd w:val="clear" w:color="000000" w:fill="D7D7D7"/>
            <w:noWrap/>
            <w:hideMark/>
          </w:tcPr>
          <w:p w14:paraId="17990005" w14:textId="79B824E6"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203,4</w:t>
            </w:r>
          </w:p>
        </w:tc>
        <w:tc>
          <w:tcPr>
            <w:tcW w:w="992" w:type="dxa"/>
            <w:shd w:val="clear" w:color="000000" w:fill="D7D7D7"/>
            <w:noWrap/>
            <w:hideMark/>
          </w:tcPr>
          <w:p w14:paraId="63A27EE7" w14:textId="63ED493E"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198,9</w:t>
            </w:r>
          </w:p>
        </w:tc>
        <w:tc>
          <w:tcPr>
            <w:tcW w:w="992" w:type="dxa"/>
            <w:shd w:val="clear" w:color="000000" w:fill="D7D7D7"/>
            <w:noWrap/>
            <w:hideMark/>
          </w:tcPr>
          <w:p w14:paraId="6BEB61DF" w14:textId="6A5232D8"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208,9</w:t>
            </w:r>
          </w:p>
        </w:tc>
        <w:tc>
          <w:tcPr>
            <w:tcW w:w="992" w:type="dxa"/>
            <w:shd w:val="clear" w:color="000000" w:fill="D7D7D7"/>
            <w:noWrap/>
            <w:hideMark/>
          </w:tcPr>
          <w:p w14:paraId="40168ED0" w14:textId="071A23A9"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211,2</w:t>
            </w:r>
          </w:p>
        </w:tc>
        <w:tc>
          <w:tcPr>
            <w:tcW w:w="993" w:type="dxa"/>
            <w:shd w:val="clear" w:color="000000" w:fill="D7D7D7"/>
            <w:noWrap/>
            <w:hideMark/>
          </w:tcPr>
          <w:p w14:paraId="3C71A37F" w14:textId="63DBEF4E"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212,3</w:t>
            </w:r>
          </w:p>
        </w:tc>
        <w:tc>
          <w:tcPr>
            <w:tcW w:w="992" w:type="dxa"/>
            <w:shd w:val="clear" w:color="000000" w:fill="D7D7D7"/>
            <w:noWrap/>
            <w:hideMark/>
          </w:tcPr>
          <w:p w14:paraId="6E9A021F" w14:textId="3135FBF8" w:rsidR="00C901B7" w:rsidRPr="00600B72" w:rsidRDefault="00C901B7" w:rsidP="00C901B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213,3</w:t>
            </w:r>
          </w:p>
        </w:tc>
        <w:tc>
          <w:tcPr>
            <w:tcW w:w="2551" w:type="dxa"/>
            <w:shd w:val="clear" w:color="auto" w:fill="auto"/>
            <w:hideMark/>
          </w:tcPr>
          <w:p w14:paraId="255047F0" w14:textId="182D0237" w:rsidR="00C901B7" w:rsidRPr="00600B72" w:rsidRDefault="009B62A3" w:rsidP="00C901B7">
            <w:pPr>
              <w:spacing w:after="0" w:line="240" w:lineRule="auto"/>
              <w:rPr>
                <w:rFonts w:ascii="Times New Roman" w:eastAsia="Times New Roman" w:hAnsi="Times New Roman" w:cs="Times New Roman"/>
                <w:sz w:val="16"/>
                <w:szCs w:val="16"/>
                <w:lang w:eastAsia="ru-RU"/>
              </w:rPr>
            </w:pPr>
            <w:r w:rsidRPr="009B62A3">
              <w:rPr>
                <w:rFonts w:ascii="Times New Roman" w:eastAsia="Times New Roman" w:hAnsi="Times New Roman" w:cs="Times New Roman"/>
                <w:sz w:val="16"/>
                <w:szCs w:val="16"/>
                <w:lang w:eastAsia="ru-RU"/>
              </w:rPr>
              <w:t>Значение показателя рассчитано в соответствии с данными сведений Единого реестра субъектов малого и среднего предпринимательства Федеральной налоговой службы России по состоянию на 10.01.2024</w:t>
            </w:r>
            <w:r>
              <w:rPr>
                <w:rFonts w:ascii="Times New Roman" w:eastAsia="Times New Roman" w:hAnsi="Times New Roman" w:cs="Times New Roman"/>
                <w:sz w:val="16"/>
                <w:szCs w:val="16"/>
                <w:lang w:eastAsia="ru-RU"/>
              </w:rPr>
              <w:t>.</w:t>
            </w:r>
          </w:p>
        </w:tc>
      </w:tr>
      <w:tr w:rsidR="00FF09C8" w:rsidRPr="00403E44" w14:paraId="03EE927A" w14:textId="77777777" w:rsidTr="00520125">
        <w:trPr>
          <w:trHeight w:val="900"/>
        </w:trPr>
        <w:tc>
          <w:tcPr>
            <w:tcW w:w="1418" w:type="dxa"/>
            <w:vMerge/>
            <w:vAlign w:val="center"/>
            <w:hideMark/>
          </w:tcPr>
          <w:p w14:paraId="42D85A83" w14:textId="77777777" w:rsidR="00FF09C8" w:rsidRPr="00FA0EA7" w:rsidRDefault="00FF09C8" w:rsidP="00FF09C8">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1151B27" w14:textId="77777777" w:rsidR="00FF09C8" w:rsidRPr="00600B72" w:rsidRDefault="00FF09C8" w:rsidP="00FF09C8">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субъектов малого и среднего предпринимательства (на конец года)</w:t>
            </w:r>
          </w:p>
        </w:tc>
        <w:tc>
          <w:tcPr>
            <w:tcW w:w="993" w:type="dxa"/>
            <w:shd w:val="clear" w:color="auto" w:fill="auto"/>
            <w:hideMark/>
          </w:tcPr>
          <w:p w14:paraId="21BF4631" w14:textId="77777777" w:rsidR="00FF09C8" w:rsidRPr="00600B72" w:rsidRDefault="00FF09C8" w:rsidP="00FF09C8">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41F480EC" w14:textId="77777777" w:rsidR="00FF09C8" w:rsidRPr="00600B72" w:rsidRDefault="00FF09C8" w:rsidP="00FF09C8">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w:t>
            </w:r>
          </w:p>
        </w:tc>
        <w:tc>
          <w:tcPr>
            <w:tcW w:w="992" w:type="dxa"/>
            <w:shd w:val="clear" w:color="auto" w:fill="auto"/>
            <w:noWrap/>
            <w:hideMark/>
          </w:tcPr>
          <w:p w14:paraId="5C02A8C6" w14:textId="6F2AA751"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878,0</w:t>
            </w:r>
          </w:p>
        </w:tc>
        <w:tc>
          <w:tcPr>
            <w:tcW w:w="993" w:type="dxa"/>
            <w:shd w:val="clear" w:color="auto" w:fill="auto"/>
            <w:noWrap/>
            <w:hideMark/>
          </w:tcPr>
          <w:p w14:paraId="6D119D93" w14:textId="08EE1A1B"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917,0</w:t>
            </w:r>
          </w:p>
        </w:tc>
        <w:tc>
          <w:tcPr>
            <w:tcW w:w="992" w:type="dxa"/>
            <w:shd w:val="clear" w:color="auto" w:fill="auto"/>
            <w:noWrap/>
            <w:hideMark/>
          </w:tcPr>
          <w:p w14:paraId="57D714F3" w14:textId="1CFF4277"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932,0</w:t>
            </w:r>
          </w:p>
        </w:tc>
        <w:tc>
          <w:tcPr>
            <w:tcW w:w="992" w:type="dxa"/>
            <w:shd w:val="clear" w:color="auto" w:fill="auto"/>
            <w:noWrap/>
            <w:hideMark/>
          </w:tcPr>
          <w:p w14:paraId="714B948D" w14:textId="1B136E77"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987,0</w:t>
            </w:r>
          </w:p>
        </w:tc>
        <w:tc>
          <w:tcPr>
            <w:tcW w:w="992" w:type="dxa"/>
            <w:shd w:val="clear" w:color="auto" w:fill="auto"/>
            <w:noWrap/>
            <w:hideMark/>
          </w:tcPr>
          <w:p w14:paraId="7B8EE319" w14:textId="691605D4"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998,0</w:t>
            </w:r>
          </w:p>
        </w:tc>
        <w:tc>
          <w:tcPr>
            <w:tcW w:w="993" w:type="dxa"/>
            <w:shd w:val="clear" w:color="auto" w:fill="auto"/>
            <w:noWrap/>
            <w:hideMark/>
          </w:tcPr>
          <w:p w14:paraId="33AB3C48" w14:textId="67975E3D"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1 003,0</w:t>
            </w:r>
          </w:p>
        </w:tc>
        <w:tc>
          <w:tcPr>
            <w:tcW w:w="992" w:type="dxa"/>
            <w:shd w:val="clear" w:color="auto" w:fill="auto"/>
            <w:noWrap/>
            <w:hideMark/>
          </w:tcPr>
          <w:p w14:paraId="4B3455EB" w14:textId="5E8A79FC" w:rsidR="00FF09C8" w:rsidRPr="00600B72" w:rsidRDefault="00FF09C8" w:rsidP="00FF09C8">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1 008,0</w:t>
            </w:r>
          </w:p>
        </w:tc>
        <w:tc>
          <w:tcPr>
            <w:tcW w:w="2551" w:type="dxa"/>
            <w:shd w:val="clear" w:color="auto" w:fill="auto"/>
            <w:hideMark/>
          </w:tcPr>
          <w:p w14:paraId="0D229D05" w14:textId="12CE8766" w:rsidR="00FF09C8" w:rsidRPr="00600B72" w:rsidRDefault="009B62A3" w:rsidP="00FF09C8">
            <w:pPr>
              <w:spacing w:after="0" w:line="240" w:lineRule="auto"/>
              <w:rPr>
                <w:rFonts w:ascii="Times New Roman" w:eastAsia="Times New Roman" w:hAnsi="Times New Roman" w:cs="Times New Roman"/>
                <w:sz w:val="16"/>
                <w:szCs w:val="16"/>
                <w:lang w:eastAsia="ru-RU"/>
              </w:rPr>
            </w:pPr>
            <w:r w:rsidRPr="009B62A3">
              <w:rPr>
                <w:rFonts w:ascii="Times New Roman" w:eastAsia="Times New Roman" w:hAnsi="Times New Roman" w:cs="Times New Roman"/>
                <w:sz w:val="16"/>
                <w:szCs w:val="16"/>
                <w:lang w:eastAsia="ru-RU"/>
              </w:rPr>
              <w:t>Значение показателя рассчитано в соответствии с данными сведений Единого реестра субъектов малого и среднего предпринимательства Федеральной налоговой службы России по состоянию на 10.01.2024</w:t>
            </w:r>
            <w:r>
              <w:rPr>
                <w:rFonts w:ascii="Times New Roman" w:eastAsia="Times New Roman" w:hAnsi="Times New Roman" w:cs="Times New Roman"/>
                <w:sz w:val="16"/>
                <w:szCs w:val="16"/>
                <w:lang w:eastAsia="ru-RU"/>
              </w:rPr>
              <w:t>.</w:t>
            </w:r>
          </w:p>
        </w:tc>
      </w:tr>
      <w:tr w:rsidR="0043111A" w:rsidRPr="00403E44" w14:paraId="4FAAD25A" w14:textId="77777777" w:rsidTr="00520125">
        <w:trPr>
          <w:trHeight w:val="300"/>
        </w:trPr>
        <w:tc>
          <w:tcPr>
            <w:tcW w:w="1418" w:type="dxa"/>
            <w:vMerge/>
            <w:vAlign w:val="center"/>
            <w:hideMark/>
          </w:tcPr>
          <w:p w14:paraId="7275F4A2" w14:textId="77777777" w:rsidR="00D70DC9" w:rsidRPr="00FA0EA7" w:rsidRDefault="00D70DC9" w:rsidP="00E63797">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236F266"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Среднегодовая численность постоянного населения</w:t>
            </w:r>
          </w:p>
          <w:p w14:paraId="00FDFD2A"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p>
          <w:p w14:paraId="2AE5DA06"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EE9E0A3" w14:textId="77777777" w:rsidR="00D70DC9" w:rsidRPr="00600B72" w:rsidRDefault="00D70DC9" w:rsidP="00E6379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7D5BA4FD" w14:textId="77777777" w:rsidR="00D70DC9" w:rsidRPr="00600B72" w:rsidRDefault="00D70DC9" w:rsidP="00E6379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w:t>
            </w:r>
          </w:p>
        </w:tc>
        <w:tc>
          <w:tcPr>
            <w:tcW w:w="992" w:type="dxa"/>
            <w:shd w:val="clear" w:color="000000" w:fill="D7D7D7"/>
            <w:noWrap/>
            <w:hideMark/>
          </w:tcPr>
          <w:p w14:paraId="3FD58947" w14:textId="15629812"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44 </w:t>
            </w:r>
            <w:r w:rsidR="00486B21" w:rsidRPr="00600B72">
              <w:rPr>
                <w:rFonts w:ascii="Times New Roman" w:eastAsia="Times New Roman" w:hAnsi="Times New Roman" w:cs="Times New Roman"/>
                <w:sz w:val="16"/>
                <w:szCs w:val="16"/>
                <w:lang w:eastAsia="ru-RU"/>
              </w:rPr>
              <w:t>825</w:t>
            </w: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7E003CEF" w14:textId="65457879"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w:t>
            </w:r>
            <w:r w:rsidR="00486B21" w:rsidRPr="00600B72">
              <w:rPr>
                <w:rFonts w:ascii="Times New Roman" w:eastAsia="Times New Roman" w:hAnsi="Times New Roman" w:cs="Times New Roman"/>
                <w:sz w:val="16"/>
                <w:szCs w:val="16"/>
                <w:lang w:eastAsia="ru-RU"/>
              </w:rPr>
              <w:t>5</w:t>
            </w: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073</w:t>
            </w: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A2E9C5A" w14:textId="49F1043A"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w:t>
            </w:r>
            <w:r w:rsidR="00486B21" w:rsidRPr="00600B72">
              <w:rPr>
                <w:rFonts w:ascii="Times New Roman" w:eastAsia="Times New Roman" w:hAnsi="Times New Roman" w:cs="Times New Roman"/>
                <w:sz w:val="16"/>
                <w:szCs w:val="16"/>
                <w:lang w:eastAsia="ru-RU"/>
              </w:rPr>
              <w:t>6</w:t>
            </w: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861</w:t>
            </w: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9310888" w14:textId="01AF0DD7"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47 250</w:t>
            </w: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9210919" w14:textId="63A96282"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47 250</w:t>
            </w: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5366C6B1" w14:textId="07B9D5E5"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47,250</w:t>
            </w: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8E16080" w14:textId="20F2FA39"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47 250</w:t>
            </w: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693FCD10" w14:textId="2FD6098A" w:rsidR="00D70DC9" w:rsidRPr="00600B72" w:rsidRDefault="00486B21" w:rsidP="00E63797">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Статистические данные Тюменьстата, показатели прогнозного периода на уровне 2023 года.</w:t>
            </w:r>
          </w:p>
        </w:tc>
      </w:tr>
      <w:tr w:rsidR="0043111A" w:rsidRPr="00403E44" w14:paraId="21322008" w14:textId="77777777" w:rsidTr="00520125">
        <w:trPr>
          <w:trHeight w:val="2100"/>
        </w:trPr>
        <w:tc>
          <w:tcPr>
            <w:tcW w:w="1418" w:type="dxa"/>
            <w:vMerge/>
            <w:vAlign w:val="center"/>
            <w:hideMark/>
          </w:tcPr>
          <w:p w14:paraId="6754A3FB" w14:textId="77777777" w:rsidR="00D70DC9" w:rsidRPr="00FA0EA7" w:rsidRDefault="00D70DC9" w:rsidP="00E63797">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523B37E"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shd w:val="clear" w:color="auto" w:fill="auto"/>
            <w:hideMark/>
          </w:tcPr>
          <w:p w14:paraId="35A9C469" w14:textId="77777777" w:rsidR="00D70DC9" w:rsidRPr="00600B72" w:rsidRDefault="00D70DC9" w:rsidP="00E6379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4CE0CF9A" w14:textId="77777777" w:rsidR="00D70DC9" w:rsidRPr="00600B72" w:rsidRDefault="00D70DC9" w:rsidP="00E63797">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w:t>
            </w:r>
          </w:p>
        </w:tc>
        <w:tc>
          <w:tcPr>
            <w:tcW w:w="992" w:type="dxa"/>
            <w:shd w:val="clear" w:color="000000" w:fill="D7D7D7"/>
            <w:noWrap/>
            <w:hideMark/>
          </w:tcPr>
          <w:p w14:paraId="67893084" w14:textId="1A72350A" w:rsidR="00D70DC9" w:rsidRPr="00600B72" w:rsidRDefault="00486B21"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8,5</w:t>
            </w:r>
          </w:p>
        </w:tc>
        <w:tc>
          <w:tcPr>
            <w:tcW w:w="993" w:type="dxa"/>
            <w:shd w:val="clear" w:color="000000" w:fill="D7D7D7"/>
            <w:noWrap/>
            <w:hideMark/>
          </w:tcPr>
          <w:p w14:paraId="15173589" w14:textId="67908237"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486B21" w:rsidRPr="00600B72">
              <w:rPr>
                <w:rFonts w:ascii="Times New Roman" w:eastAsia="Times New Roman" w:hAnsi="Times New Roman" w:cs="Times New Roman"/>
                <w:sz w:val="16"/>
                <w:szCs w:val="16"/>
                <w:lang w:eastAsia="ru-RU"/>
              </w:rPr>
              <w:t>17,5</w:t>
            </w:r>
          </w:p>
        </w:tc>
        <w:tc>
          <w:tcPr>
            <w:tcW w:w="992" w:type="dxa"/>
            <w:shd w:val="clear" w:color="000000" w:fill="D7D7D7"/>
            <w:noWrap/>
            <w:hideMark/>
          </w:tcPr>
          <w:p w14:paraId="366D8CBB" w14:textId="671CD477"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17,</w:t>
            </w:r>
            <w:r w:rsidR="00730FE0" w:rsidRPr="00600B72">
              <w:rPr>
                <w:rFonts w:ascii="Times New Roman" w:eastAsia="Times New Roman" w:hAnsi="Times New Roman" w:cs="Times New Roman"/>
                <w:sz w:val="16"/>
                <w:szCs w:val="16"/>
                <w:lang w:eastAsia="ru-RU"/>
              </w:rPr>
              <w:t>7</w:t>
            </w:r>
          </w:p>
        </w:tc>
        <w:tc>
          <w:tcPr>
            <w:tcW w:w="992" w:type="dxa"/>
            <w:shd w:val="clear" w:color="000000" w:fill="D7D7D7"/>
            <w:noWrap/>
            <w:hideMark/>
          </w:tcPr>
          <w:p w14:paraId="23BCB21C" w14:textId="1DB7D7D1"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r w:rsidR="00730FE0" w:rsidRPr="00600B72">
              <w:rPr>
                <w:rFonts w:ascii="Times New Roman" w:eastAsia="Times New Roman" w:hAnsi="Times New Roman" w:cs="Times New Roman"/>
                <w:sz w:val="16"/>
                <w:szCs w:val="16"/>
                <w:lang w:eastAsia="ru-RU"/>
              </w:rPr>
              <w:t>8,1</w:t>
            </w:r>
          </w:p>
        </w:tc>
        <w:tc>
          <w:tcPr>
            <w:tcW w:w="992" w:type="dxa"/>
            <w:shd w:val="clear" w:color="auto" w:fill="auto"/>
            <w:noWrap/>
            <w:hideMark/>
          </w:tcPr>
          <w:p w14:paraId="19099D4A" w14:textId="3044B75A" w:rsidR="00D70DC9" w:rsidRPr="00600B72" w:rsidRDefault="00730FE0"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w:t>
            </w:r>
          </w:p>
        </w:tc>
        <w:tc>
          <w:tcPr>
            <w:tcW w:w="993" w:type="dxa"/>
            <w:shd w:val="clear" w:color="auto" w:fill="auto"/>
            <w:noWrap/>
            <w:hideMark/>
          </w:tcPr>
          <w:p w14:paraId="20E3CD71" w14:textId="4FB849F2" w:rsidR="00D70DC9" w:rsidRPr="00600B72" w:rsidRDefault="00730FE0"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18,3</w:t>
            </w:r>
          </w:p>
        </w:tc>
        <w:tc>
          <w:tcPr>
            <w:tcW w:w="992" w:type="dxa"/>
            <w:shd w:val="clear" w:color="auto" w:fill="auto"/>
            <w:noWrap/>
            <w:hideMark/>
          </w:tcPr>
          <w:p w14:paraId="5E4D2C4F" w14:textId="68F5BA08" w:rsidR="00D70DC9" w:rsidRPr="00600B72" w:rsidRDefault="00D70DC9" w:rsidP="00E63797">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730FE0" w:rsidRPr="00600B72">
              <w:rPr>
                <w:rFonts w:ascii="Times New Roman" w:eastAsia="Times New Roman" w:hAnsi="Times New Roman" w:cs="Times New Roman"/>
                <w:sz w:val="16"/>
                <w:szCs w:val="16"/>
                <w:lang w:eastAsia="ru-RU"/>
              </w:rPr>
              <w:t>18,4</w:t>
            </w:r>
          </w:p>
        </w:tc>
        <w:tc>
          <w:tcPr>
            <w:tcW w:w="2551" w:type="dxa"/>
            <w:shd w:val="clear" w:color="auto" w:fill="auto"/>
            <w:hideMark/>
          </w:tcPr>
          <w:p w14:paraId="78077C60" w14:textId="4137EA47" w:rsidR="00D70DC9" w:rsidRPr="00600B72" w:rsidRDefault="00730FE0" w:rsidP="00E63797">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Незначительное увеличение показателя в 2023 году связано с небольшим увеличением среднесписочной численности работников (без внешних совместителей) всех предприятий и организаций, а также небольшим увеличением среднесписочной численности работников (без внешних совместителей) малых и средних предприятий по сравнению с 2022 годом.</w:t>
            </w:r>
          </w:p>
          <w:p w14:paraId="523B6AA8"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p>
          <w:p w14:paraId="4C778B91" w14:textId="77777777" w:rsidR="00D70DC9" w:rsidRPr="00600B72" w:rsidRDefault="00D70DC9" w:rsidP="00E63797">
            <w:pPr>
              <w:spacing w:after="0" w:line="240" w:lineRule="auto"/>
              <w:rPr>
                <w:rFonts w:ascii="Times New Roman" w:eastAsia="Times New Roman" w:hAnsi="Times New Roman" w:cs="Times New Roman"/>
                <w:sz w:val="16"/>
                <w:szCs w:val="16"/>
                <w:lang w:eastAsia="ru-RU"/>
              </w:rPr>
            </w:pPr>
          </w:p>
        </w:tc>
      </w:tr>
      <w:tr w:rsidR="00730FE0" w:rsidRPr="00403E44" w14:paraId="388155C4" w14:textId="77777777" w:rsidTr="00520125">
        <w:trPr>
          <w:trHeight w:val="900"/>
        </w:trPr>
        <w:tc>
          <w:tcPr>
            <w:tcW w:w="1418" w:type="dxa"/>
            <w:vMerge/>
            <w:vAlign w:val="center"/>
            <w:hideMark/>
          </w:tcPr>
          <w:p w14:paraId="1B038B08" w14:textId="77777777" w:rsidR="00730FE0" w:rsidRPr="00FA0EA7" w:rsidRDefault="00730FE0" w:rsidP="00730F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1F96741"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Среднесписочная численность работников (без внешних совместителей) малых и средних предприятий</w:t>
            </w:r>
          </w:p>
        </w:tc>
        <w:tc>
          <w:tcPr>
            <w:tcW w:w="993" w:type="dxa"/>
            <w:shd w:val="clear" w:color="auto" w:fill="auto"/>
            <w:hideMark/>
          </w:tcPr>
          <w:p w14:paraId="07FB0F0B"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57CD829"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2.1</w:t>
            </w:r>
          </w:p>
        </w:tc>
        <w:tc>
          <w:tcPr>
            <w:tcW w:w="992" w:type="dxa"/>
            <w:shd w:val="clear" w:color="auto" w:fill="auto"/>
            <w:noWrap/>
            <w:hideMark/>
          </w:tcPr>
          <w:p w14:paraId="617D7B74" w14:textId="0C572C70"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4 874,0</w:t>
            </w:r>
          </w:p>
        </w:tc>
        <w:tc>
          <w:tcPr>
            <w:tcW w:w="993" w:type="dxa"/>
            <w:shd w:val="clear" w:color="auto" w:fill="auto"/>
            <w:noWrap/>
            <w:hideMark/>
          </w:tcPr>
          <w:p w14:paraId="25F5F3D3" w14:textId="371E5DE9"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4 923,0</w:t>
            </w:r>
          </w:p>
        </w:tc>
        <w:tc>
          <w:tcPr>
            <w:tcW w:w="992" w:type="dxa"/>
            <w:shd w:val="clear" w:color="auto" w:fill="auto"/>
            <w:noWrap/>
            <w:hideMark/>
          </w:tcPr>
          <w:p w14:paraId="6797A198" w14:textId="264E2884"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5 080,0</w:t>
            </w:r>
          </w:p>
        </w:tc>
        <w:tc>
          <w:tcPr>
            <w:tcW w:w="992" w:type="dxa"/>
            <w:shd w:val="clear" w:color="auto" w:fill="auto"/>
            <w:noWrap/>
            <w:hideMark/>
          </w:tcPr>
          <w:p w14:paraId="3F1F2A0C" w14:textId="3D4E20B3"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5 198,0</w:t>
            </w:r>
          </w:p>
        </w:tc>
        <w:tc>
          <w:tcPr>
            <w:tcW w:w="992" w:type="dxa"/>
            <w:shd w:val="clear" w:color="auto" w:fill="auto"/>
            <w:noWrap/>
            <w:hideMark/>
          </w:tcPr>
          <w:p w14:paraId="299CE26E" w14:textId="2FE35359"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5 240,0</w:t>
            </w:r>
          </w:p>
        </w:tc>
        <w:tc>
          <w:tcPr>
            <w:tcW w:w="993" w:type="dxa"/>
            <w:shd w:val="clear" w:color="auto" w:fill="auto"/>
            <w:noWrap/>
            <w:hideMark/>
          </w:tcPr>
          <w:p w14:paraId="02A76829" w14:textId="4A1F74A8"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5 274,0</w:t>
            </w:r>
          </w:p>
        </w:tc>
        <w:tc>
          <w:tcPr>
            <w:tcW w:w="992" w:type="dxa"/>
            <w:shd w:val="clear" w:color="auto" w:fill="auto"/>
            <w:noWrap/>
            <w:hideMark/>
          </w:tcPr>
          <w:p w14:paraId="6B53AA55" w14:textId="09310452"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5 310,0</w:t>
            </w:r>
          </w:p>
        </w:tc>
        <w:tc>
          <w:tcPr>
            <w:tcW w:w="2551" w:type="dxa"/>
            <w:shd w:val="clear" w:color="auto" w:fill="auto"/>
            <w:hideMark/>
          </w:tcPr>
          <w:p w14:paraId="207EB8B9" w14:textId="2EEA6DE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Показатель незначительно увеличился в связи с небольшим увеличением среднесписочной численности работников (без внешних совместителей) всех предприятий и организаций.</w:t>
            </w:r>
          </w:p>
        </w:tc>
      </w:tr>
      <w:tr w:rsidR="00730FE0" w:rsidRPr="00403E44" w14:paraId="23D93C6C" w14:textId="77777777" w:rsidTr="00520125">
        <w:trPr>
          <w:trHeight w:val="600"/>
        </w:trPr>
        <w:tc>
          <w:tcPr>
            <w:tcW w:w="1418" w:type="dxa"/>
            <w:vMerge/>
            <w:vAlign w:val="center"/>
            <w:hideMark/>
          </w:tcPr>
          <w:p w14:paraId="54C421C2" w14:textId="77777777" w:rsidR="00730FE0" w:rsidRPr="00FA0EA7" w:rsidRDefault="00730FE0" w:rsidP="00730F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34FFC5A"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Среднесписочная численность работников (без внешних совместителей) всех предприятий и организаций</w:t>
            </w:r>
          </w:p>
          <w:p w14:paraId="2E90B940"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11F9AB5"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347EBCB0"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w:t>
            </w:r>
          </w:p>
        </w:tc>
        <w:tc>
          <w:tcPr>
            <w:tcW w:w="992" w:type="dxa"/>
            <w:shd w:val="clear" w:color="auto" w:fill="auto"/>
            <w:noWrap/>
            <w:hideMark/>
          </w:tcPr>
          <w:p w14:paraId="7D1988D9" w14:textId="0DE8A035"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28 159,0</w:t>
            </w:r>
          </w:p>
        </w:tc>
        <w:tc>
          <w:tcPr>
            <w:tcW w:w="993" w:type="dxa"/>
            <w:shd w:val="clear" w:color="auto" w:fill="auto"/>
            <w:noWrap/>
            <w:hideMark/>
          </w:tcPr>
          <w:p w14:paraId="57A3DB2A" w14:textId="0A675B63"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28 168,0</w:t>
            </w:r>
          </w:p>
        </w:tc>
        <w:tc>
          <w:tcPr>
            <w:tcW w:w="992" w:type="dxa"/>
            <w:shd w:val="clear" w:color="auto" w:fill="auto"/>
            <w:noWrap/>
            <w:hideMark/>
          </w:tcPr>
          <w:p w14:paraId="441BB2E6" w14:textId="6953F283"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28 686,0</w:t>
            </w:r>
          </w:p>
        </w:tc>
        <w:tc>
          <w:tcPr>
            <w:tcW w:w="992" w:type="dxa"/>
            <w:shd w:val="clear" w:color="auto" w:fill="auto"/>
            <w:noWrap/>
            <w:hideMark/>
          </w:tcPr>
          <w:p w14:paraId="75AAF6D2" w14:textId="0787878B"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28 735,0</w:t>
            </w:r>
          </w:p>
        </w:tc>
        <w:tc>
          <w:tcPr>
            <w:tcW w:w="992" w:type="dxa"/>
            <w:shd w:val="clear" w:color="auto" w:fill="auto"/>
            <w:noWrap/>
            <w:hideMark/>
          </w:tcPr>
          <w:p w14:paraId="3ACBCB41" w14:textId="22CB9D21"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28 743,0</w:t>
            </w:r>
          </w:p>
        </w:tc>
        <w:tc>
          <w:tcPr>
            <w:tcW w:w="993" w:type="dxa"/>
            <w:shd w:val="clear" w:color="auto" w:fill="auto"/>
            <w:noWrap/>
            <w:hideMark/>
          </w:tcPr>
          <w:p w14:paraId="374144EC" w14:textId="59DAB9B9"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28 772,0</w:t>
            </w:r>
          </w:p>
        </w:tc>
        <w:tc>
          <w:tcPr>
            <w:tcW w:w="992" w:type="dxa"/>
            <w:shd w:val="clear" w:color="auto" w:fill="auto"/>
            <w:noWrap/>
            <w:hideMark/>
          </w:tcPr>
          <w:p w14:paraId="5DFDD013" w14:textId="1DAB1AB5"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28 829,0</w:t>
            </w:r>
          </w:p>
        </w:tc>
        <w:tc>
          <w:tcPr>
            <w:tcW w:w="2551" w:type="dxa"/>
            <w:shd w:val="clear" w:color="auto" w:fill="auto"/>
            <w:hideMark/>
          </w:tcPr>
          <w:p w14:paraId="6D244789" w14:textId="77607DDE" w:rsidR="00730FE0" w:rsidRPr="00600B72" w:rsidRDefault="00730FE0" w:rsidP="00730FE0">
            <w:pPr>
              <w:spacing w:after="0" w:line="240" w:lineRule="auto"/>
              <w:rPr>
                <w:rFonts w:ascii="Times New Roman" w:eastAsia="Times New Roman" w:hAnsi="Times New Roman" w:cs="Times New Roman"/>
                <w:sz w:val="16"/>
                <w:szCs w:val="16"/>
                <w:lang w:eastAsia="ru-RU"/>
              </w:rPr>
            </w:pPr>
            <w:proofErr w:type="gramStart"/>
            <w:r w:rsidRPr="00600B72">
              <w:rPr>
                <w:rFonts w:ascii="Times New Roman" w:eastAsia="Times New Roman" w:hAnsi="Times New Roman" w:cs="Times New Roman"/>
                <w:sz w:val="16"/>
                <w:szCs w:val="16"/>
                <w:lang w:eastAsia="ru-RU"/>
              </w:rPr>
              <w:t>Расчетные данные согласно форме</w:t>
            </w:r>
            <w:proofErr w:type="gramEnd"/>
            <w:r w:rsidRPr="00600B72">
              <w:rPr>
                <w:rFonts w:ascii="Times New Roman" w:eastAsia="Times New Roman" w:hAnsi="Times New Roman" w:cs="Times New Roman"/>
                <w:sz w:val="16"/>
                <w:szCs w:val="16"/>
                <w:lang w:eastAsia="ru-RU"/>
              </w:rPr>
              <w:t xml:space="preserve"> "Баланс трудовых ресурсов".</w:t>
            </w:r>
          </w:p>
        </w:tc>
      </w:tr>
      <w:tr w:rsidR="00730FE0" w:rsidRPr="00403E44" w14:paraId="7B7831A0" w14:textId="77777777" w:rsidTr="00520125">
        <w:trPr>
          <w:trHeight w:val="900"/>
        </w:trPr>
        <w:tc>
          <w:tcPr>
            <w:tcW w:w="1418" w:type="dxa"/>
            <w:vMerge/>
            <w:vAlign w:val="center"/>
            <w:hideMark/>
          </w:tcPr>
          <w:p w14:paraId="5FEFB334" w14:textId="77777777" w:rsidR="00730FE0" w:rsidRPr="00FA0EA7" w:rsidRDefault="00730FE0" w:rsidP="00730F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9BAC608"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Объем инвестиций в основной капитал (за исключением бюджетных средств) в расчете на 1 жителя</w:t>
            </w:r>
          </w:p>
          <w:p w14:paraId="5D4BE936"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43EA152"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31BFA56D"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w:t>
            </w:r>
          </w:p>
        </w:tc>
        <w:tc>
          <w:tcPr>
            <w:tcW w:w="992" w:type="dxa"/>
            <w:shd w:val="clear" w:color="000000" w:fill="D7D7D7"/>
            <w:noWrap/>
            <w:hideMark/>
          </w:tcPr>
          <w:p w14:paraId="203A09E3" w14:textId="486D59A2" w:rsidR="00730FE0" w:rsidRPr="00600B72" w:rsidRDefault="00730FE0" w:rsidP="00730FE0">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2 752 669,0</w:t>
            </w:r>
          </w:p>
        </w:tc>
        <w:tc>
          <w:tcPr>
            <w:tcW w:w="993" w:type="dxa"/>
            <w:shd w:val="clear" w:color="000000" w:fill="D7D7D7"/>
            <w:noWrap/>
            <w:hideMark/>
          </w:tcPr>
          <w:p w14:paraId="6D9A0149" w14:textId="77A6937B" w:rsidR="00730FE0" w:rsidRPr="00600B72" w:rsidRDefault="00730FE0" w:rsidP="00730FE0">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3 458 514,0</w:t>
            </w:r>
          </w:p>
        </w:tc>
        <w:tc>
          <w:tcPr>
            <w:tcW w:w="992" w:type="dxa"/>
            <w:shd w:val="clear" w:color="000000" w:fill="D7D7D7"/>
            <w:noWrap/>
            <w:hideMark/>
          </w:tcPr>
          <w:p w14:paraId="483033B9" w14:textId="0CE8DEDF" w:rsidR="00730FE0" w:rsidRPr="00600B72" w:rsidRDefault="00730FE0" w:rsidP="00730FE0">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3 758 023,0</w:t>
            </w:r>
          </w:p>
        </w:tc>
        <w:tc>
          <w:tcPr>
            <w:tcW w:w="992" w:type="dxa"/>
            <w:shd w:val="clear" w:color="auto" w:fill="auto"/>
            <w:noWrap/>
            <w:hideMark/>
          </w:tcPr>
          <w:p w14:paraId="7C3D10C0" w14:textId="22AD6FD7" w:rsidR="00730FE0" w:rsidRPr="00600B72" w:rsidRDefault="00730FE0" w:rsidP="00730FE0">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4 693 088,0</w:t>
            </w:r>
          </w:p>
        </w:tc>
        <w:tc>
          <w:tcPr>
            <w:tcW w:w="992" w:type="dxa"/>
            <w:shd w:val="clear" w:color="auto" w:fill="auto"/>
            <w:noWrap/>
            <w:hideMark/>
          </w:tcPr>
          <w:p w14:paraId="4DB8A011" w14:textId="71B8107B" w:rsidR="00730FE0" w:rsidRPr="00600B72" w:rsidRDefault="00730FE0" w:rsidP="00730FE0">
            <w:pPr>
              <w:spacing w:after="0" w:line="240" w:lineRule="auto"/>
              <w:ind w:left="-10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4 708 034,0</w:t>
            </w:r>
          </w:p>
        </w:tc>
        <w:tc>
          <w:tcPr>
            <w:tcW w:w="993" w:type="dxa"/>
            <w:shd w:val="clear" w:color="auto" w:fill="auto"/>
            <w:noWrap/>
            <w:hideMark/>
          </w:tcPr>
          <w:p w14:paraId="3EE19201" w14:textId="2797F8C5" w:rsidR="00730FE0" w:rsidRPr="00600B72" w:rsidRDefault="00730FE0" w:rsidP="00730FE0">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4 708 034,0</w:t>
            </w:r>
          </w:p>
        </w:tc>
        <w:tc>
          <w:tcPr>
            <w:tcW w:w="992" w:type="dxa"/>
            <w:shd w:val="clear" w:color="auto" w:fill="auto"/>
            <w:noWrap/>
            <w:hideMark/>
          </w:tcPr>
          <w:p w14:paraId="6EAB046E" w14:textId="6BCE9096" w:rsidR="00730FE0" w:rsidRPr="00600B72" w:rsidRDefault="00730FE0" w:rsidP="00730FE0">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4 708 034,0</w:t>
            </w:r>
          </w:p>
        </w:tc>
        <w:tc>
          <w:tcPr>
            <w:tcW w:w="2551" w:type="dxa"/>
            <w:shd w:val="clear" w:color="auto" w:fill="auto"/>
            <w:hideMark/>
          </w:tcPr>
          <w:p w14:paraId="76461A31" w14:textId="617EB0A5"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Статистические данные Тюменьстата за 2023 год (предварительные).</w:t>
            </w:r>
          </w:p>
          <w:p w14:paraId="7A67CEDF"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p>
        </w:tc>
      </w:tr>
      <w:tr w:rsidR="00730FE0" w:rsidRPr="00403E44" w14:paraId="0EE8B0E1" w14:textId="77777777" w:rsidTr="00520125">
        <w:trPr>
          <w:trHeight w:val="1396"/>
        </w:trPr>
        <w:tc>
          <w:tcPr>
            <w:tcW w:w="1418" w:type="dxa"/>
            <w:vMerge/>
            <w:vAlign w:val="center"/>
            <w:hideMark/>
          </w:tcPr>
          <w:p w14:paraId="4D14C7A0" w14:textId="77777777" w:rsidR="00730FE0" w:rsidRPr="00FA0EA7" w:rsidRDefault="00730FE0" w:rsidP="00730F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34C10C3" w14:textId="77419E46"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482C030C"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5B7DC716"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034B8E22"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w:t>
            </w:r>
          </w:p>
        </w:tc>
        <w:tc>
          <w:tcPr>
            <w:tcW w:w="992" w:type="dxa"/>
            <w:shd w:val="clear" w:color="000000" w:fill="D7D7D7"/>
            <w:noWrap/>
            <w:hideMark/>
          </w:tcPr>
          <w:p w14:paraId="04985A7D" w14:textId="1AB1AA1D"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34,78</w:t>
            </w:r>
          </w:p>
        </w:tc>
        <w:tc>
          <w:tcPr>
            <w:tcW w:w="993" w:type="dxa"/>
            <w:shd w:val="clear" w:color="000000" w:fill="D7D7D7"/>
            <w:noWrap/>
            <w:hideMark/>
          </w:tcPr>
          <w:p w14:paraId="63D4205D" w14:textId="5465FF4A"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34,84</w:t>
            </w:r>
          </w:p>
        </w:tc>
        <w:tc>
          <w:tcPr>
            <w:tcW w:w="992" w:type="dxa"/>
            <w:shd w:val="clear" w:color="000000" w:fill="D7D7D7"/>
            <w:noWrap/>
            <w:hideMark/>
          </w:tcPr>
          <w:p w14:paraId="5BEA6E09" w14:textId="569A9C0D"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35,15</w:t>
            </w:r>
          </w:p>
        </w:tc>
        <w:tc>
          <w:tcPr>
            <w:tcW w:w="992" w:type="dxa"/>
            <w:shd w:val="clear" w:color="000000" w:fill="D7D7D7"/>
            <w:noWrap/>
            <w:hideMark/>
          </w:tcPr>
          <w:p w14:paraId="4B8C2D28" w14:textId="2BD38D0B"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35,35</w:t>
            </w:r>
          </w:p>
        </w:tc>
        <w:tc>
          <w:tcPr>
            <w:tcW w:w="992" w:type="dxa"/>
            <w:shd w:val="clear" w:color="000000" w:fill="D7D7D7"/>
            <w:noWrap/>
            <w:hideMark/>
          </w:tcPr>
          <w:p w14:paraId="5BAD21DC" w14:textId="0E754E5A"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35,37</w:t>
            </w:r>
          </w:p>
        </w:tc>
        <w:tc>
          <w:tcPr>
            <w:tcW w:w="993" w:type="dxa"/>
            <w:shd w:val="clear" w:color="000000" w:fill="D7D7D7"/>
            <w:noWrap/>
            <w:hideMark/>
          </w:tcPr>
          <w:p w14:paraId="1BF8D5F5" w14:textId="2564DA02"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35,39</w:t>
            </w:r>
          </w:p>
        </w:tc>
        <w:tc>
          <w:tcPr>
            <w:tcW w:w="992" w:type="dxa"/>
            <w:shd w:val="clear" w:color="000000" w:fill="D7D7D7"/>
            <w:noWrap/>
            <w:hideMark/>
          </w:tcPr>
          <w:p w14:paraId="3434D419" w14:textId="25DC9F39"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35,41</w:t>
            </w:r>
          </w:p>
        </w:tc>
        <w:tc>
          <w:tcPr>
            <w:tcW w:w="2551" w:type="dxa"/>
            <w:shd w:val="clear" w:color="auto" w:fill="auto"/>
            <w:hideMark/>
          </w:tcPr>
          <w:p w14:paraId="69B9907B"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w:t>
            </w:r>
          </w:p>
        </w:tc>
      </w:tr>
      <w:tr w:rsidR="00730FE0" w:rsidRPr="00403E44" w14:paraId="0BE37DC2" w14:textId="77777777" w:rsidTr="00520125">
        <w:trPr>
          <w:trHeight w:val="2393"/>
        </w:trPr>
        <w:tc>
          <w:tcPr>
            <w:tcW w:w="1418" w:type="dxa"/>
            <w:vMerge/>
            <w:vAlign w:val="center"/>
            <w:hideMark/>
          </w:tcPr>
          <w:p w14:paraId="0E48D275" w14:textId="77777777" w:rsidR="00730FE0" w:rsidRPr="00FA0EA7" w:rsidRDefault="00730FE0" w:rsidP="00730F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vAlign w:val="center"/>
            <w:hideMark/>
          </w:tcPr>
          <w:p w14:paraId="1ABE89E1" w14:textId="77777777" w:rsidR="00730FE0" w:rsidRPr="00600B72" w:rsidRDefault="00730FE0" w:rsidP="00730F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являющихся объектами налогообложения земельным налогом</w:t>
            </w:r>
          </w:p>
        </w:tc>
        <w:tc>
          <w:tcPr>
            <w:tcW w:w="993" w:type="dxa"/>
            <w:shd w:val="clear" w:color="auto" w:fill="auto"/>
            <w:hideMark/>
          </w:tcPr>
          <w:p w14:paraId="1ABC3922"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41E89043" w14:textId="77777777" w:rsidR="00730FE0" w:rsidRPr="00600B72" w:rsidRDefault="00730FE0" w:rsidP="00730F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w:t>
            </w:r>
          </w:p>
        </w:tc>
        <w:tc>
          <w:tcPr>
            <w:tcW w:w="992" w:type="dxa"/>
            <w:shd w:val="clear" w:color="auto" w:fill="auto"/>
            <w:noWrap/>
            <w:hideMark/>
          </w:tcPr>
          <w:p w14:paraId="11F33C0D" w14:textId="6054DD79" w:rsidR="00730FE0" w:rsidRPr="00600B72" w:rsidRDefault="007160BD"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7 256,6</w:t>
            </w:r>
          </w:p>
        </w:tc>
        <w:tc>
          <w:tcPr>
            <w:tcW w:w="993" w:type="dxa"/>
            <w:shd w:val="clear" w:color="auto" w:fill="auto"/>
            <w:noWrap/>
            <w:hideMark/>
          </w:tcPr>
          <w:p w14:paraId="3B536CCE" w14:textId="7CB42B63"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7160BD" w:rsidRPr="00600B72">
              <w:rPr>
                <w:rFonts w:ascii="Times New Roman" w:eastAsia="Times New Roman" w:hAnsi="Times New Roman" w:cs="Times New Roman"/>
                <w:sz w:val="16"/>
                <w:szCs w:val="16"/>
                <w:lang w:eastAsia="ru-RU"/>
              </w:rPr>
              <w:t>7 270,0</w:t>
            </w:r>
          </w:p>
        </w:tc>
        <w:tc>
          <w:tcPr>
            <w:tcW w:w="992" w:type="dxa"/>
            <w:shd w:val="clear" w:color="auto" w:fill="auto"/>
            <w:noWrap/>
            <w:hideMark/>
          </w:tcPr>
          <w:p w14:paraId="0A81E984" w14:textId="772ED36C" w:rsidR="00730FE0" w:rsidRPr="00600B72" w:rsidRDefault="007160BD"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7 335,0</w:t>
            </w:r>
          </w:p>
        </w:tc>
        <w:tc>
          <w:tcPr>
            <w:tcW w:w="992" w:type="dxa"/>
            <w:shd w:val="clear" w:color="auto" w:fill="auto"/>
            <w:noWrap/>
            <w:hideMark/>
          </w:tcPr>
          <w:p w14:paraId="34E815CA" w14:textId="33226925"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7 3</w:t>
            </w:r>
            <w:r w:rsidR="007160BD" w:rsidRPr="00600B72">
              <w:rPr>
                <w:rFonts w:ascii="Times New Roman" w:eastAsia="Times New Roman" w:hAnsi="Times New Roman" w:cs="Times New Roman"/>
                <w:sz w:val="16"/>
                <w:szCs w:val="16"/>
                <w:lang w:eastAsia="ru-RU"/>
              </w:rPr>
              <w:t>76</w:t>
            </w: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698BFFF" w14:textId="38927BFF" w:rsidR="007160BD" w:rsidRPr="00600B72" w:rsidRDefault="00730FE0"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7160BD" w:rsidRPr="00600B72">
              <w:rPr>
                <w:rFonts w:ascii="Times New Roman" w:eastAsia="Times New Roman" w:hAnsi="Times New Roman" w:cs="Times New Roman"/>
                <w:sz w:val="16"/>
                <w:szCs w:val="16"/>
                <w:lang w:eastAsia="ru-RU"/>
              </w:rPr>
              <w:t>7 380</w:t>
            </w: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6D0A7CC4" w14:textId="39AEB1DB"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7160BD" w:rsidRPr="00600B72">
              <w:rPr>
                <w:rFonts w:ascii="Times New Roman" w:eastAsia="Times New Roman" w:hAnsi="Times New Roman" w:cs="Times New Roman"/>
                <w:sz w:val="16"/>
                <w:szCs w:val="16"/>
                <w:lang w:eastAsia="ru-RU"/>
              </w:rPr>
              <w:t>7 384</w:t>
            </w: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66150F5" w14:textId="6889ACFF" w:rsidR="00730FE0" w:rsidRPr="00600B72" w:rsidRDefault="00730FE0" w:rsidP="00730F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7160BD" w:rsidRPr="00600B72">
              <w:rPr>
                <w:rFonts w:ascii="Times New Roman" w:eastAsia="Times New Roman" w:hAnsi="Times New Roman" w:cs="Times New Roman"/>
                <w:sz w:val="16"/>
                <w:szCs w:val="16"/>
                <w:lang w:eastAsia="ru-RU"/>
              </w:rPr>
              <w:t>7 388</w:t>
            </w: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0907D0D7" w14:textId="00890D10" w:rsidR="00730FE0"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в собственность и постоянное бессрочное пользование на основании реестра договоров купли-продажи земельных участков, постановлений о предоставлении в собственность СНТ, постановлений о предоставлении на праве постоянного бессрочного пользования (муниципальные и государственные учреждения).</w:t>
            </w:r>
          </w:p>
        </w:tc>
      </w:tr>
      <w:tr w:rsidR="007160BD" w:rsidRPr="00403E44" w14:paraId="0AACEB6C" w14:textId="77777777" w:rsidTr="00520125">
        <w:trPr>
          <w:trHeight w:val="1407"/>
        </w:trPr>
        <w:tc>
          <w:tcPr>
            <w:tcW w:w="1418" w:type="dxa"/>
            <w:vMerge/>
            <w:vAlign w:val="center"/>
            <w:hideMark/>
          </w:tcPr>
          <w:p w14:paraId="315C310D" w14:textId="77777777" w:rsidR="007160BD" w:rsidRPr="00FA0EA7" w:rsidRDefault="007160BD" w:rsidP="007160BD">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8D294B1"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993" w:type="dxa"/>
            <w:shd w:val="clear" w:color="auto" w:fill="auto"/>
            <w:hideMark/>
          </w:tcPr>
          <w:p w14:paraId="019F2365"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511D8C0B"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4.2</w:t>
            </w:r>
          </w:p>
        </w:tc>
        <w:tc>
          <w:tcPr>
            <w:tcW w:w="992" w:type="dxa"/>
            <w:shd w:val="clear" w:color="auto" w:fill="auto"/>
            <w:noWrap/>
            <w:hideMark/>
          </w:tcPr>
          <w:p w14:paraId="75925E3B"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3" w:type="dxa"/>
            <w:shd w:val="clear" w:color="auto" w:fill="auto"/>
            <w:noWrap/>
            <w:hideMark/>
          </w:tcPr>
          <w:p w14:paraId="0B35F9BE"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2" w:type="dxa"/>
            <w:shd w:val="clear" w:color="auto" w:fill="auto"/>
            <w:noWrap/>
            <w:hideMark/>
          </w:tcPr>
          <w:p w14:paraId="30BAAEB0"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2" w:type="dxa"/>
            <w:shd w:val="clear" w:color="auto" w:fill="auto"/>
            <w:noWrap/>
            <w:hideMark/>
          </w:tcPr>
          <w:p w14:paraId="04CC666A"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2" w:type="dxa"/>
            <w:shd w:val="clear" w:color="auto" w:fill="auto"/>
            <w:noWrap/>
          </w:tcPr>
          <w:p w14:paraId="3081A722" w14:textId="71D13333"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3" w:type="dxa"/>
            <w:shd w:val="clear" w:color="auto" w:fill="auto"/>
            <w:noWrap/>
          </w:tcPr>
          <w:p w14:paraId="78F586C9" w14:textId="01A62FC8"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992" w:type="dxa"/>
            <w:shd w:val="clear" w:color="auto" w:fill="auto"/>
            <w:noWrap/>
          </w:tcPr>
          <w:p w14:paraId="7E40B923" w14:textId="5F83AFB2"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20 866,0</w:t>
            </w:r>
          </w:p>
        </w:tc>
        <w:tc>
          <w:tcPr>
            <w:tcW w:w="2551" w:type="dxa"/>
            <w:shd w:val="clear" w:color="auto" w:fill="auto"/>
            <w:hideMark/>
          </w:tcPr>
          <w:p w14:paraId="629F0C6F"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p>
        </w:tc>
      </w:tr>
      <w:tr w:rsidR="007160BD" w:rsidRPr="00403E44" w14:paraId="03CECCA4" w14:textId="77777777" w:rsidTr="00520125">
        <w:trPr>
          <w:trHeight w:val="600"/>
        </w:trPr>
        <w:tc>
          <w:tcPr>
            <w:tcW w:w="1418" w:type="dxa"/>
            <w:vMerge/>
            <w:vAlign w:val="center"/>
            <w:hideMark/>
          </w:tcPr>
          <w:p w14:paraId="26D053B2" w14:textId="77777777" w:rsidR="007160BD" w:rsidRPr="00FA0EA7" w:rsidRDefault="007160BD" w:rsidP="007160BD">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12795C1"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прибыльных сельскохозяйственных организаций в общем их числе</w:t>
            </w:r>
          </w:p>
        </w:tc>
        <w:tc>
          <w:tcPr>
            <w:tcW w:w="993" w:type="dxa"/>
            <w:shd w:val="clear" w:color="auto" w:fill="auto"/>
            <w:hideMark/>
          </w:tcPr>
          <w:p w14:paraId="06A8C889"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1421E4D2"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w:t>
            </w:r>
          </w:p>
        </w:tc>
        <w:tc>
          <w:tcPr>
            <w:tcW w:w="992" w:type="dxa"/>
            <w:shd w:val="clear" w:color="000000" w:fill="D7D7D7"/>
            <w:noWrap/>
            <w:hideMark/>
          </w:tcPr>
          <w:p w14:paraId="735416D7"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7BFD2C0A"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3A8F783D"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2D0498B3"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2462CB05"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7D1336EF"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652F70E6"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2551" w:type="dxa"/>
            <w:shd w:val="clear" w:color="auto" w:fill="auto"/>
            <w:hideMark/>
          </w:tcPr>
          <w:p w14:paraId="680B0DFB" w14:textId="11A9FD8C"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По итогам 2023 года показатель сохрани</w:t>
            </w:r>
            <w:r w:rsidR="00E02897">
              <w:rPr>
                <w:rFonts w:ascii="Times New Roman" w:eastAsia="Times New Roman" w:hAnsi="Times New Roman" w:cs="Times New Roman"/>
                <w:sz w:val="16"/>
                <w:szCs w:val="16"/>
                <w:lang w:eastAsia="ru-RU"/>
              </w:rPr>
              <w:t>л</w:t>
            </w:r>
            <w:r w:rsidRPr="00600B72">
              <w:rPr>
                <w:rFonts w:ascii="Times New Roman" w:eastAsia="Times New Roman" w:hAnsi="Times New Roman" w:cs="Times New Roman"/>
                <w:sz w:val="16"/>
                <w:szCs w:val="16"/>
                <w:lang w:eastAsia="ru-RU"/>
              </w:rPr>
              <w:t>ся на уровне 2022 года, ООО «СХП "Чеускино" является прибыльным.</w:t>
            </w:r>
          </w:p>
          <w:p w14:paraId="0B243BA4"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p>
          <w:p w14:paraId="0810B3CF"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p>
        </w:tc>
      </w:tr>
      <w:tr w:rsidR="007160BD" w:rsidRPr="00403E44" w14:paraId="23D30969" w14:textId="77777777" w:rsidTr="00520125">
        <w:trPr>
          <w:trHeight w:val="900"/>
        </w:trPr>
        <w:tc>
          <w:tcPr>
            <w:tcW w:w="1418" w:type="dxa"/>
            <w:vMerge/>
            <w:vAlign w:val="center"/>
            <w:hideMark/>
          </w:tcPr>
          <w:p w14:paraId="2F8D6B26" w14:textId="77777777" w:rsidR="007160BD" w:rsidRPr="00FA0EA7" w:rsidRDefault="007160BD" w:rsidP="007160BD">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F5453CA"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прибыльных единиц сельскохозяйственных организаций</w:t>
            </w:r>
          </w:p>
        </w:tc>
        <w:tc>
          <w:tcPr>
            <w:tcW w:w="993" w:type="dxa"/>
            <w:shd w:val="clear" w:color="auto" w:fill="auto"/>
            <w:hideMark/>
          </w:tcPr>
          <w:p w14:paraId="411F550F"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6A0EF0C5"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5.1</w:t>
            </w:r>
          </w:p>
        </w:tc>
        <w:tc>
          <w:tcPr>
            <w:tcW w:w="992" w:type="dxa"/>
            <w:shd w:val="clear" w:color="auto" w:fill="auto"/>
            <w:noWrap/>
            <w:hideMark/>
          </w:tcPr>
          <w:p w14:paraId="5A37AAFA"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3" w:type="dxa"/>
            <w:shd w:val="clear" w:color="auto" w:fill="auto"/>
            <w:noWrap/>
            <w:hideMark/>
          </w:tcPr>
          <w:p w14:paraId="24A72ADD"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3C24254B"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51B79340"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0A98D266"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3" w:type="dxa"/>
            <w:shd w:val="clear" w:color="auto" w:fill="auto"/>
            <w:noWrap/>
            <w:hideMark/>
          </w:tcPr>
          <w:p w14:paraId="23CC45DC"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6EA0C23D"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2551" w:type="dxa"/>
            <w:shd w:val="clear" w:color="auto" w:fill="auto"/>
            <w:hideMark/>
          </w:tcPr>
          <w:p w14:paraId="28489CA4"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Рассчитывается на основании статистической формы П-3 "Сведения о финансовом состоянии организации". По форме П-3 в Росстат отчитывается только ООО «СХП "Чеускино".</w:t>
            </w:r>
          </w:p>
          <w:p w14:paraId="04AE0A6F"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p>
        </w:tc>
      </w:tr>
      <w:tr w:rsidR="007160BD" w:rsidRPr="00403E44" w14:paraId="34424187" w14:textId="77777777" w:rsidTr="00520125">
        <w:trPr>
          <w:trHeight w:val="1751"/>
        </w:trPr>
        <w:tc>
          <w:tcPr>
            <w:tcW w:w="1418" w:type="dxa"/>
            <w:vMerge/>
            <w:vAlign w:val="center"/>
            <w:hideMark/>
          </w:tcPr>
          <w:p w14:paraId="721CC6C0" w14:textId="77777777" w:rsidR="007160BD" w:rsidRPr="00FA0EA7" w:rsidRDefault="007160BD" w:rsidP="007160BD">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501AA23" w14:textId="77777777"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число сельскохозяйственных организаций</w:t>
            </w:r>
          </w:p>
        </w:tc>
        <w:tc>
          <w:tcPr>
            <w:tcW w:w="993" w:type="dxa"/>
            <w:shd w:val="clear" w:color="auto" w:fill="auto"/>
            <w:hideMark/>
          </w:tcPr>
          <w:p w14:paraId="3BE8DA41"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6F09CBC6" w14:textId="77777777" w:rsidR="007160BD" w:rsidRPr="00600B72" w:rsidRDefault="007160BD" w:rsidP="007160BD">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5.2</w:t>
            </w:r>
          </w:p>
        </w:tc>
        <w:tc>
          <w:tcPr>
            <w:tcW w:w="992" w:type="dxa"/>
            <w:shd w:val="clear" w:color="auto" w:fill="auto"/>
            <w:noWrap/>
            <w:hideMark/>
          </w:tcPr>
          <w:p w14:paraId="65DB54CD"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3" w:type="dxa"/>
            <w:shd w:val="clear" w:color="auto" w:fill="auto"/>
            <w:noWrap/>
            <w:hideMark/>
          </w:tcPr>
          <w:p w14:paraId="2A512FA4"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079D6107"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3B9FF0BB"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01E30FB4"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3" w:type="dxa"/>
            <w:shd w:val="clear" w:color="auto" w:fill="auto"/>
            <w:noWrap/>
            <w:hideMark/>
          </w:tcPr>
          <w:p w14:paraId="7EDE10BA"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auto" w:fill="auto"/>
            <w:noWrap/>
            <w:hideMark/>
          </w:tcPr>
          <w:p w14:paraId="2834B373" w14:textId="77777777" w:rsidR="007160BD" w:rsidRPr="00600B72" w:rsidRDefault="007160BD" w:rsidP="007160BD">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2551" w:type="dxa"/>
            <w:shd w:val="clear" w:color="auto" w:fill="auto"/>
            <w:hideMark/>
          </w:tcPr>
          <w:p w14:paraId="78F6EF2B" w14:textId="743EE3D6" w:rsidR="007160BD" w:rsidRPr="00600B72" w:rsidRDefault="007160BD" w:rsidP="007160BD">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 сельскохозяйственным организациям относятся юридические лица (кроме субъектов малого предпринимательства, государственных и муниципальных учреждений), средняя численность работников которых превышает 15 человек.</w:t>
            </w:r>
          </w:p>
        </w:tc>
      </w:tr>
      <w:tr w:rsidR="00B133A9" w:rsidRPr="00403E44" w14:paraId="61CD3A01" w14:textId="77777777" w:rsidTr="00520125">
        <w:trPr>
          <w:trHeight w:val="1005"/>
        </w:trPr>
        <w:tc>
          <w:tcPr>
            <w:tcW w:w="1418" w:type="dxa"/>
            <w:vMerge/>
            <w:vAlign w:val="center"/>
            <w:hideMark/>
          </w:tcPr>
          <w:p w14:paraId="3A018007" w14:textId="77777777" w:rsidR="00B133A9" w:rsidRPr="00FA0EA7" w:rsidRDefault="00B133A9" w:rsidP="00B133A9">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6995DD7" w14:textId="77777777" w:rsidR="00B133A9" w:rsidRPr="00600B72" w:rsidRDefault="00B133A9" w:rsidP="00B133A9">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shd w:val="clear" w:color="auto" w:fill="auto"/>
            <w:hideMark/>
          </w:tcPr>
          <w:p w14:paraId="24B1DE05"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569F2248"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w:t>
            </w:r>
          </w:p>
        </w:tc>
        <w:tc>
          <w:tcPr>
            <w:tcW w:w="992" w:type="dxa"/>
            <w:shd w:val="clear" w:color="000000" w:fill="D7D7D7"/>
            <w:noWrap/>
            <w:hideMark/>
          </w:tcPr>
          <w:p w14:paraId="31F31466" w14:textId="56A30598"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5,32</w:t>
            </w:r>
          </w:p>
        </w:tc>
        <w:tc>
          <w:tcPr>
            <w:tcW w:w="993" w:type="dxa"/>
            <w:shd w:val="clear" w:color="000000" w:fill="D7D7D7"/>
            <w:noWrap/>
            <w:hideMark/>
          </w:tcPr>
          <w:p w14:paraId="55626AA4" w14:textId="5F67FAA9"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5,28</w:t>
            </w:r>
          </w:p>
        </w:tc>
        <w:tc>
          <w:tcPr>
            <w:tcW w:w="992" w:type="dxa"/>
            <w:shd w:val="clear" w:color="000000" w:fill="D7D7D7"/>
            <w:noWrap/>
            <w:hideMark/>
          </w:tcPr>
          <w:p w14:paraId="3BA1EA66" w14:textId="54FCD0C9"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3,37</w:t>
            </w:r>
          </w:p>
        </w:tc>
        <w:tc>
          <w:tcPr>
            <w:tcW w:w="992" w:type="dxa"/>
            <w:shd w:val="clear" w:color="000000" w:fill="D7D7D7"/>
            <w:noWrap/>
            <w:hideMark/>
          </w:tcPr>
          <w:p w14:paraId="4DAA1635" w14:textId="60CD668D"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3,36</w:t>
            </w:r>
          </w:p>
        </w:tc>
        <w:tc>
          <w:tcPr>
            <w:tcW w:w="992" w:type="dxa"/>
            <w:shd w:val="clear" w:color="000000" w:fill="D7D7D7"/>
            <w:noWrap/>
          </w:tcPr>
          <w:p w14:paraId="1122D037" w14:textId="716A02E7"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3,36</w:t>
            </w:r>
          </w:p>
        </w:tc>
        <w:tc>
          <w:tcPr>
            <w:tcW w:w="993" w:type="dxa"/>
            <w:shd w:val="clear" w:color="000000" w:fill="D7D7D7"/>
            <w:noWrap/>
          </w:tcPr>
          <w:p w14:paraId="7F9A831A" w14:textId="68374029"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3,36</w:t>
            </w:r>
          </w:p>
        </w:tc>
        <w:tc>
          <w:tcPr>
            <w:tcW w:w="992" w:type="dxa"/>
            <w:shd w:val="clear" w:color="000000" w:fill="D7D7D7"/>
            <w:noWrap/>
          </w:tcPr>
          <w:p w14:paraId="65A47454" w14:textId="41CF0BA2"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3,36</w:t>
            </w:r>
          </w:p>
        </w:tc>
        <w:tc>
          <w:tcPr>
            <w:tcW w:w="2551" w:type="dxa"/>
            <w:shd w:val="clear" w:color="auto" w:fill="auto"/>
            <w:hideMark/>
          </w:tcPr>
          <w:p w14:paraId="6A80947C" w14:textId="2AFF9F58" w:rsidR="00B133A9" w:rsidRP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xml:space="preserve">Изменение показателя произошло в связи с принятием в муниципальную собственность </w:t>
            </w:r>
            <w:proofErr w:type="gramStart"/>
            <w:r w:rsidRPr="00B133A9">
              <w:rPr>
                <w:rFonts w:ascii="Times New Roman" w:eastAsia="Times New Roman" w:hAnsi="Times New Roman" w:cs="Times New Roman"/>
                <w:sz w:val="16"/>
                <w:szCs w:val="16"/>
                <w:lang w:eastAsia="ru-RU"/>
              </w:rPr>
              <w:t>автомобильных дорог общего пользования местного значения</w:t>
            </w:r>
            <w:proofErr w:type="gramEnd"/>
            <w:r w:rsidRPr="00B133A9">
              <w:rPr>
                <w:rFonts w:ascii="Times New Roman" w:eastAsia="Times New Roman" w:hAnsi="Times New Roman" w:cs="Times New Roman"/>
                <w:sz w:val="16"/>
                <w:szCs w:val="16"/>
                <w:lang w:eastAsia="ru-RU"/>
              </w:rPr>
              <w:t xml:space="preserve"> отвечающих нормативным требованиям, а также выполняемому комплексу работ по круглогодичному содержанию автодорог в нормативном состоянии.</w:t>
            </w:r>
          </w:p>
        </w:tc>
      </w:tr>
      <w:tr w:rsidR="00B133A9" w:rsidRPr="00403E44" w14:paraId="657B2ABB" w14:textId="77777777" w:rsidTr="007C0497">
        <w:trPr>
          <w:trHeight w:val="1800"/>
        </w:trPr>
        <w:tc>
          <w:tcPr>
            <w:tcW w:w="1418" w:type="dxa"/>
            <w:vMerge/>
            <w:vAlign w:val="center"/>
            <w:hideMark/>
          </w:tcPr>
          <w:p w14:paraId="19371F51" w14:textId="77777777" w:rsidR="00B133A9" w:rsidRPr="00FA0EA7" w:rsidRDefault="00B133A9" w:rsidP="00B133A9">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2B92FED" w14:textId="77777777" w:rsidR="00B133A9" w:rsidRPr="00600B72" w:rsidRDefault="00B133A9" w:rsidP="00B133A9">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 не отвечающих нормативным требованиям</w:t>
            </w:r>
          </w:p>
        </w:tc>
        <w:tc>
          <w:tcPr>
            <w:tcW w:w="993" w:type="dxa"/>
            <w:shd w:val="clear" w:color="auto" w:fill="auto"/>
            <w:hideMark/>
          </w:tcPr>
          <w:p w14:paraId="45709E91"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Километр</w:t>
            </w:r>
          </w:p>
        </w:tc>
        <w:tc>
          <w:tcPr>
            <w:tcW w:w="850" w:type="dxa"/>
            <w:shd w:val="clear" w:color="auto" w:fill="auto"/>
            <w:hideMark/>
          </w:tcPr>
          <w:p w14:paraId="0C800A1A"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w:t>
            </w:r>
          </w:p>
        </w:tc>
        <w:tc>
          <w:tcPr>
            <w:tcW w:w="992" w:type="dxa"/>
            <w:shd w:val="clear" w:color="auto" w:fill="auto"/>
            <w:noWrap/>
          </w:tcPr>
          <w:p w14:paraId="271050BA" w14:textId="0CF7A61F"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9,30</w:t>
            </w:r>
          </w:p>
        </w:tc>
        <w:tc>
          <w:tcPr>
            <w:tcW w:w="993" w:type="dxa"/>
            <w:shd w:val="clear" w:color="auto" w:fill="auto"/>
            <w:noWrap/>
          </w:tcPr>
          <w:p w14:paraId="37F5BBC6" w14:textId="65AC5C71"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9,30</w:t>
            </w:r>
          </w:p>
        </w:tc>
        <w:tc>
          <w:tcPr>
            <w:tcW w:w="992" w:type="dxa"/>
            <w:shd w:val="clear" w:color="auto" w:fill="auto"/>
            <w:noWrap/>
          </w:tcPr>
          <w:p w14:paraId="69316A5A" w14:textId="6126E56D"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6,00</w:t>
            </w:r>
          </w:p>
        </w:tc>
        <w:tc>
          <w:tcPr>
            <w:tcW w:w="992" w:type="dxa"/>
            <w:shd w:val="clear" w:color="auto" w:fill="auto"/>
            <w:noWrap/>
          </w:tcPr>
          <w:p w14:paraId="27C9ED37" w14:textId="6019F961"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6,14</w:t>
            </w:r>
          </w:p>
        </w:tc>
        <w:tc>
          <w:tcPr>
            <w:tcW w:w="992" w:type="dxa"/>
            <w:shd w:val="clear" w:color="auto" w:fill="auto"/>
            <w:noWrap/>
          </w:tcPr>
          <w:p w14:paraId="089E2DC0" w14:textId="4ED0E10F"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6,14</w:t>
            </w:r>
          </w:p>
        </w:tc>
        <w:tc>
          <w:tcPr>
            <w:tcW w:w="993" w:type="dxa"/>
            <w:shd w:val="clear" w:color="auto" w:fill="auto"/>
            <w:noWrap/>
          </w:tcPr>
          <w:p w14:paraId="374DDF44" w14:textId="454B1EC0"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6,14</w:t>
            </w:r>
          </w:p>
        </w:tc>
        <w:tc>
          <w:tcPr>
            <w:tcW w:w="992" w:type="dxa"/>
            <w:shd w:val="clear" w:color="auto" w:fill="auto"/>
            <w:noWrap/>
          </w:tcPr>
          <w:p w14:paraId="417AF63D" w14:textId="06D0B6BE"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6,14</w:t>
            </w:r>
          </w:p>
        </w:tc>
        <w:tc>
          <w:tcPr>
            <w:tcW w:w="2551" w:type="dxa"/>
            <w:shd w:val="clear" w:color="auto" w:fill="auto"/>
          </w:tcPr>
          <w:p w14:paraId="09B7A680" w14:textId="6A2E13FA" w:rsidR="00B133A9" w:rsidRP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xml:space="preserve">Изменение показателя произошло за счет принятия в муниципальную собственность </w:t>
            </w:r>
            <w:proofErr w:type="gramStart"/>
            <w:r w:rsidRPr="00B133A9">
              <w:rPr>
                <w:rFonts w:ascii="Times New Roman" w:eastAsia="Times New Roman" w:hAnsi="Times New Roman" w:cs="Times New Roman"/>
                <w:sz w:val="16"/>
                <w:szCs w:val="16"/>
                <w:lang w:eastAsia="ru-RU"/>
              </w:rPr>
              <w:t>автомобильных дорог общего пользования местного значения</w:t>
            </w:r>
            <w:proofErr w:type="gramEnd"/>
            <w:r w:rsidRPr="00B133A9">
              <w:rPr>
                <w:rFonts w:ascii="Times New Roman" w:eastAsia="Times New Roman" w:hAnsi="Times New Roman" w:cs="Times New Roman"/>
                <w:sz w:val="16"/>
                <w:szCs w:val="16"/>
                <w:lang w:eastAsia="ru-RU"/>
              </w:rPr>
              <w:t xml:space="preserve"> не отвечающих нормативным требованиям (в гп.Пойковский по результатам проведённой инвентаризации увеличена протяжённость автодорог и проездов на 0,5 км, из них 0,140 км не отвечающих нормативным требованиям).</w:t>
            </w:r>
          </w:p>
        </w:tc>
      </w:tr>
      <w:tr w:rsidR="00B133A9" w:rsidRPr="00403E44" w14:paraId="7602893F" w14:textId="77777777" w:rsidTr="007C0497">
        <w:trPr>
          <w:trHeight w:val="1200"/>
        </w:trPr>
        <w:tc>
          <w:tcPr>
            <w:tcW w:w="1418" w:type="dxa"/>
            <w:vMerge/>
            <w:vAlign w:val="center"/>
            <w:hideMark/>
          </w:tcPr>
          <w:p w14:paraId="4123248C" w14:textId="77777777" w:rsidR="00B133A9" w:rsidRPr="00FA0EA7" w:rsidRDefault="00B133A9" w:rsidP="00B133A9">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C3DD5D0" w14:textId="77777777" w:rsidR="00B133A9" w:rsidRPr="00600B72" w:rsidRDefault="00B133A9" w:rsidP="00B133A9">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w:t>
            </w:r>
          </w:p>
        </w:tc>
        <w:tc>
          <w:tcPr>
            <w:tcW w:w="993" w:type="dxa"/>
            <w:shd w:val="clear" w:color="auto" w:fill="auto"/>
            <w:hideMark/>
          </w:tcPr>
          <w:p w14:paraId="6B408D49"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Километр</w:t>
            </w:r>
          </w:p>
        </w:tc>
        <w:tc>
          <w:tcPr>
            <w:tcW w:w="850" w:type="dxa"/>
            <w:shd w:val="clear" w:color="auto" w:fill="auto"/>
            <w:hideMark/>
          </w:tcPr>
          <w:p w14:paraId="26792C1F" w14:textId="77777777" w:rsidR="00B133A9" w:rsidRPr="00600B72" w:rsidRDefault="00B133A9" w:rsidP="00B133A9">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6.2</w:t>
            </w:r>
          </w:p>
        </w:tc>
        <w:tc>
          <w:tcPr>
            <w:tcW w:w="992" w:type="dxa"/>
            <w:shd w:val="clear" w:color="auto" w:fill="auto"/>
            <w:noWrap/>
          </w:tcPr>
          <w:p w14:paraId="119E6BD2" w14:textId="21F688F4"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174,80</w:t>
            </w:r>
          </w:p>
        </w:tc>
        <w:tc>
          <w:tcPr>
            <w:tcW w:w="993" w:type="dxa"/>
            <w:shd w:val="clear" w:color="auto" w:fill="auto"/>
            <w:noWrap/>
          </w:tcPr>
          <w:p w14:paraId="059B0081" w14:textId="3A7A7DEA"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176,20</w:t>
            </w:r>
          </w:p>
        </w:tc>
        <w:tc>
          <w:tcPr>
            <w:tcW w:w="992" w:type="dxa"/>
            <w:shd w:val="clear" w:color="auto" w:fill="auto"/>
            <w:noWrap/>
          </w:tcPr>
          <w:p w14:paraId="266F0498" w14:textId="0CAB8881"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178,00</w:t>
            </w:r>
          </w:p>
        </w:tc>
        <w:tc>
          <w:tcPr>
            <w:tcW w:w="992" w:type="dxa"/>
            <w:shd w:val="clear" w:color="auto" w:fill="auto"/>
            <w:noWrap/>
          </w:tcPr>
          <w:p w14:paraId="0C1009BF" w14:textId="2FE8D91E"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182,50</w:t>
            </w:r>
          </w:p>
        </w:tc>
        <w:tc>
          <w:tcPr>
            <w:tcW w:w="992" w:type="dxa"/>
            <w:shd w:val="clear" w:color="auto" w:fill="auto"/>
            <w:noWrap/>
          </w:tcPr>
          <w:p w14:paraId="5E52A5A6" w14:textId="6AFF4F9A"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182,50</w:t>
            </w:r>
          </w:p>
        </w:tc>
        <w:tc>
          <w:tcPr>
            <w:tcW w:w="993" w:type="dxa"/>
            <w:shd w:val="clear" w:color="auto" w:fill="auto"/>
            <w:noWrap/>
          </w:tcPr>
          <w:p w14:paraId="23A9B32A" w14:textId="59F6A606"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182,50</w:t>
            </w:r>
          </w:p>
        </w:tc>
        <w:tc>
          <w:tcPr>
            <w:tcW w:w="992" w:type="dxa"/>
            <w:shd w:val="clear" w:color="auto" w:fill="auto"/>
            <w:noWrap/>
          </w:tcPr>
          <w:p w14:paraId="404B0E47" w14:textId="7DE21A61" w:rsidR="00B133A9" w:rsidRPr="00600B72" w:rsidRDefault="00B133A9" w:rsidP="00B133A9">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182,50</w:t>
            </w:r>
          </w:p>
        </w:tc>
        <w:tc>
          <w:tcPr>
            <w:tcW w:w="2551" w:type="dxa"/>
            <w:shd w:val="clear" w:color="auto" w:fill="auto"/>
          </w:tcPr>
          <w:p w14:paraId="0DFEC72C" w14:textId="77777777" w:rsid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xml:space="preserve">Увеличение показателя на 4,5 км произошло после проведенной инвентаризации и принятия в собственность автодорог и проездов в: </w:t>
            </w:r>
          </w:p>
          <w:p w14:paraId="2CF0C319" w14:textId="77777777" w:rsid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xml:space="preserve">- </w:t>
            </w:r>
            <w:proofErr w:type="gramStart"/>
            <w:r w:rsidRPr="00B133A9">
              <w:rPr>
                <w:rFonts w:ascii="Times New Roman" w:eastAsia="Times New Roman" w:hAnsi="Times New Roman" w:cs="Times New Roman"/>
                <w:sz w:val="16"/>
                <w:szCs w:val="16"/>
                <w:lang w:eastAsia="ru-RU"/>
              </w:rPr>
              <w:t>пгт.Пойковский</w:t>
            </w:r>
            <w:proofErr w:type="gramEnd"/>
            <w:r w:rsidRPr="00B133A9">
              <w:rPr>
                <w:rFonts w:ascii="Times New Roman" w:eastAsia="Times New Roman" w:hAnsi="Times New Roman" w:cs="Times New Roman"/>
                <w:sz w:val="16"/>
                <w:szCs w:val="16"/>
                <w:lang w:eastAsia="ru-RU"/>
              </w:rPr>
              <w:t xml:space="preserve"> 0,5 км</w:t>
            </w:r>
            <w:r>
              <w:rPr>
                <w:rFonts w:ascii="Times New Roman" w:eastAsia="Times New Roman" w:hAnsi="Times New Roman" w:cs="Times New Roman"/>
                <w:sz w:val="16"/>
                <w:szCs w:val="16"/>
                <w:lang w:eastAsia="ru-RU"/>
              </w:rPr>
              <w:t>;</w:t>
            </w:r>
          </w:p>
          <w:p w14:paraId="751B8319" w14:textId="77777777" w:rsid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сп.Сингапай 3,2 км</w:t>
            </w:r>
            <w:r>
              <w:rPr>
                <w:rFonts w:ascii="Times New Roman" w:eastAsia="Times New Roman" w:hAnsi="Times New Roman" w:cs="Times New Roman"/>
                <w:sz w:val="16"/>
                <w:szCs w:val="16"/>
                <w:lang w:eastAsia="ru-RU"/>
              </w:rPr>
              <w:t>;</w:t>
            </w:r>
            <w:r w:rsidRPr="00B133A9">
              <w:rPr>
                <w:rFonts w:ascii="Times New Roman" w:eastAsia="Times New Roman" w:hAnsi="Times New Roman" w:cs="Times New Roman"/>
                <w:sz w:val="16"/>
                <w:szCs w:val="16"/>
                <w:lang w:eastAsia="ru-RU"/>
              </w:rPr>
              <w:t xml:space="preserve"> </w:t>
            </w:r>
          </w:p>
          <w:p w14:paraId="2C5026B1" w14:textId="77777777" w:rsid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Pr="00B133A9">
              <w:rPr>
                <w:rFonts w:ascii="Times New Roman" w:eastAsia="Times New Roman" w:hAnsi="Times New Roman" w:cs="Times New Roman"/>
                <w:sz w:val="16"/>
                <w:szCs w:val="16"/>
                <w:lang w:eastAsia="ru-RU"/>
              </w:rPr>
              <w:t>сп.Каркатеевы 0,9 км</w:t>
            </w:r>
            <w:r>
              <w:rPr>
                <w:rFonts w:ascii="Times New Roman" w:eastAsia="Times New Roman" w:hAnsi="Times New Roman" w:cs="Times New Roman"/>
                <w:sz w:val="16"/>
                <w:szCs w:val="16"/>
                <w:lang w:eastAsia="ru-RU"/>
              </w:rPr>
              <w:t>.</w:t>
            </w:r>
          </w:p>
          <w:p w14:paraId="360EEF63" w14:textId="4618465D" w:rsidR="00B133A9" w:rsidRP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В сп.Салым исключена из реестра муниципальной собственности автомобильная дорога местного значения проезд Православный, протяженностью 0,1 км.</w:t>
            </w:r>
          </w:p>
        </w:tc>
      </w:tr>
      <w:tr w:rsidR="00520125" w:rsidRPr="00403E44" w14:paraId="69A17270" w14:textId="77777777" w:rsidTr="007C0497">
        <w:trPr>
          <w:trHeight w:val="438"/>
        </w:trPr>
        <w:tc>
          <w:tcPr>
            <w:tcW w:w="1418" w:type="dxa"/>
            <w:vMerge/>
            <w:vAlign w:val="center"/>
            <w:hideMark/>
          </w:tcPr>
          <w:p w14:paraId="5A581F62" w14:textId="77777777" w:rsidR="00520125" w:rsidRPr="00FA0EA7" w:rsidRDefault="00520125" w:rsidP="00520125">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69F3E8B" w14:textId="2B1DA514" w:rsidR="00520125" w:rsidRPr="00600B72" w:rsidRDefault="00520125"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Доля населения, проживающего в населенных </w:t>
            </w:r>
            <w:r w:rsidRPr="00600B72">
              <w:rPr>
                <w:rFonts w:ascii="Times New Roman" w:eastAsia="Times New Roman" w:hAnsi="Times New Roman" w:cs="Times New Roman"/>
                <w:sz w:val="16"/>
                <w:szCs w:val="16"/>
                <w:lang w:eastAsia="ru-RU"/>
              </w:rPr>
              <w:lastRenderedPageBreak/>
              <w:t>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993" w:type="dxa"/>
            <w:shd w:val="clear" w:color="auto" w:fill="auto"/>
            <w:hideMark/>
          </w:tcPr>
          <w:p w14:paraId="762F1490"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Процент</w:t>
            </w:r>
          </w:p>
        </w:tc>
        <w:tc>
          <w:tcPr>
            <w:tcW w:w="850" w:type="dxa"/>
            <w:shd w:val="clear" w:color="auto" w:fill="auto"/>
            <w:hideMark/>
          </w:tcPr>
          <w:p w14:paraId="0734CFC1"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w:t>
            </w:r>
          </w:p>
        </w:tc>
        <w:tc>
          <w:tcPr>
            <w:tcW w:w="992" w:type="dxa"/>
            <w:shd w:val="clear" w:color="000000" w:fill="D7D7D7"/>
            <w:noWrap/>
          </w:tcPr>
          <w:p w14:paraId="1012C0E9" w14:textId="661B0448"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3A7F5B0D" w14:textId="3580208A"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42D4C23C" w14:textId="0F6D1492"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772C60B2" w14:textId="66BACE9F"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7C8671E4" w14:textId="2795A2B3"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4CCC20F4" w14:textId="328F66F3"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4E19047C" w14:textId="426D3B6A"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639BC355" w14:textId="2418D0A4" w:rsidR="00520125" w:rsidRPr="00600B72" w:rsidRDefault="007C0497"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100% населения, проживающего в населённых пунктах </w:t>
            </w:r>
            <w:r w:rsidRPr="00600B72">
              <w:rPr>
                <w:rFonts w:ascii="Times New Roman" w:eastAsia="Times New Roman" w:hAnsi="Times New Roman" w:cs="Times New Roman"/>
                <w:sz w:val="16"/>
                <w:szCs w:val="16"/>
                <w:lang w:eastAsia="ru-RU"/>
              </w:rPr>
              <w:lastRenderedPageBreak/>
              <w:t>Нефтеюганского района обеспечены регулярным автобусным сообщением с административным центром.</w:t>
            </w:r>
          </w:p>
        </w:tc>
      </w:tr>
      <w:tr w:rsidR="00520125" w:rsidRPr="00403E44" w14:paraId="24E27AEB" w14:textId="77777777" w:rsidTr="007C0497">
        <w:trPr>
          <w:trHeight w:val="1500"/>
        </w:trPr>
        <w:tc>
          <w:tcPr>
            <w:tcW w:w="1418" w:type="dxa"/>
            <w:vMerge/>
            <w:vAlign w:val="center"/>
            <w:hideMark/>
          </w:tcPr>
          <w:p w14:paraId="092173A0" w14:textId="77777777" w:rsidR="00520125" w:rsidRPr="00FA0EA7" w:rsidRDefault="00520125" w:rsidP="00520125">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35D7965"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993" w:type="dxa"/>
            <w:shd w:val="clear" w:color="auto" w:fill="auto"/>
            <w:hideMark/>
          </w:tcPr>
          <w:p w14:paraId="14070158"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6BCB44CA"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7.1</w:t>
            </w:r>
          </w:p>
        </w:tc>
        <w:tc>
          <w:tcPr>
            <w:tcW w:w="992" w:type="dxa"/>
            <w:shd w:val="clear" w:color="auto" w:fill="auto"/>
            <w:noWrap/>
          </w:tcPr>
          <w:p w14:paraId="701ADF95" w14:textId="5BDE06D9"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tcPr>
          <w:p w14:paraId="52004E0A" w14:textId="6FB998BB"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70BEB9A9" w14:textId="3E253F56"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5FE5750A" w14:textId="35FB9465"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00C7E929" w14:textId="0F78AB7B"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tcPr>
          <w:p w14:paraId="10488C49" w14:textId="2357376C"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4A3A7D73" w14:textId="63F5E460"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40EB7B35" w14:textId="32F847E1" w:rsidR="00520125" w:rsidRPr="00600B72" w:rsidRDefault="007C0497"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100% населения, проживающего в населённых пунктах Нефтеюганского района обеспечены регулярным автобусным сообщением с административным центром.</w:t>
            </w:r>
          </w:p>
        </w:tc>
      </w:tr>
      <w:tr w:rsidR="00520125" w:rsidRPr="00403E44" w14:paraId="10CDB9A3" w14:textId="77777777" w:rsidTr="007C0497">
        <w:trPr>
          <w:trHeight w:val="600"/>
        </w:trPr>
        <w:tc>
          <w:tcPr>
            <w:tcW w:w="1418" w:type="dxa"/>
            <w:vMerge/>
            <w:vAlign w:val="center"/>
            <w:hideMark/>
          </w:tcPr>
          <w:p w14:paraId="1F925AF8" w14:textId="77777777" w:rsidR="00520125" w:rsidRPr="00FA0EA7" w:rsidRDefault="00520125" w:rsidP="00520125">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CB8AE84"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w:t>
            </w:r>
          </w:p>
        </w:tc>
        <w:tc>
          <w:tcPr>
            <w:tcW w:w="993" w:type="dxa"/>
            <w:shd w:val="clear" w:color="auto" w:fill="auto"/>
            <w:hideMark/>
          </w:tcPr>
          <w:p w14:paraId="640BD04C"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3442E55A"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w:t>
            </w:r>
          </w:p>
        </w:tc>
        <w:tc>
          <w:tcPr>
            <w:tcW w:w="992" w:type="dxa"/>
            <w:shd w:val="clear" w:color="000000" w:fill="D7D7D7"/>
            <w:noWrap/>
          </w:tcPr>
          <w:p w14:paraId="05657D33" w14:textId="79EA517C"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2180B64A" w14:textId="2D44FE94"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61DE0787" w14:textId="4AE74969"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1DD3AD4C" w14:textId="25F80C39"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5CABFB9F" w14:textId="37F9C0B2"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4CE0F9BF" w14:textId="03624C47"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6DD9FF4F" w14:textId="6D14EA93"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5F245B41" w14:textId="68CF9E30" w:rsidR="00520125" w:rsidRPr="00600B72" w:rsidRDefault="00520125" w:rsidP="00520125">
            <w:pPr>
              <w:spacing w:after="0" w:line="240" w:lineRule="auto"/>
              <w:rPr>
                <w:rFonts w:ascii="Times New Roman" w:eastAsia="Times New Roman" w:hAnsi="Times New Roman" w:cs="Times New Roman"/>
                <w:sz w:val="16"/>
                <w:szCs w:val="16"/>
                <w:lang w:eastAsia="ru-RU"/>
              </w:rPr>
            </w:pPr>
          </w:p>
        </w:tc>
      </w:tr>
      <w:tr w:rsidR="00520125" w:rsidRPr="00403E44" w14:paraId="37C04DDF" w14:textId="77777777" w:rsidTr="007C0497">
        <w:trPr>
          <w:trHeight w:val="900"/>
        </w:trPr>
        <w:tc>
          <w:tcPr>
            <w:tcW w:w="1418" w:type="dxa"/>
            <w:vMerge/>
            <w:vAlign w:val="center"/>
            <w:hideMark/>
          </w:tcPr>
          <w:p w14:paraId="3F5760B5" w14:textId="77777777" w:rsidR="00520125" w:rsidRPr="00FA0EA7" w:rsidRDefault="00520125" w:rsidP="00520125">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625C5F7"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крупных и средних предприятий и некоммерческих организаций</w:t>
            </w:r>
          </w:p>
          <w:p w14:paraId="42284FC6"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1F893DDE"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6F172671"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8.1</w:t>
            </w:r>
          </w:p>
        </w:tc>
        <w:tc>
          <w:tcPr>
            <w:tcW w:w="992" w:type="dxa"/>
            <w:shd w:val="clear" w:color="000000" w:fill="D7D7D7"/>
            <w:noWrap/>
          </w:tcPr>
          <w:p w14:paraId="662AB11D" w14:textId="0B1FE74F"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87 780,9</w:t>
            </w:r>
          </w:p>
        </w:tc>
        <w:tc>
          <w:tcPr>
            <w:tcW w:w="993" w:type="dxa"/>
            <w:shd w:val="clear" w:color="000000" w:fill="D7D7D7"/>
            <w:noWrap/>
          </w:tcPr>
          <w:p w14:paraId="0ED98D50" w14:textId="32C9546E"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92 435,6</w:t>
            </w:r>
          </w:p>
        </w:tc>
        <w:tc>
          <w:tcPr>
            <w:tcW w:w="992" w:type="dxa"/>
            <w:shd w:val="clear" w:color="000000" w:fill="D7D7D7"/>
            <w:noWrap/>
          </w:tcPr>
          <w:p w14:paraId="4B0EFF7E" w14:textId="6911D14D"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104 736,5</w:t>
            </w:r>
          </w:p>
        </w:tc>
        <w:tc>
          <w:tcPr>
            <w:tcW w:w="992" w:type="dxa"/>
            <w:shd w:val="clear" w:color="000000" w:fill="D7D7D7"/>
            <w:noWrap/>
          </w:tcPr>
          <w:p w14:paraId="196C5EEA" w14:textId="42E9B506"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117 502,3</w:t>
            </w:r>
          </w:p>
        </w:tc>
        <w:tc>
          <w:tcPr>
            <w:tcW w:w="992" w:type="dxa"/>
            <w:shd w:val="clear" w:color="auto" w:fill="auto"/>
            <w:noWrap/>
          </w:tcPr>
          <w:p w14:paraId="6D81FE30" w14:textId="4F8B2F45"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125 953,0</w:t>
            </w:r>
          </w:p>
        </w:tc>
        <w:tc>
          <w:tcPr>
            <w:tcW w:w="993" w:type="dxa"/>
            <w:shd w:val="clear" w:color="auto" w:fill="auto"/>
            <w:noWrap/>
          </w:tcPr>
          <w:p w14:paraId="2F0166B5" w14:textId="740D1116"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134 770,0</w:t>
            </w:r>
          </w:p>
        </w:tc>
        <w:tc>
          <w:tcPr>
            <w:tcW w:w="992" w:type="dxa"/>
            <w:shd w:val="clear" w:color="auto" w:fill="auto"/>
            <w:noWrap/>
          </w:tcPr>
          <w:p w14:paraId="63CDFD8D" w14:textId="00A8C2BA" w:rsidR="00520125" w:rsidRPr="00600B72" w:rsidRDefault="007C0497"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144 203,9</w:t>
            </w:r>
          </w:p>
        </w:tc>
        <w:tc>
          <w:tcPr>
            <w:tcW w:w="2551" w:type="dxa"/>
            <w:shd w:val="clear" w:color="auto" w:fill="auto"/>
          </w:tcPr>
          <w:p w14:paraId="7084F538" w14:textId="62027813" w:rsidR="00520125" w:rsidRPr="00600B72" w:rsidRDefault="007C0497"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Статистические данные Тюменьстата за 2023 год.</w:t>
            </w:r>
          </w:p>
        </w:tc>
      </w:tr>
      <w:tr w:rsidR="00520125" w:rsidRPr="00403E44" w14:paraId="532AAF47" w14:textId="77777777" w:rsidTr="007C0497">
        <w:trPr>
          <w:trHeight w:val="1500"/>
        </w:trPr>
        <w:tc>
          <w:tcPr>
            <w:tcW w:w="1418" w:type="dxa"/>
            <w:vMerge/>
            <w:vAlign w:val="center"/>
            <w:hideMark/>
          </w:tcPr>
          <w:p w14:paraId="67782679" w14:textId="77777777" w:rsidR="00520125" w:rsidRPr="00FA0EA7" w:rsidRDefault="00520125" w:rsidP="00520125">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768CE38"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993" w:type="dxa"/>
            <w:shd w:val="clear" w:color="auto" w:fill="auto"/>
            <w:hideMark/>
          </w:tcPr>
          <w:p w14:paraId="5ABC0126"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79850197" w14:textId="77777777" w:rsidR="00520125" w:rsidRPr="00600B72" w:rsidRDefault="00520125" w:rsidP="00520125">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8.2</w:t>
            </w:r>
          </w:p>
        </w:tc>
        <w:tc>
          <w:tcPr>
            <w:tcW w:w="992" w:type="dxa"/>
            <w:shd w:val="clear" w:color="000000" w:fill="D7D7D7"/>
            <w:noWrap/>
          </w:tcPr>
          <w:p w14:paraId="7E9B088B" w14:textId="345903A9"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46 606,8</w:t>
            </w:r>
          </w:p>
        </w:tc>
        <w:tc>
          <w:tcPr>
            <w:tcW w:w="993" w:type="dxa"/>
            <w:shd w:val="clear" w:color="000000" w:fill="D7D7D7"/>
            <w:noWrap/>
          </w:tcPr>
          <w:p w14:paraId="1CA3C518" w14:textId="5B25A0DB"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51 118,6</w:t>
            </w:r>
          </w:p>
        </w:tc>
        <w:tc>
          <w:tcPr>
            <w:tcW w:w="992" w:type="dxa"/>
            <w:shd w:val="clear" w:color="000000" w:fill="D7D7D7"/>
            <w:noWrap/>
          </w:tcPr>
          <w:p w14:paraId="51CCE24A" w14:textId="1092AA0C"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55 766,8</w:t>
            </w:r>
          </w:p>
        </w:tc>
        <w:tc>
          <w:tcPr>
            <w:tcW w:w="992" w:type="dxa"/>
            <w:shd w:val="clear" w:color="000000" w:fill="D7D7D7"/>
            <w:noWrap/>
          </w:tcPr>
          <w:p w14:paraId="3C12100B" w14:textId="5A095C51"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60 919,3</w:t>
            </w:r>
          </w:p>
        </w:tc>
        <w:tc>
          <w:tcPr>
            <w:tcW w:w="992" w:type="dxa"/>
            <w:shd w:val="clear" w:color="auto" w:fill="auto"/>
            <w:noWrap/>
          </w:tcPr>
          <w:p w14:paraId="1BFE43B3" w14:textId="017D690F"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60 920,3</w:t>
            </w:r>
          </w:p>
        </w:tc>
        <w:tc>
          <w:tcPr>
            <w:tcW w:w="993" w:type="dxa"/>
            <w:shd w:val="clear" w:color="auto" w:fill="auto"/>
            <w:noWrap/>
          </w:tcPr>
          <w:p w14:paraId="0477EB5E" w14:textId="21DEFF8A"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60 920,3</w:t>
            </w:r>
          </w:p>
        </w:tc>
        <w:tc>
          <w:tcPr>
            <w:tcW w:w="992" w:type="dxa"/>
            <w:shd w:val="clear" w:color="auto" w:fill="auto"/>
            <w:noWrap/>
          </w:tcPr>
          <w:p w14:paraId="078D379D" w14:textId="086F46F5" w:rsidR="00520125" w:rsidRPr="00600B72" w:rsidRDefault="002422AA" w:rsidP="00520125">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60 920,3</w:t>
            </w:r>
          </w:p>
        </w:tc>
        <w:tc>
          <w:tcPr>
            <w:tcW w:w="2551" w:type="dxa"/>
            <w:shd w:val="clear" w:color="auto" w:fill="auto"/>
          </w:tcPr>
          <w:p w14:paraId="110A4CA2" w14:textId="77777777" w:rsidR="00520125" w:rsidRPr="00600B72" w:rsidRDefault="00520125" w:rsidP="00520125">
            <w:pPr>
              <w:spacing w:after="0" w:line="240" w:lineRule="auto"/>
              <w:rPr>
                <w:rFonts w:ascii="Times New Roman" w:eastAsia="Times New Roman" w:hAnsi="Times New Roman" w:cs="Times New Roman"/>
                <w:sz w:val="16"/>
                <w:szCs w:val="16"/>
                <w:lang w:eastAsia="ru-RU"/>
              </w:rPr>
            </w:pPr>
          </w:p>
        </w:tc>
      </w:tr>
      <w:tr w:rsidR="002422AA" w:rsidRPr="00403E44" w14:paraId="1F30ED69" w14:textId="77777777" w:rsidTr="00AF5141">
        <w:trPr>
          <w:trHeight w:val="900"/>
        </w:trPr>
        <w:tc>
          <w:tcPr>
            <w:tcW w:w="1418" w:type="dxa"/>
            <w:vMerge/>
            <w:vAlign w:val="center"/>
            <w:hideMark/>
          </w:tcPr>
          <w:p w14:paraId="27931B20"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184566B"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общеобразовательных учреждений</w:t>
            </w:r>
          </w:p>
          <w:p w14:paraId="5CF41EC3"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1C4CFB27"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504BD89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8.3</w:t>
            </w:r>
          </w:p>
        </w:tc>
        <w:tc>
          <w:tcPr>
            <w:tcW w:w="992" w:type="dxa"/>
            <w:tcBorders>
              <w:top w:val="nil"/>
              <w:left w:val="single" w:sz="4" w:space="0" w:color="000000"/>
              <w:bottom w:val="nil"/>
              <w:right w:val="single" w:sz="4" w:space="0" w:color="000000"/>
            </w:tcBorders>
            <w:shd w:val="clear" w:color="000000" w:fill="D7D7D7"/>
            <w:noWrap/>
            <w:vAlign w:val="center"/>
          </w:tcPr>
          <w:p w14:paraId="08C1E9E3" w14:textId="012D66FD"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62 372,4</w:t>
            </w:r>
          </w:p>
        </w:tc>
        <w:tc>
          <w:tcPr>
            <w:tcW w:w="993" w:type="dxa"/>
            <w:tcBorders>
              <w:top w:val="nil"/>
              <w:left w:val="nil"/>
              <w:bottom w:val="nil"/>
              <w:right w:val="single" w:sz="4" w:space="0" w:color="000000"/>
            </w:tcBorders>
            <w:shd w:val="clear" w:color="000000" w:fill="D7D7D7"/>
            <w:noWrap/>
            <w:vAlign w:val="center"/>
          </w:tcPr>
          <w:p w14:paraId="12365DB1" w14:textId="45D4A145"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66 867,4</w:t>
            </w:r>
          </w:p>
        </w:tc>
        <w:tc>
          <w:tcPr>
            <w:tcW w:w="992" w:type="dxa"/>
            <w:tcBorders>
              <w:top w:val="nil"/>
              <w:left w:val="nil"/>
              <w:bottom w:val="nil"/>
              <w:right w:val="single" w:sz="4" w:space="0" w:color="000000"/>
            </w:tcBorders>
            <w:shd w:val="clear" w:color="000000" w:fill="D7D7D7"/>
            <w:noWrap/>
            <w:vAlign w:val="center"/>
          </w:tcPr>
          <w:p w14:paraId="4AB519EE" w14:textId="093BB81A"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72 366,5</w:t>
            </w:r>
          </w:p>
        </w:tc>
        <w:tc>
          <w:tcPr>
            <w:tcW w:w="992" w:type="dxa"/>
            <w:tcBorders>
              <w:top w:val="nil"/>
              <w:left w:val="nil"/>
              <w:bottom w:val="nil"/>
              <w:right w:val="single" w:sz="4" w:space="0" w:color="000000"/>
            </w:tcBorders>
            <w:shd w:val="clear" w:color="000000" w:fill="D7D7D7"/>
            <w:noWrap/>
            <w:vAlign w:val="center"/>
          </w:tcPr>
          <w:p w14:paraId="20B09601" w14:textId="531268D4"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78 340,6</w:t>
            </w:r>
          </w:p>
        </w:tc>
        <w:tc>
          <w:tcPr>
            <w:tcW w:w="992" w:type="dxa"/>
            <w:tcBorders>
              <w:top w:val="nil"/>
              <w:left w:val="nil"/>
              <w:bottom w:val="nil"/>
              <w:right w:val="single" w:sz="4" w:space="0" w:color="000000"/>
            </w:tcBorders>
            <w:shd w:val="clear" w:color="auto" w:fill="auto"/>
            <w:noWrap/>
            <w:vAlign w:val="center"/>
          </w:tcPr>
          <w:p w14:paraId="31777656" w14:textId="044C6D61"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78 306,2</w:t>
            </w:r>
          </w:p>
        </w:tc>
        <w:tc>
          <w:tcPr>
            <w:tcW w:w="993" w:type="dxa"/>
            <w:tcBorders>
              <w:top w:val="nil"/>
              <w:left w:val="nil"/>
              <w:bottom w:val="nil"/>
              <w:right w:val="single" w:sz="4" w:space="0" w:color="000000"/>
            </w:tcBorders>
            <w:shd w:val="clear" w:color="auto" w:fill="auto"/>
            <w:noWrap/>
            <w:vAlign w:val="center"/>
          </w:tcPr>
          <w:p w14:paraId="4F039024" w14:textId="030CC5FC"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78 306,2</w:t>
            </w:r>
          </w:p>
        </w:tc>
        <w:tc>
          <w:tcPr>
            <w:tcW w:w="992" w:type="dxa"/>
            <w:tcBorders>
              <w:top w:val="nil"/>
              <w:left w:val="nil"/>
              <w:bottom w:val="nil"/>
              <w:right w:val="single" w:sz="4" w:space="0" w:color="000000"/>
            </w:tcBorders>
            <w:shd w:val="clear" w:color="auto" w:fill="auto"/>
            <w:noWrap/>
            <w:vAlign w:val="center"/>
          </w:tcPr>
          <w:p w14:paraId="56BD992E" w14:textId="1C13FA50"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78 306,2</w:t>
            </w:r>
          </w:p>
        </w:tc>
        <w:tc>
          <w:tcPr>
            <w:tcW w:w="2551" w:type="dxa"/>
            <w:shd w:val="clear" w:color="auto" w:fill="auto"/>
          </w:tcPr>
          <w:p w14:paraId="42AA6D53" w14:textId="4C53D159"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5CB8EB7B" w14:textId="77777777" w:rsidTr="007C0497">
        <w:trPr>
          <w:trHeight w:val="900"/>
        </w:trPr>
        <w:tc>
          <w:tcPr>
            <w:tcW w:w="1418" w:type="dxa"/>
            <w:vMerge/>
            <w:vAlign w:val="center"/>
            <w:hideMark/>
          </w:tcPr>
          <w:p w14:paraId="331089F8"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C89CB1C"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Среднемесячная номинальная начисленная заработная плата работников: учителей муниципальных </w:t>
            </w:r>
            <w:r w:rsidRPr="00600B72">
              <w:rPr>
                <w:rFonts w:ascii="Times New Roman" w:eastAsia="Times New Roman" w:hAnsi="Times New Roman" w:cs="Times New Roman"/>
                <w:sz w:val="16"/>
                <w:szCs w:val="16"/>
                <w:lang w:eastAsia="ru-RU"/>
              </w:rPr>
              <w:lastRenderedPageBreak/>
              <w:t>общеобразовательных учреждений</w:t>
            </w:r>
          </w:p>
          <w:p w14:paraId="6D41A6BE"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AA6C25C"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Рубль</w:t>
            </w:r>
          </w:p>
        </w:tc>
        <w:tc>
          <w:tcPr>
            <w:tcW w:w="850" w:type="dxa"/>
            <w:shd w:val="clear" w:color="auto" w:fill="auto"/>
            <w:hideMark/>
          </w:tcPr>
          <w:p w14:paraId="3A7AF64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8.4</w:t>
            </w:r>
          </w:p>
        </w:tc>
        <w:tc>
          <w:tcPr>
            <w:tcW w:w="992" w:type="dxa"/>
            <w:shd w:val="clear" w:color="000000" w:fill="D7D7D7"/>
            <w:noWrap/>
          </w:tcPr>
          <w:p w14:paraId="1A47A844" w14:textId="454E4D38"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69 011,4</w:t>
            </w:r>
          </w:p>
        </w:tc>
        <w:tc>
          <w:tcPr>
            <w:tcW w:w="993" w:type="dxa"/>
            <w:shd w:val="clear" w:color="000000" w:fill="D7D7D7"/>
            <w:noWrap/>
          </w:tcPr>
          <w:p w14:paraId="4A0EE656" w14:textId="303FF946"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82 225,7</w:t>
            </w:r>
          </w:p>
        </w:tc>
        <w:tc>
          <w:tcPr>
            <w:tcW w:w="992" w:type="dxa"/>
            <w:shd w:val="clear" w:color="000000" w:fill="D7D7D7"/>
            <w:noWrap/>
          </w:tcPr>
          <w:p w14:paraId="38A73C79" w14:textId="6AD9424D"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89 197,3</w:t>
            </w:r>
          </w:p>
        </w:tc>
        <w:tc>
          <w:tcPr>
            <w:tcW w:w="992" w:type="dxa"/>
            <w:shd w:val="clear" w:color="000000" w:fill="D7D7D7"/>
            <w:noWrap/>
          </w:tcPr>
          <w:p w14:paraId="02C7AF86" w14:textId="4F7F57B3"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95 284,5</w:t>
            </w:r>
          </w:p>
        </w:tc>
        <w:tc>
          <w:tcPr>
            <w:tcW w:w="992" w:type="dxa"/>
            <w:shd w:val="clear" w:color="auto" w:fill="auto"/>
            <w:noWrap/>
          </w:tcPr>
          <w:p w14:paraId="41A558AF" w14:textId="628794DC"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95 284,5</w:t>
            </w:r>
          </w:p>
        </w:tc>
        <w:tc>
          <w:tcPr>
            <w:tcW w:w="993" w:type="dxa"/>
            <w:shd w:val="clear" w:color="auto" w:fill="auto"/>
            <w:noWrap/>
          </w:tcPr>
          <w:p w14:paraId="7F480378" w14:textId="4ACF3188"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95 284,5</w:t>
            </w:r>
          </w:p>
        </w:tc>
        <w:tc>
          <w:tcPr>
            <w:tcW w:w="992" w:type="dxa"/>
            <w:shd w:val="clear" w:color="auto" w:fill="auto"/>
            <w:noWrap/>
          </w:tcPr>
          <w:p w14:paraId="08BA17E5" w14:textId="5C9C372C"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95 284,5</w:t>
            </w:r>
          </w:p>
        </w:tc>
        <w:tc>
          <w:tcPr>
            <w:tcW w:w="2551" w:type="dxa"/>
            <w:shd w:val="clear" w:color="auto" w:fill="auto"/>
          </w:tcPr>
          <w:p w14:paraId="6633650F" w14:textId="7743C80F"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58C56FF1" w14:textId="77777777" w:rsidTr="007C0497">
        <w:trPr>
          <w:trHeight w:val="1941"/>
        </w:trPr>
        <w:tc>
          <w:tcPr>
            <w:tcW w:w="1418" w:type="dxa"/>
            <w:vMerge/>
            <w:vAlign w:val="center"/>
            <w:hideMark/>
          </w:tcPr>
          <w:p w14:paraId="3D2EB144"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353408A"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Фонд начисленной заработной платы учителей общеобразовательных учреждений, начисленная из бюджетных источников финансирования</w:t>
            </w:r>
          </w:p>
        </w:tc>
        <w:tc>
          <w:tcPr>
            <w:tcW w:w="993" w:type="dxa"/>
            <w:shd w:val="clear" w:color="auto" w:fill="auto"/>
            <w:hideMark/>
          </w:tcPr>
          <w:p w14:paraId="6BDFC8DE"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0329EB95"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8.4.1</w:t>
            </w:r>
          </w:p>
        </w:tc>
        <w:tc>
          <w:tcPr>
            <w:tcW w:w="992" w:type="dxa"/>
            <w:shd w:val="clear" w:color="000000" w:fill="D7D7D7"/>
            <w:noWrap/>
          </w:tcPr>
          <w:p w14:paraId="7A3F5B36" w14:textId="3CDD498F"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322 310,9</w:t>
            </w:r>
          </w:p>
        </w:tc>
        <w:tc>
          <w:tcPr>
            <w:tcW w:w="993" w:type="dxa"/>
            <w:shd w:val="clear" w:color="000000" w:fill="D7D7D7"/>
            <w:noWrap/>
          </w:tcPr>
          <w:p w14:paraId="6B9B2DA3" w14:textId="47E9F76C"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378 896,1</w:t>
            </w:r>
          </w:p>
        </w:tc>
        <w:tc>
          <w:tcPr>
            <w:tcW w:w="992" w:type="dxa"/>
            <w:shd w:val="clear" w:color="000000" w:fill="D7D7D7"/>
            <w:noWrap/>
          </w:tcPr>
          <w:p w14:paraId="3B32C345" w14:textId="75D1C65A"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404 598,8</w:t>
            </w:r>
          </w:p>
        </w:tc>
        <w:tc>
          <w:tcPr>
            <w:tcW w:w="992" w:type="dxa"/>
            <w:shd w:val="clear" w:color="000000" w:fill="D7D7D7"/>
            <w:noWrap/>
          </w:tcPr>
          <w:p w14:paraId="257A0E0D" w14:textId="7AA1E152"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421 919,8</w:t>
            </w:r>
          </w:p>
        </w:tc>
        <w:tc>
          <w:tcPr>
            <w:tcW w:w="992" w:type="dxa"/>
            <w:shd w:val="clear" w:color="000000" w:fill="D7D7D7"/>
            <w:noWrap/>
          </w:tcPr>
          <w:p w14:paraId="5679D659" w14:textId="2F4E0FD6"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1B20F511" w14:textId="60C240C2"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5A6653C2" w14:textId="173B3F46"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1BDF18C1"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7C0F3160" w14:textId="77777777" w:rsidTr="007C0497">
        <w:trPr>
          <w:trHeight w:val="900"/>
        </w:trPr>
        <w:tc>
          <w:tcPr>
            <w:tcW w:w="1418" w:type="dxa"/>
            <w:vMerge/>
            <w:vAlign w:val="center"/>
            <w:hideMark/>
          </w:tcPr>
          <w:p w14:paraId="29644380"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67E3BE7"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Среднегодовая численность учителей общеобразовательных учреждений (городская и сельская местность)</w:t>
            </w:r>
          </w:p>
          <w:p w14:paraId="33CCBB73"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503FFCE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1D5E064"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8.4.2</w:t>
            </w:r>
          </w:p>
        </w:tc>
        <w:tc>
          <w:tcPr>
            <w:tcW w:w="992" w:type="dxa"/>
            <w:shd w:val="clear" w:color="000000" w:fill="D7D7D7"/>
            <w:noWrap/>
          </w:tcPr>
          <w:p w14:paraId="450E3831" w14:textId="45C72481"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389,2</w:t>
            </w:r>
          </w:p>
        </w:tc>
        <w:tc>
          <w:tcPr>
            <w:tcW w:w="993" w:type="dxa"/>
            <w:shd w:val="clear" w:color="000000" w:fill="D7D7D7"/>
            <w:noWrap/>
          </w:tcPr>
          <w:p w14:paraId="4D8E7DCD" w14:textId="3FB89A15"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384,0</w:t>
            </w:r>
          </w:p>
        </w:tc>
        <w:tc>
          <w:tcPr>
            <w:tcW w:w="992" w:type="dxa"/>
            <w:shd w:val="clear" w:color="000000" w:fill="D7D7D7"/>
            <w:noWrap/>
          </w:tcPr>
          <w:p w14:paraId="6E7CFEAE" w14:textId="0B01B954"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378,0</w:t>
            </w:r>
          </w:p>
        </w:tc>
        <w:tc>
          <w:tcPr>
            <w:tcW w:w="992" w:type="dxa"/>
            <w:shd w:val="clear" w:color="000000" w:fill="D7D7D7"/>
            <w:noWrap/>
          </w:tcPr>
          <w:p w14:paraId="4C4357EA" w14:textId="6EE9358C"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369,0</w:t>
            </w:r>
          </w:p>
        </w:tc>
        <w:tc>
          <w:tcPr>
            <w:tcW w:w="992" w:type="dxa"/>
            <w:shd w:val="clear" w:color="000000" w:fill="D7D7D7"/>
            <w:noWrap/>
          </w:tcPr>
          <w:p w14:paraId="4E908BD7" w14:textId="03B83180"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tcPr>
          <w:p w14:paraId="1A519D29" w14:textId="4C4FB5DE"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tcPr>
          <w:p w14:paraId="4806F081" w14:textId="2900F299"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4D45710F" w14:textId="150147F0"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54540351" w14:textId="77777777" w:rsidTr="007C0497">
        <w:trPr>
          <w:trHeight w:val="900"/>
        </w:trPr>
        <w:tc>
          <w:tcPr>
            <w:tcW w:w="1418" w:type="dxa"/>
            <w:vMerge/>
            <w:vAlign w:val="center"/>
            <w:hideMark/>
          </w:tcPr>
          <w:p w14:paraId="6DE62369"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0E976F2"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учреждений культуры и искусства</w:t>
            </w:r>
          </w:p>
          <w:p w14:paraId="0784E8E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10E68D61"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7CA77F5"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2D68FB4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8.5</w:t>
            </w:r>
          </w:p>
        </w:tc>
        <w:tc>
          <w:tcPr>
            <w:tcW w:w="992" w:type="dxa"/>
            <w:shd w:val="clear" w:color="000000" w:fill="D7D7D7"/>
            <w:noWrap/>
          </w:tcPr>
          <w:p w14:paraId="2F7C7D47" w14:textId="7C6D1A5F"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67 118,9</w:t>
            </w:r>
          </w:p>
        </w:tc>
        <w:tc>
          <w:tcPr>
            <w:tcW w:w="993" w:type="dxa"/>
            <w:shd w:val="clear" w:color="000000" w:fill="D7D7D7"/>
            <w:noWrap/>
          </w:tcPr>
          <w:p w14:paraId="55DEE642" w14:textId="6A1AA8B0"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68 587,0</w:t>
            </w:r>
          </w:p>
        </w:tc>
        <w:tc>
          <w:tcPr>
            <w:tcW w:w="992" w:type="dxa"/>
            <w:shd w:val="clear" w:color="000000" w:fill="D7D7D7"/>
            <w:noWrap/>
          </w:tcPr>
          <w:p w14:paraId="6334472B" w14:textId="4B637973"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77 241,8</w:t>
            </w:r>
          </w:p>
        </w:tc>
        <w:tc>
          <w:tcPr>
            <w:tcW w:w="992" w:type="dxa"/>
            <w:shd w:val="clear" w:color="000000" w:fill="D7D7D7"/>
            <w:noWrap/>
          </w:tcPr>
          <w:p w14:paraId="679B2A9D" w14:textId="17E74B38"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83 675,2</w:t>
            </w:r>
          </w:p>
        </w:tc>
        <w:tc>
          <w:tcPr>
            <w:tcW w:w="992" w:type="dxa"/>
            <w:shd w:val="clear" w:color="auto" w:fill="auto"/>
            <w:noWrap/>
          </w:tcPr>
          <w:p w14:paraId="46BEBBC0" w14:textId="6711293B"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89 397,0</w:t>
            </w:r>
          </w:p>
        </w:tc>
        <w:tc>
          <w:tcPr>
            <w:tcW w:w="993" w:type="dxa"/>
            <w:shd w:val="clear" w:color="auto" w:fill="auto"/>
            <w:noWrap/>
          </w:tcPr>
          <w:p w14:paraId="1E35921D" w14:textId="5C302A22"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89 397,0</w:t>
            </w:r>
          </w:p>
        </w:tc>
        <w:tc>
          <w:tcPr>
            <w:tcW w:w="992" w:type="dxa"/>
            <w:shd w:val="clear" w:color="auto" w:fill="auto"/>
            <w:noWrap/>
          </w:tcPr>
          <w:p w14:paraId="08332274" w14:textId="29CF6E27"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89 397,0</w:t>
            </w:r>
          </w:p>
        </w:tc>
        <w:tc>
          <w:tcPr>
            <w:tcW w:w="2551" w:type="dxa"/>
            <w:shd w:val="clear" w:color="auto" w:fill="auto"/>
          </w:tcPr>
          <w:p w14:paraId="7A16B613"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0E686ADA" w14:textId="77777777" w:rsidTr="00520125">
        <w:trPr>
          <w:trHeight w:val="900"/>
        </w:trPr>
        <w:tc>
          <w:tcPr>
            <w:tcW w:w="1418" w:type="dxa"/>
            <w:vMerge/>
            <w:vAlign w:val="center"/>
          </w:tcPr>
          <w:p w14:paraId="3610238D"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tcPr>
          <w:p w14:paraId="2430ABFF"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Среднемесячная номинальная начисленная заработная плата работников: муниципальных учреждений физической культуры и спорта</w:t>
            </w:r>
          </w:p>
          <w:p w14:paraId="7A430BF5"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792EAA4A"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0E47D57E"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74D5F8F2"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tcPr>
          <w:p w14:paraId="4FBC4244"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8.6</w:t>
            </w:r>
          </w:p>
        </w:tc>
        <w:tc>
          <w:tcPr>
            <w:tcW w:w="992" w:type="dxa"/>
            <w:shd w:val="clear" w:color="000000" w:fill="D7D7D7"/>
            <w:noWrap/>
          </w:tcPr>
          <w:p w14:paraId="04470957" w14:textId="18CC6F27"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55 621,4</w:t>
            </w:r>
          </w:p>
        </w:tc>
        <w:tc>
          <w:tcPr>
            <w:tcW w:w="993" w:type="dxa"/>
            <w:shd w:val="clear" w:color="000000" w:fill="D7D7D7"/>
            <w:noWrap/>
          </w:tcPr>
          <w:p w14:paraId="343E11E4" w14:textId="3F2C6FFF"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61 576,2</w:t>
            </w:r>
          </w:p>
        </w:tc>
        <w:tc>
          <w:tcPr>
            <w:tcW w:w="992" w:type="dxa"/>
            <w:shd w:val="clear" w:color="000000" w:fill="D7D7D7"/>
            <w:noWrap/>
          </w:tcPr>
          <w:p w14:paraId="4C413603" w14:textId="190F6B2A"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69 211,0</w:t>
            </w:r>
          </w:p>
        </w:tc>
        <w:tc>
          <w:tcPr>
            <w:tcW w:w="992" w:type="dxa"/>
            <w:shd w:val="clear" w:color="000000" w:fill="D7D7D7"/>
            <w:noWrap/>
          </w:tcPr>
          <w:p w14:paraId="7CC1F74A" w14:textId="75DDCEDB"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75 849,7</w:t>
            </w:r>
          </w:p>
        </w:tc>
        <w:tc>
          <w:tcPr>
            <w:tcW w:w="992" w:type="dxa"/>
            <w:shd w:val="clear" w:color="auto" w:fill="auto"/>
            <w:noWrap/>
          </w:tcPr>
          <w:p w14:paraId="3838C8CB" w14:textId="6928C27D"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65 966,7</w:t>
            </w:r>
          </w:p>
        </w:tc>
        <w:tc>
          <w:tcPr>
            <w:tcW w:w="993" w:type="dxa"/>
            <w:shd w:val="clear" w:color="auto" w:fill="auto"/>
            <w:noWrap/>
          </w:tcPr>
          <w:p w14:paraId="757BF7C6" w14:textId="0EDFFC78"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65 966,7</w:t>
            </w:r>
          </w:p>
        </w:tc>
        <w:tc>
          <w:tcPr>
            <w:tcW w:w="992" w:type="dxa"/>
            <w:shd w:val="clear" w:color="auto" w:fill="auto"/>
            <w:noWrap/>
          </w:tcPr>
          <w:p w14:paraId="2FDD5394" w14:textId="6C460ACA"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65 966,7</w:t>
            </w:r>
          </w:p>
        </w:tc>
        <w:tc>
          <w:tcPr>
            <w:tcW w:w="2551" w:type="dxa"/>
            <w:shd w:val="clear" w:color="auto" w:fill="auto"/>
          </w:tcPr>
          <w:p w14:paraId="58DC16ED" w14:textId="03978E7B" w:rsidR="002422AA" w:rsidRPr="00600B72" w:rsidRDefault="002422AA" w:rsidP="002422AA">
            <w:pPr>
              <w:spacing w:after="0" w:line="240" w:lineRule="auto"/>
              <w:rPr>
                <w:rFonts w:ascii="Times New Roman" w:eastAsia="Times New Roman" w:hAnsi="Times New Roman" w:cs="Times New Roman"/>
                <w:sz w:val="16"/>
                <w:szCs w:val="16"/>
                <w:lang w:eastAsia="ru-RU"/>
              </w:rPr>
            </w:pPr>
          </w:p>
        </w:tc>
      </w:tr>
      <w:tr w:rsidR="002422AA" w:rsidRPr="00403E44" w14:paraId="3D516CBA" w14:textId="77777777" w:rsidTr="007C0497">
        <w:trPr>
          <w:trHeight w:val="1200"/>
        </w:trPr>
        <w:tc>
          <w:tcPr>
            <w:tcW w:w="1418" w:type="dxa"/>
            <w:vMerge w:val="restart"/>
            <w:shd w:val="clear" w:color="auto" w:fill="auto"/>
            <w:hideMark/>
          </w:tcPr>
          <w:p w14:paraId="6891A1BA"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Дошкольное образование</w:t>
            </w:r>
          </w:p>
        </w:tc>
        <w:tc>
          <w:tcPr>
            <w:tcW w:w="2268" w:type="dxa"/>
            <w:shd w:val="clear" w:color="auto" w:fill="auto"/>
            <w:hideMark/>
          </w:tcPr>
          <w:p w14:paraId="35F64EB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453581EA"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0C5CEE4"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2F9ED55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w:t>
            </w:r>
          </w:p>
        </w:tc>
        <w:tc>
          <w:tcPr>
            <w:tcW w:w="992" w:type="dxa"/>
            <w:shd w:val="clear" w:color="000000" w:fill="D7D7D7"/>
            <w:noWrap/>
          </w:tcPr>
          <w:p w14:paraId="7B6B8CF9" w14:textId="23E56F02"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69,9</w:t>
            </w:r>
          </w:p>
        </w:tc>
        <w:tc>
          <w:tcPr>
            <w:tcW w:w="993" w:type="dxa"/>
            <w:shd w:val="clear" w:color="000000" w:fill="D7D7D7"/>
            <w:noWrap/>
          </w:tcPr>
          <w:p w14:paraId="680C1DE5" w14:textId="14868B03"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67,7</w:t>
            </w:r>
          </w:p>
        </w:tc>
        <w:tc>
          <w:tcPr>
            <w:tcW w:w="992" w:type="dxa"/>
            <w:shd w:val="clear" w:color="000000" w:fill="D7D7D7"/>
            <w:noWrap/>
          </w:tcPr>
          <w:p w14:paraId="33E3DAB2" w14:textId="6521561A"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71,2</w:t>
            </w:r>
          </w:p>
        </w:tc>
        <w:tc>
          <w:tcPr>
            <w:tcW w:w="992" w:type="dxa"/>
            <w:shd w:val="clear" w:color="000000" w:fill="D7D7D7"/>
            <w:noWrap/>
          </w:tcPr>
          <w:p w14:paraId="4749A5D9" w14:textId="667F6ED6"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59,7</w:t>
            </w:r>
          </w:p>
        </w:tc>
        <w:tc>
          <w:tcPr>
            <w:tcW w:w="992" w:type="dxa"/>
            <w:shd w:val="clear" w:color="000000" w:fill="D7D7D7"/>
            <w:noWrap/>
          </w:tcPr>
          <w:p w14:paraId="6F6C3EBC" w14:textId="203057B7"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58,0</w:t>
            </w:r>
          </w:p>
        </w:tc>
        <w:tc>
          <w:tcPr>
            <w:tcW w:w="993" w:type="dxa"/>
            <w:shd w:val="clear" w:color="000000" w:fill="D7D7D7"/>
            <w:noWrap/>
          </w:tcPr>
          <w:p w14:paraId="26AFA863" w14:textId="3D1FEADE"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58,3</w:t>
            </w:r>
          </w:p>
        </w:tc>
        <w:tc>
          <w:tcPr>
            <w:tcW w:w="992" w:type="dxa"/>
            <w:shd w:val="clear" w:color="000000" w:fill="D7D7D7"/>
            <w:noWrap/>
          </w:tcPr>
          <w:p w14:paraId="3BDB9BA2" w14:textId="38778C88"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55,7</w:t>
            </w:r>
          </w:p>
        </w:tc>
        <w:tc>
          <w:tcPr>
            <w:tcW w:w="2551" w:type="dxa"/>
            <w:shd w:val="clear" w:color="auto" w:fill="auto"/>
          </w:tcPr>
          <w:p w14:paraId="57C1DE52" w14:textId="77777777" w:rsidR="005A7D5A" w:rsidRPr="005A7D5A" w:rsidRDefault="005A7D5A" w:rsidP="005A7D5A">
            <w:pPr>
              <w:spacing w:after="0" w:line="240" w:lineRule="auto"/>
              <w:rPr>
                <w:rFonts w:ascii="Times New Roman" w:eastAsia="Times New Roman" w:hAnsi="Times New Roman" w:cs="Times New Roman"/>
                <w:sz w:val="16"/>
                <w:szCs w:val="16"/>
                <w:lang w:eastAsia="ru-RU"/>
              </w:rPr>
            </w:pPr>
            <w:r w:rsidRPr="005A7D5A">
              <w:rPr>
                <w:rFonts w:ascii="Times New Roman" w:eastAsia="Times New Roman" w:hAnsi="Times New Roman" w:cs="Times New Roman"/>
                <w:sz w:val="16"/>
                <w:szCs w:val="16"/>
                <w:lang w:eastAsia="ru-RU"/>
              </w:rPr>
              <w:t>Доля численности воспитанников в муниципальных дошкольных учреждениях снижена, так как:</w:t>
            </w:r>
          </w:p>
          <w:p w14:paraId="437AD11F" w14:textId="77777777" w:rsidR="005A7D5A" w:rsidRPr="005A7D5A" w:rsidRDefault="005A7D5A" w:rsidP="005A7D5A">
            <w:pPr>
              <w:spacing w:after="0" w:line="240" w:lineRule="auto"/>
              <w:rPr>
                <w:rFonts w:ascii="Times New Roman" w:eastAsia="Times New Roman" w:hAnsi="Times New Roman" w:cs="Times New Roman"/>
                <w:sz w:val="16"/>
                <w:szCs w:val="16"/>
                <w:lang w:eastAsia="ru-RU"/>
              </w:rPr>
            </w:pPr>
            <w:r w:rsidRPr="005A7D5A">
              <w:rPr>
                <w:rFonts w:ascii="Times New Roman" w:eastAsia="Times New Roman" w:hAnsi="Times New Roman" w:cs="Times New Roman"/>
                <w:sz w:val="16"/>
                <w:szCs w:val="16"/>
                <w:lang w:eastAsia="ru-RU"/>
              </w:rPr>
              <w:t>- в 2022 году в данный показатель включали детей в возрасте 1-6 лет получающих дошкольную образовательную услугу как в муниципальных ДОУ, так и в негосударственном ДОУ «Семь гномов;</w:t>
            </w:r>
          </w:p>
          <w:p w14:paraId="72EE5C22" w14:textId="1FB9165A" w:rsidR="002422AA" w:rsidRPr="00E83B10" w:rsidRDefault="005A7D5A" w:rsidP="005A7D5A">
            <w:pPr>
              <w:spacing w:after="0" w:line="240" w:lineRule="auto"/>
              <w:rPr>
                <w:rFonts w:ascii="Times New Roman" w:eastAsia="Times New Roman" w:hAnsi="Times New Roman" w:cs="Times New Roman"/>
                <w:color w:val="00B050"/>
                <w:sz w:val="16"/>
                <w:szCs w:val="16"/>
                <w:lang w:eastAsia="ru-RU"/>
              </w:rPr>
            </w:pPr>
            <w:r w:rsidRPr="005A7D5A">
              <w:rPr>
                <w:rFonts w:ascii="Times New Roman" w:eastAsia="Times New Roman" w:hAnsi="Times New Roman" w:cs="Times New Roman"/>
                <w:sz w:val="16"/>
                <w:szCs w:val="16"/>
                <w:lang w:eastAsia="ru-RU"/>
              </w:rPr>
              <w:t xml:space="preserve"> -демографический показатель «Общая численность детей в </w:t>
            </w:r>
            <w:r w:rsidRPr="005A7D5A">
              <w:rPr>
                <w:rFonts w:ascii="Times New Roman" w:eastAsia="Times New Roman" w:hAnsi="Times New Roman" w:cs="Times New Roman"/>
                <w:sz w:val="16"/>
                <w:szCs w:val="16"/>
                <w:lang w:eastAsia="ru-RU"/>
              </w:rPr>
              <w:lastRenderedPageBreak/>
              <w:t>возрасте 1-6 лет увеличен (по результатам переписи населения)</w:t>
            </w:r>
            <w:r>
              <w:rPr>
                <w:rFonts w:ascii="Times New Roman" w:eastAsia="Times New Roman" w:hAnsi="Times New Roman" w:cs="Times New Roman"/>
                <w:sz w:val="16"/>
                <w:szCs w:val="16"/>
                <w:lang w:eastAsia="ru-RU"/>
              </w:rPr>
              <w:t>.</w:t>
            </w:r>
          </w:p>
        </w:tc>
      </w:tr>
      <w:tr w:rsidR="002422AA" w:rsidRPr="00403E44" w14:paraId="2EE10F35" w14:textId="77777777" w:rsidTr="007C0497">
        <w:trPr>
          <w:trHeight w:val="1800"/>
        </w:trPr>
        <w:tc>
          <w:tcPr>
            <w:tcW w:w="1418" w:type="dxa"/>
            <w:vMerge/>
            <w:vAlign w:val="center"/>
            <w:hideMark/>
          </w:tcPr>
          <w:p w14:paraId="77C4F675"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A2FCD01"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993" w:type="dxa"/>
            <w:shd w:val="clear" w:color="auto" w:fill="auto"/>
            <w:hideMark/>
          </w:tcPr>
          <w:p w14:paraId="76D88BC8"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6C77717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9.1</w:t>
            </w:r>
          </w:p>
        </w:tc>
        <w:tc>
          <w:tcPr>
            <w:tcW w:w="992" w:type="dxa"/>
            <w:shd w:val="clear" w:color="000000" w:fill="D7D7D7"/>
            <w:noWrap/>
          </w:tcPr>
          <w:p w14:paraId="3D49AFBD" w14:textId="53EAAD29"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2 194,0</w:t>
            </w:r>
          </w:p>
        </w:tc>
        <w:tc>
          <w:tcPr>
            <w:tcW w:w="993" w:type="dxa"/>
            <w:shd w:val="clear" w:color="000000" w:fill="D7D7D7"/>
            <w:noWrap/>
          </w:tcPr>
          <w:p w14:paraId="4EE7ABB8" w14:textId="6A4FA848"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2 012,0</w:t>
            </w:r>
          </w:p>
        </w:tc>
        <w:tc>
          <w:tcPr>
            <w:tcW w:w="992" w:type="dxa"/>
            <w:shd w:val="clear" w:color="000000" w:fill="D7D7D7"/>
            <w:noWrap/>
          </w:tcPr>
          <w:p w14:paraId="28B38551" w14:textId="44E9EBDA"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1 955,0</w:t>
            </w:r>
          </w:p>
        </w:tc>
        <w:tc>
          <w:tcPr>
            <w:tcW w:w="992" w:type="dxa"/>
            <w:shd w:val="clear" w:color="000000" w:fill="D7D7D7"/>
            <w:noWrap/>
          </w:tcPr>
          <w:p w14:paraId="0A0E353E" w14:textId="66CE17BC"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1 903,0</w:t>
            </w:r>
          </w:p>
        </w:tc>
        <w:tc>
          <w:tcPr>
            <w:tcW w:w="992" w:type="dxa"/>
            <w:shd w:val="clear" w:color="auto" w:fill="auto"/>
            <w:noWrap/>
          </w:tcPr>
          <w:p w14:paraId="5E1D4391" w14:textId="3377503B"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1 850,0</w:t>
            </w:r>
          </w:p>
        </w:tc>
        <w:tc>
          <w:tcPr>
            <w:tcW w:w="993" w:type="dxa"/>
            <w:shd w:val="clear" w:color="auto" w:fill="auto"/>
            <w:noWrap/>
          </w:tcPr>
          <w:p w14:paraId="23B60CC9" w14:textId="7078E550"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1 807,0</w:t>
            </w:r>
          </w:p>
        </w:tc>
        <w:tc>
          <w:tcPr>
            <w:tcW w:w="992" w:type="dxa"/>
            <w:shd w:val="clear" w:color="auto" w:fill="auto"/>
            <w:noWrap/>
          </w:tcPr>
          <w:p w14:paraId="1A153F35" w14:textId="4B9BCB59" w:rsidR="002422AA" w:rsidRPr="00600B72" w:rsidRDefault="00223E0C"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1 728,0</w:t>
            </w:r>
          </w:p>
        </w:tc>
        <w:tc>
          <w:tcPr>
            <w:tcW w:w="2551" w:type="dxa"/>
            <w:shd w:val="clear" w:color="auto" w:fill="auto"/>
          </w:tcPr>
          <w:p w14:paraId="3C2692F8" w14:textId="736474AD" w:rsidR="002422AA" w:rsidRPr="00E83B10" w:rsidRDefault="005A7D5A" w:rsidP="002422AA">
            <w:pPr>
              <w:spacing w:after="0" w:line="240" w:lineRule="auto"/>
              <w:rPr>
                <w:rFonts w:ascii="Times New Roman" w:eastAsia="Times New Roman" w:hAnsi="Times New Roman" w:cs="Times New Roman"/>
                <w:color w:val="00B050"/>
                <w:sz w:val="16"/>
                <w:szCs w:val="16"/>
                <w:lang w:eastAsia="ru-RU"/>
              </w:rPr>
            </w:pPr>
            <w:r w:rsidRPr="00600B72">
              <w:rPr>
                <w:rFonts w:ascii="Times New Roman" w:eastAsia="Times New Roman" w:hAnsi="Times New Roman" w:cs="Times New Roman"/>
                <w:sz w:val="16"/>
                <w:szCs w:val="16"/>
                <w:lang w:eastAsia="ru-RU"/>
              </w:rPr>
              <w:t xml:space="preserve">Численность воспитанников в муниципальных дошкольных </w:t>
            </w:r>
            <w:r w:rsidRPr="005D038B">
              <w:rPr>
                <w:rFonts w:ascii="Times New Roman" w:eastAsia="Times New Roman" w:hAnsi="Times New Roman" w:cs="Times New Roman"/>
                <w:sz w:val="16"/>
                <w:szCs w:val="16"/>
                <w:lang w:eastAsia="ru-RU"/>
              </w:rPr>
              <w:t xml:space="preserve">учреждениях 1903 </w:t>
            </w:r>
            <w:r w:rsidR="00E02897">
              <w:rPr>
                <w:rFonts w:ascii="Times New Roman" w:eastAsia="Times New Roman" w:hAnsi="Times New Roman" w:cs="Times New Roman"/>
                <w:sz w:val="16"/>
                <w:szCs w:val="16"/>
                <w:lang w:eastAsia="ru-RU"/>
              </w:rPr>
              <w:t>ребенка</w:t>
            </w:r>
            <w:r w:rsidRPr="005D038B">
              <w:rPr>
                <w:rFonts w:ascii="Times New Roman" w:eastAsia="Times New Roman" w:hAnsi="Times New Roman" w:cs="Times New Roman"/>
                <w:sz w:val="16"/>
                <w:szCs w:val="16"/>
                <w:lang w:eastAsia="ru-RU"/>
              </w:rPr>
              <w:t xml:space="preserve"> </w:t>
            </w:r>
            <w:r w:rsidRPr="00600B72">
              <w:rPr>
                <w:rFonts w:ascii="Times New Roman" w:eastAsia="Times New Roman" w:hAnsi="Times New Roman" w:cs="Times New Roman"/>
                <w:sz w:val="16"/>
                <w:szCs w:val="16"/>
                <w:lang w:eastAsia="ru-RU"/>
              </w:rPr>
              <w:t xml:space="preserve">(данные статистического отчета за 2023 год). </w:t>
            </w:r>
            <w:r>
              <w:rPr>
                <w:rFonts w:ascii="Times New Roman" w:eastAsia="Times New Roman" w:hAnsi="Times New Roman" w:cs="Times New Roman"/>
                <w:sz w:val="16"/>
                <w:szCs w:val="16"/>
                <w:lang w:eastAsia="ru-RU"/>
              </w:rPr>
              <w:t>В негосударственном частном учреждении «Семь гномов» 52 ребенка.</w:t>
            </w:r>
          </w:p>
        </w:tc>
      </w:tr>
      <w:tr w:rsidR="002422AA" w:rsidRPr="00403E44" w14:paraId="0122E088" w14:textId="77777777" w:rsidTr="007C0497">
        <w:trPr>
          <w:trHeight w:val="600"/>
        </w:trPr>
        <w:tc>
          <w:tcPr>
            <w:tcW w:w="1418" w:type="dxa"/>
            <w:vMerge/>
            <w:vAlign w:val="center"/>
            <w:hideMark/>
          </w:tcPr>
          <w:p w14:paraId="0B11394D"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ECFF8AB"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Общая численность детей в возрасте 1-6 лет</w:t>
            </w:r>
          </w:p>
        </w:tc>
        <w:tc>
          <w:tcPr>
            <w:tcW w:w="993" w:type="dxa"/>
            <w:shd w:val="clear" w:color="auto" w:fill="auto"/>
            <w:hideMark/>
          </w:tcPr>
          <w:p w14:paraId="7B838CB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00BA251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9.2</w:t>
            </w:r>
          </w:p>
        </w:tc>
        <w:tc>
          <w:tcPr>
            <w:tcW w:w="992" w:type="dxa"/>
            <w:shd w:val="clear" w:color="000000" w:fill="D7D7D7"/>
            <w:noWrap/>
          </w:tcPr>
          <w:p w14:paraId="002DD0AE" w14:textId="0EF497F9"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3 137,0</w:t>
            </w:r>
          </w:p>
        </w:tc>
        <w:tc>
          <w:tcPr>
            <w:tcW w:w="993" w:type="dxa"/>
            <w:shd w:val="clear" w:color="000000" w:fill="D7D7D7"/>
            <w:noWrap/>
          </w:tcPr>
          <w:p w14:paraId="78AB5736" w14:textId="7BEBEDDF"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2 974,0</w:t>
            </w:r>
          </w:p>
        </w:tc>
        <w:tc>
          <w:tcPr>
            <w:tcW w:w="992" w:type="dxa"/>
            <w:shd w:val="clear" w:color="000000" w:fill="D7D7D7"/>
            <w:noWrap/>
          </w:tcPr>
          <w:p w14:paraId="603D9A34" w14:textId="1DA5F1A7"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2 744,0</w:t>
            </w:r>
          </w:p>
        </w:tc>
        <w:tc>
          <w:tcPr>
            <w:tcW w:w="992" w:type="dxa"/>
            <w:shd w:val="clear" w:color="000000" w:fill="D7D7D7"/>
            <w:noWrap/>
          </w:tcPr>
          <w:p w14:paraId="36519A54" w14:textId="590900E6"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3 189,0</w:t>
            </w:r>
          </w:p>
        </w:tc>
        <w:tc>
          <w:tcPr>
            <w:tcW w:w="992" w:type="dxa"/>
            <w:shd w:val="clear" w:color="auto" w:fill="auto"/>
            <w:noWrap/>
          </w:tcPr>
          <w:p w14:paraId="739A4F65" w14:textId="1FFD797E"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3 189,0</w:t>
            </w:r>
          </w:p>
        </w:tc>
        <w:tc>
          <w:tcPr>
            <w:tcW w:w="993" w:type="dxa"/>
            <w:shd w:val="clear" w:color="auto" w:fill="auto"/>
            <w:noWrap/>
          </w:tcPr>
          <w:p w14:paraId="01E4CF74" w14:textId="500DC8CB"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3 100,0</w:t>
            </w:r>
          </w:p>
        </w:tc>
        <w:tc>
          <w:tcPr>
            <w:tcW w:w="992" w:type="dxa"/>
            <w:shd w:val="clear" w:color="auto" w:fill="auto"/>
            <w:noWrap/>
          </w:tcPr>
          <w:p w14:paraId="41F74F0F" w14:textId="635F5816"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3 100,0</w:t>
            </w:r>
          </w:p>
        </w:tc>
        <w:tc>
          <w:tcPr>
            <w:tcW w:w="2551" w:type="dxa"/>
            <w:shd w:val="clear" w:color="auto" w:fill="auto"/>
          </w:tcPr>
          <w:p w14:paraId="47A0DBF3" w14:textId="3384B7A5" w:rsidR="002422AA" w:rsidRPr="00E83B10" w:rsidRDefault="002422AA" w:rsidP="002422AA">
            <w:pPr>
              <w:spacing w:after="0" w:line="240" w:lineRule="auto"/>
              <w:rPr>
                <w:rFonts w:ascii="Times New Roman" w:eastAsia="Times New Roman" w:hAnsi="Times New Roman" w:cs="Times New Roman"/>
                <w:color w:val="00B050"/>
                <w:sz w:val="16"/>
                <w:szCs w:val="16"/>
                <w:lang w:eastAsia="ru-RU"/>
              </w:rPr>
            </w:pPr>
          </w:p>
        </w:tc>
      </w:tr>
      <w:tr w:rsidR="002422AA" w:rsidRPr="00403E44" w14:paraId="4A754E72" w14:textId="77777777" w:rsidTr="00E83B10">
        <w:trPr>
          <w:trHeight w:val="1200"/>
        </w:trPr>
        <w:tc>
          <w:tcPr>
            <w:tcW w:w="1418" w:type="dxa"/>
            <w:vMerge/>
            <w:vAlign w:val="center"/>
            <w:hideMark/>
          </w:tcPr>
          <w:p w14:paraId="320C806C"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4A77FDC"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14:paraId="48E0EAFC"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7A38F63"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58C0B63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w:t>
            </w:r>
          </w:p>
        </w:tc>
        <w:tc>
          <w:tcPr>
            <w:tcW w:w="992" w:type="dxa"/>
            <w:shd w:val="clear" w:color="000000" w:fill="D7D7D7"/>
            <w:noWrap/>
            <w:hideMark/>
          </w:tcPr>
          <w:p w14:paraId="741B092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C3B580A"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BAD5213"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3325F9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E8A2901"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553DC9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D423C6F"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21155547" w14:textId="5BC320C1" w:rsidR="002422AA" w:rsidRPr="00E83B10" w:rsidRDefault="002422AA" w:rsidP="002422AA">
            <w:pPr>
              <w:spacing w:after="0" w:line="240" w:lineRule="auto"/>
              <w:rPr>
                <w:rFonts w:ascii="Times New Roman" w:eastAsia="Times New Roman" w:hAnsi="Times New Roman" w:cs="Times New Roman"/>
                <w:color w:val="00B050"/>
                <w:sz w:val="16"/>
                <w:szCs w:val="16"/>
                <w:lang w:eastAsia="ru-RU"/>
              </w:rPr>
            </w:pPr>
          </w:p>
        </w:tc>
      </w:tr>
      <w:tr w:rsidR="002422AA" w:rsidRPr="00403E44" w14:paraId="5F22A72B" w14:textId="77777777" w:rsidTr="00520125">
        <w:trPr>
          <w:trHeight w:val="900"/>
        </w:trPr>
        <w:tc>
          <w:tcPr>
            <w:tcW w:w="1418" w:type="dxa"/>
            <w:vMerge/>
            <w:vAlign w:val="center"/>
            <w:hideMark/>
          </w:tcPr>
          <w:p w14:paraId="114F5A76"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C4E1BB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детей в возрасте 1-6 лет, состоящих на учете для определения в муниципальные дошкольные образовательные учреждения</w:t>
            </w:r>
          </w:p>
          <w:p w14:paraId="4B88F8F7"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0C40740"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5B571530"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10.1</w:t>
            </w:r>
          </w:p>
        </w:tc>
        <w:tc>
          <w:tcPr>
            <w:tcW w:w="992" w:type="dxa"/>
            <w:shd w:val="clear" w:color="auto" w:fill="auto"/>
            <w:noWrap/>
            <w:hideMark/>
          </w:tcPr>
          <w:p w14:paraId="36D4C4B4"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1B8B074F"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FA413FA"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49F331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A77C7F5"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203ECA3D"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3E13D8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3026D2A" w14:textId="6FDD07D5"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Отсутствую</w:t>
            </w:r>
            <w:r w:rsidR="00E02897">
              <w:rPr>
                <w:rFonts w:ascii="Times New Roman" w:eastAsia="Times New Roman" w:hAnsi="Times New Roman" w:cs="Times New Roman"/>
                <w:sz w:val="16"/>
                <w:szCs w:val="16"/>
                <w:lang w:eastAsia="ru-RU"/>
              </w:rPr>
              <w:t>т</w:t>
            </w:r>
            <w:r w:rsidRPr="00600B72">
              <w:rPr>
                <w:rFonts w:ascii="Times New Roman" w:eastAsia="Times New Roman" w:hAnsi="Times New Roman" w:cs="Times New Roman"/>
                <w:sz w:val="16"/>
                <w:szCs w:val="16"/>
                <w:lang w:eastAsia="ru-RU"/>
              </w:rPr>
              <w:t xml:space="preserve"> дети в возрасте 1-6 лет в очереди на предоставление места в ДОУ.</w:t>
            </w:r>
          </w:p>
        </w:tc>
      </w:tr>
      <w:tr w:rsidR="002422AA" w:rsidRPr="00403E44" w14:paraId="2B2ABF0C" w14:textId="77777777" w:rsidTr="00520125">
        <w:trPr>
          <w:trHeight w:val="1500"/>
        </w:trPr>
        <w:tc>
          <w:tcPr>
            <w:tcW w:w="1418" w:type="dxa"/>
            <w:vMerge/>
            <w:vAlign w:val="center"/>
            <w:hideMark/>
          </w:tcPr>
          <w:p w14:paraId="4F73FE54"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18C2133" w14:textId="4050BCED"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7E254C6"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0DB396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3536D59A"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w:t>
            </w:r>
          </w:p>
        </w:tc>
        <w:tc>
          <w:tcPr>
            <w:tcW w:w="992" w:type="dxa"/>
            <w:shd w:val="clear" w:color="000000" w:fill="D7D7D7"/>
            <w:noWrap/>
            <w:hideMark/>
          </w:tcPr>
          <w:p w14:paraId="13AD47F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79AEB275"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3E0129A4"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DA74B3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5FDB0F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07A8C63"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8685C3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66A6E1A1"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Отсутствуют муниципальные дошкольные образовательные учреждения, здания которых находятся в аварийном состоянии или требуют капитального ремонта.</w:t>
            </w:r>
          </w:p>
        </w:tc>
      </w:tr>
      <w:tr w:rsidR="002422AA" w:rsidRPr="00403E44" w14:paraId="0AE2ED64" w14:textId="77777777" w:rsidTr="00520125">
        <w:trPr>
          <w:trHeight w:val="600"/>
        </w:trPr>
        <w:tc>
          <w:tcPr>
            <w:tcW w:w="1418" w:type="dxa"/>
            <w:vMerge/>
            <w:vAlign w:val="center"/>
            <w:hideMark/>
          </w:tcPr>
          <w:p w14:paraId="21EFF5DE"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DB81C92"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муниципальных дошкольных образовательных учреждений</w:t>
            </w:r>
          </w:p>
          <w:p w14:paraId="6B2CB52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2D2D6D49"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2C6494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4BF63F1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11.1</w:t>
            </w:r>
          </w:p>
        </w:tc>
        <w:tc>
          <w:tcPr>
            <w:tcW w:w="992" w:type="dxa"/>
            <w:shd w:val="clear" w:color="000000" w:fill="D7D7D7"/>
            <w:noWrap/>
            <w:hideMark/>
          </w:tcPr>
          <w:p w14:paraId="40DF8A2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3" w:type="dxa"/>
            <w:shd w:val="clear" w:color="000000" w:fill="D7D7D7"/>
            <w:noWrap/>
            <w:hideMark/>
          </w:tcPr>
          <w:p w14:paraId="5AC405D5"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000000" w:fill="D7D7D7"/>
            <w:noWrap/>
            <w:hideMark/>
          </w:tcPr>
          <w:p w14:paraId="2D20AC6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000000" w:fill="D7D7D7"/>
            <w:noWrap/>
            <w:hideMark/>
          </w:tcPr>
          <w:p w14:paraId="59828DBC" w14:textId="580776FD" w:rsidR="002422AA" w:rsidRPr="00600B72" w:rsidRDefault="00EA0B3F" w:rsidP="002422AA">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992" w:type="dxa"/>
            <w:shd w:val="clear" w:color="auto" w:fill="auto"/>
            <w:noWrap/>
            <w:hideMark/>
          </w:tcPr>
          <w:p w14:paraId="0084467C" w14:textId="26B25BDA"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r w:rsidR="00E83B10"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6D90A6B6" w14:textId="2B412BFC"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r w:rsidR="00E83B10"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1587FA4" w14:textId="25F04812"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r w:rsidR="00E83B10"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B258EC5" w14:textId="61D0AD7E" w:rsidR="002422AA" w:rsidRPr="00600B72" w:rsidRDefault="00E83B10"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В 2023 году число дошкольных образовательных учреждений уменьшилось в связи с реорганизацией </w:t>
            </w:r>
            <w:r w:rsidR="00E02897">
              <w:rPr>
                <w:rFonts w:ascii="Times New Roman" w:eastAsia="Times New Roman" w:hAnsi="Times New Roman" w:cs="Times New Roman"/>
                <w:sz w:val="16"/>
                <w:szCs w:val="16"/>
                <w:lang w:eastAsia="ru-RU"/>
              </w:rPr>
              <w:t xml:space="preserve">путем </w:t>
            </w:r>
            <w:r w:rsidRPr="00600B72">
              <w:rPr>
                <w:rFonts w:ascii="Times New Roman" w:eastAsia="Times New Roman" w:hAnsi="Times New Roman" w:cs="Times New Roman"/>
                <w:sz w:val="16"/>
                <w:szCs w:val="16"/>
                <w:lang w:eastAsia="ru-RU"/>
              </w:rPr>
              <w:t>присоединени</w:t>
            </w:r>
            <w:r w:rsidR="00E02897">
              <w:rPr>
                <w:rFonts w:ascii="Times New Roman" w:eastAsia="Times New Roman" w:hAnsi="Times New Roman" w:cs="Times New Roman"/>
                <w:sz w:val="16"/>
                <w:szCs w:val="16"/>
                <w:lang w:eastAsia="ru-RU"/>
              </w:rPr>
              <w:t>я</w:t>
            </w:r>
            <w:r w:rsidRPr="00600B72">
              <w:rPr>
                <w:rFonts w:ascii="Times New Roman" w:eastAsia="Times New Roman" w:hAnsi="Times New Roman" w:cs="Times New Roman"/>
                <w:sz w:val="16"/>
                <w:szCs w:val="16"/>
                <w:lang w:eastAsia="ru-RU"/>
              </w:rPr>
              <w:t xml:space="preserve"> ДОУ Капелька к ДОУ Родничок</w:t>
            </w:r>
            <w:r w:rsidR="00E02897">
              <w:rPr>
                <w:rFonts w:ascii="Times New Roman" w:eastAsia="Times New Roman" w:hAnsi="Times New Roman" w:cs="Times New Roman"/>
                <w:sz w:val="16"/>
                <w:szCs w:val="16"/>
                <w:lang w:eastAsia="ru-RU"/>
              </w:rPr>
              <w:t>.</w:t>
            </w:r>
          </w:p>
        </w:tc>
      </w:tr>
      <w:tr w:rsidR="002422AA" w:rsidRPr="00403E44" w14:paraId="6214AA5D" w14:textId="77777777" w:rsidTr="00520125">
        <w:trPr>
          <w:trHeight w:val="1200"/>
        </w:trPr>
        <w:tc>
          <w:tcPr>
            <w:tcW w:w="1418" w:type="dxa"/>
            <w:vMerge/>
            <w:vAlign w:val="center"/>
            <w:hideMark/>
          </w:tcPr>
          <w:p w14:paraId="3EB9D64B"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A5EC13A"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p w14:paraId="2027C0F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30217C33"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p w14:paraId="0FA66F2C"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F0398C3"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4808705E"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11.2</w:t>
            </w:r>
          </w:p>
        </w:tc>
        <w:tc>
          <w:tcPr>
            <w:tcW w:w="992" w:type="dxa"/>
            <w:shd w:val="clear" w:color="000000" w:fill="D7D7D7"/>
            <w:noWrap/>
            <w:hideMark/>
          </w:tcPr>
          <w:p w14:paraId="06CBA5FC"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DAB743C"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5970AC5"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E8513C3"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25404C4"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4C47C6BE"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8A0444E"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7696A02"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Отсутствуют муниципальные дошкольные образовательные учреждения, здания которых находятся в аварийном состоянии или требуют капитального ремонта.</w:t>
            </w:r>
          </w:p>
        </w:tc>
      </w:tr>
      <w:tr w:rsidR="002422AA" w:rsidRPr="00403E44" w14:paraId="2A639123" w14:textId="77777777" w:rsidTr="00520125">
        <w:trPr>
          <w:trHeight w:val="1200"/>
        </w:trPr>
        <w:tc>
          <w:tcPr>
            <w:tcW w:w="1418" w:type="dxa"/>
            <w:vMerge w:val="restart"/>
            <w:shd w:val="clear" w:color="auto" w:fill="auto"/>
            <w:hideMark/>
          </w:tcPr>
          <w:p w14:paraId="4DD8913E"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Общее и дополнительное образование</w:t>
            </w:r>
          </w:p>
        </w:tc>
        <w:tc>
          <w:tcPr>
            <w:tcW w:w="2268" w:type="dxa"/>
            <w:shd w:val="clear" w:color="auto" w:fill="auto"/>
            <w:hideMark/>
          </w:tcPr>
          <w:p w14:paraId="14B874F0" w14:textId="746CA55D"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036AC514"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21731FC"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3EE5605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w:t>
            </w:r>
          </w:p>
        </w:tc>
        <w:tc>
          <w:tcPr>
            <w:tcW w:w="992" w:type="dxa"/>
            <w:shd w:val="clear" w:color="000000" w:fill="D7D7D7"/>
            <w:noWrap/>
            <w:hideMark/>
          </w:tcPr>
          <w:p w14:paraId="00ADFAF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D81BE42"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56CAC5D" w14:textId="27AAD79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r w:rsidR="00E83B10" w:rsidRPr="00600B72">
              <w:rPr>
                <w:rFonts w:ascii="Times New Roman" w:eastAsia="Times New Roman" w:hAnsi="Times New Roman" w:cs="Times New Roman"/>
                <w:sz w:val="16"/>
                <w:szCs w:val="16"/>
                <w:lang w:eastAsia="ru-RU"/>
              </w:rPr>
              <w:t>,5</w:t>
            </w:r>
          </w:p>
        </w:tc>
        <w:tc>
          <w:tcPr>
            <w:tcW w:w="992" w:type="dxa"/>
            <w:shd w:val="clear" w:color="000000" w:fill="D7D7D7"/>
            <w:noWrap/>
            <w:hideMark/>
          </w:tcPr>
          <w:p w14:paraId="151D4E95" w14:textId="6598124A"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w:t>
            </w:r>
          </w:p>
        </w:tc>
        <w:tc>
          <w:tcPr>
            <w:tcW w:w="992" w:type="dxa"/>
            <w:shd w:val="clear" w:color="000000" w:fill="D7D7D7"/>
            <w:noWrap/>
            <w:hideMark/>
          </w:tcPr>
          <w:p w14:paraId="205C5D62"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277355F"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2473CE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01F83706" w14:textId="6D5DB28B" w:rsidR="002422AA" w:rsidRPr="00600B72" w:rsidRDefault="00FE664E" w:rsidP="002422AA">
            <w:pPr>
              <w:spacing w:after="0" w:line="240" w:lineRule="auto"/>
              <w:rPr>
                <w:rFonts w:ascii="Times New Roman" w:eastAsia="Times New Roman" w:hAnsi="Times New Roman" w:cs="Times New Roman"/>
                <w:sz w:val="16"/>
                <w:szCs w:val="16"/>
                <w:lang w:eastAsia="ru-RU"/>
              </w:rPr>
            </w:pPr>
            <w:r w:rsidRPr="00FE664E">
              <w:rPr>
                <w:rFonts w:ascii="Times New Roman" w:eastAsia="Times New Roman" w:hAnsi="Times New Roman" w:cs="Times New Roman"/>
                <w:sz w:val="16"/>
                <w:szCs w:val="16"/>
                <w:lang w:eastAsia="ru-RU"/>
              </w:rPr>
              <w:t>Все выпускники 2023 года прошли государственную итоговую аттестацию и получили аттестаты о среднем общем образовании.</w:t>
            </w:r>
          </w:p>
        </w:tc>
      </w:tr>
      <w:tr w:rsidR="002422AA" w:rsidRPr="00403E44" w14:paraId="3090CBF2" w14:textId="77777777" w:rsidTr="00E83B10">
        <w:trPr>
          <w:trHeight w:val="1181"/>
        </w:trPr>
        <w:tc>
          <w:tcPr>
            <w:tcW w:w="1418" w:type="dxa"/>
            <w:vMerge/>
            <w:vAlign w:val="center"/>
            <w:hideMark/>
          </w:tcPr>
          <w:p w14:paraId="0FFA9B1D"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C1D7324"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выпускников муниципальных общеобразовательных учреждений, не получивших аттестат о среднем (полном) образовании</w:t>
            </w:r>
          </w:p>
        </w:tc>
        <w:tc>
          <w:tcPr>
            <w:tcW w:w="993" w:type="dxa"/>
            <w:shd w:val="clear" w:color="auto" w:fill="auto"/>
            <w:hideMark/>
          </w:tcPr>
          <w:p w14:paraId="30D6EA1F"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3FE06A0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12.1</w:t>
            </w:r>
          </w:p>
        </w:tc>
        <w:tc>
          <w:tcPr>
            <w:tcW w:w="992" w:type="dxa"/>
            <w:shd w:val="clear" w:color="000000" w:fill="D7D7D7"/>
            <w:noWrap/>
            <w:hideMark/>
          </w:tcPr>
          <w:p w14:paraId="1F503BF4"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6418B5F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30992A8" w14:textId="0D19431A"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w:t>
            </w:r>
            <w:r w:rsidR="002422AA"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14C0D46" w14:textId="4B40FCAA"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DA612E5"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72F943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755BE3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F6F6C0C" w14:textId="3F0CB26C" w:rsidR="002422AA" w:rsidRPr="00600B72" w:rsidRDefault="00FE664E" w:rsidP="002422AA">
            <w:pPr>
              <w:spacing w:after="0" w:line="240" w:lineRule="auto"/>
              <w:rPr>
                <w:rFonts w:ascii="Times New Roman" w:eastAsia="Times New Roman" w:hAnsi="Times New Roman" w:cs="Times New Roman"/>
                <w:sz w:val="16"/>
                <w:szCs w:val="16"/>
                <w:lang w:eastAsia="ru-RU"/>
              </w:rPr>
            </w:pPr>
            <w:r w:rsidRPr="00FE664E">
              <w:rPr>
                <w:rFonts w:ascii="Times New Roman" w:eastAsia="Times New Roman" w:hAnsi="Times New Roman" w:cs="Times New Roman"/>
                <w:sz w:val="16"/>
                <w:szCs w:val="16"/>
                <w:lang w:eastAsia="ru-RU"/>
              </w:rPr>
              <w:t>Все выпускники 2023 года прошли государственную итоговую аттестацию и получили аттестаты о среднем общем образовании.</w:t>
            </w:r>
          </w:p>
        </w:tc>
      </w:tr>
      <w:tr w:rsidR="00E83B10" w:rsidRPr="00403E44" w14:paraId="44690789" w14:textId="77777777" w:rsidTr="00520125">
        <w:trPr>
          <w:trHeight w:val="600"/>
        </w:trPr>
        <w:tc>
          <w:tcPr>
            <w:tcW w:w="1418" w:type="dxa"/>
            <w:vMerge/>
            <w:vAlign w:val="center"/>
            <w:hideMark/>
          </w:tcPr>
          <w:p w14:paraId="3DECD69C" w14:textId="77777777" w:rsidR="00E83B10" w:rsidRPr="00FA0EA7" w:rsidRDefault="00E83B10" w:rsidP="00E83B1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1F1F464" w14:textId="77777777" w:rsidR="00E83B10" w:rsidRPr="00600B72" w:rsidRDefault="00E83B10" w:rsidP="00E83B1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выпускников муниципальных общеобразовательных учреждений</w:t>
            </w:r>
          </w:p>
        </w:tc>
        <w:tc>
          <w:tcPr>
            <w:tcW w:w="993" w:type="dxa"/>
            <w:shd w:val="clear" w:color="auto" w:fill="auto"/>
            <w:hideMark/>
          </w:tcPr>
          <w:p w14:paraId="7A39725F" w14:textId="77777777" w:rsidR="00E83B10" w:rsidRPr="00600B72" w:rsidRDefault="00E83B10" w:rsidP="00E83B1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08E5A2BF" w14:textId="77777777" w:rsidR="00E83B10" w:rsidRPr="00600B72" w:rsidRDefault="00E83B10" w:rsidP="00E83B1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12.2</w:t>
            </w:r>
          </w:p>
        </w:tc>
        <w:tc>
          <w:tcPr>
            <w:tcW w:w="992" w:type="dxa"/>
            <w:shd w:val="clear" w:color="000000" w:fill="D7D7D7"/>
            <w:noWrap/>
            <w:hideMark/>
          </w:tcPr>
          <w:p w14:paraId="6CA13327" w14:textId="0FEFFCBC"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229,0</w:t>
            </w:r>
          </w:p>
        </w:tc>
        <w:tc>
          <w:tcPr>
            <w:tcW w:w="993" w:type="dxa"/>
            <w:shd w:val="clear" w:color="000000" w:fill="D7D7D7"/>
            <w:noWrap/>
            <w:hideMark/>
          </w:tcPr>
          <w:p w14:paraId="7F346117" w14:textId="3E2641A5"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253,0</w:t>
            </w:r>
          </w:p>
        </w:tc>
        <w:tc>
          <w:tcPr>
            <w:tcW w:w="992" w:type="dxa"/>
            <w:shd w:val="clear" w:color="000000" w:fill="D7D7D7"/>
            <w:noWrap/>
            <w:hideMark/>
          </w:tcPr>
          <w:p w14:paraId="177DAE5D" w14:textId="15AECE90"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220,0</w:t>
            </w:r>
          </w:p>
        </w:tc>
        <w:tc>
          <w:tcPr>
            <w:tcW w:w="992" w:type="dxa"/>
            <w:shd w:val="clear" w:color="000000" w:fill="D7D7D7"/>
            <w:noWrap/>
            <w:hideMark/>
          </w:tcPr>
          <w:p w14:paraId="4B96D4C4" w14:textId="2FCA28A2"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209,0</w:t>
            </w:r>
          </w:p>
        </w:tc>
        <w:tc>
          <w:tcPr>
            <w:tcW w:w="992" w:type="dxa"/>
            <w:shd w:val="clear" w:color="auto" w:fill="auto"/>
            <w:noWrap/>
            <w:hideMark/>
          </w:tcPr>
          <w:p w14:paraId="746D38C5" w14:textId="52004264"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196,0</w:t>
            </w:r>
          </w:p>
        </w:tc>
        <w:tc>
          <w:tcPr>
            <w:tcW w:w="993" w:type="dxa"/>
            <w:shd w:val="clear" w:color="auto" w:fill="auto"/>
            <w:noWrap/>
            <w:hideMark/>
          </w:tcPr>
          <w:p w14:paraId="1D27C80B" w14:textId="6E89CBA0"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236,0</w:t>
            </w:r>
          </w:p>
        </w:tc>
        <w:tc>
          <w:tcPr>
            <w:tcW w:w="992" w:type="dxa"/>
            <w:shd w:val="clear" w:color="auto" w:fill="auto"/>
            <w:noWrap/>
            <w:hideMark/>
          </w:tcPr>
          <w:p w14:paraId="1A3205D2" w14:textId="4D60E109" w:rsidR="00E83B10" w:rsidRPr="00600B72" w:rsidRDefault="00E83B10" w:rsidP="00E83B1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243,0</w:t>
            </w:r>
          </w:p>
        </w:tc>
        <w:tc>
          <w:tcPr>
            <w:tcW w:w="2551" w:type="dxa"/>
            <w:shd w:val="clear" w:color="auto" w:fill="auto"/>
            <w:hideMark/>
          </w:tcPr>
          <w:p w14:paraId="0C160922" w14:textId="5D2EF0CC" w:rsidR="00E83B10" w:rsidRPr="00600B72" w:rsidRDefault="00E83B10" w:rsidP="00E83B1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Ежегодная численность выпускников 11-х классов муниципальных общеобразовательных учреждений.</w:t>
            </w:r>
          </w:p>
        </w:tc>
      </w:tr>
      <w:tr w:rsidR="002422AA" w:rsidRPr="00403E44" w14:paraId="3CE027F0" w14:textId="77777777" w:rsidTr="00E67F9A">
        <w:trPr>
          <w:trHeight w:val="1751"/>
        </w:trPr>
        <w:tc>
          <w:tcPr>
            <w:tcW w:w="1418" w:type="dxa"/>
            <w:vMerge/>
            <w:vAlign w:val="center"/>
            <w:hideMark/>
          </w:tcPr>
          <w:p w14:paraId="0C52F6BA"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5CFFCE2"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3" w:type="dxa"/>
            <w:shd w:val="clear" w:color="auto" w:fill="auto"/>
            <w:hideMark/>
          </w:tcPr>
          <w:p w14:paraId="77255698"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6E780605"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13</w:t>
            </w:r>
          </w:p>
        </w:tc>
        <w:tc>
          <w:tcPr>
            <w:tcW w:w="992" w:type="dxa"/>
            <w:shd w:val="clear" w:color="000000" w:fill="D7D7D7"/>
            <w:noWrap/>
            <w:hideMark/>
          </w:tcPr>
          <w:p w14:paraId="0D8BD0F3" w14:textId="2C5BC6C0"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96,2</w:t>
            </w:r>
          </w:p>
        </w:tc>
        <w:tc>
          <w:tcPr>
            <w:tcW w:w="993" w:type="dxa"/>
            <w:shd w:val="clear" w:color="000000" w:fill="D7D7D7"/>
            <w:noWrap/>
            <w:hideMark/>
          </w:tcPr>
          <w:p w14:paraId="47DBB9BE" w14:textId="7688C67B"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96,</w:t>
            </w:r>
            <w:r w:rsidR="00E83B10" w:rsidRPr="00600B72">
              <w:rPr>
                <w:rFonts w:ascii="Times New Roman" w:eastAsia="Times New Roman" w:hAnsi="Times New Roman" w:cs="Times New Roman"/>
                <w:sz w:val="16"/>
                <w:szCs w:val="16"/>
                <w:lang w:eastAsia="ru-RU"/>
              </w:rPr>
              <w:t>6</w:t>
            </w:r>
          </w:p>
        </w:tc>
        <w:tc>
          <w:tcPr>
            <w:tcW w:w="992" w:type="dxa"/>
            <w:shd w:val="clear" w:color="000000" w:fill="D7D7D7"/>
            <w:noWrap/>
            <w:hideMark/>
          </w:tcPr>
          <w:p w14:paraId="53718218" w14:textId="5F98B0E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100,0</w:t>
            </w:r>
          </w:p>
        </w:tc>
        <w:tc>
          <w:tcPr>
            <w:tcW w:w="992" w:type="dxa"/>
            <w:shd w:val="clear" w:color="000000" w:fill="D7D7D7"/>
            <w:noWrap/>
            <w:hideMark/>
          </w:tcPr>
          <w:p w14:paraId="4498A4EA" w14:textId="5AD5BF01" w:rsidR="002422AA" w:rsidRPr="00600B72" w:rsidRDefault="00E83B10"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100,0</w:t>
            </w:r>
          </w:p>
        </w:tc>
        <w:tc>
          <w:tcPr>
            <w:tcW w:w="992" w:type="dxa"/>
            <w:shd w:val="clear" w:color="auto" w:fill="auto"/>
            <w:noWrap/>
            <w:hideMark/>
          </w:tcPr>
          <w:p w14:paraId="2EFB88D0" w14:textId="19B5361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100,0</w:t>
            </w:r>
          </w:p>
        </w:tc>
        <w:tc>
          <w:tcPr>
            <w:tcW w:w="993" w:type="dxa"/>
            <w:shd w:val="clear" w:color="auto" w:fill="auto"/>
            <w:noWrap/>
            <w:hideMark/>
          </w:tcPr>
          <w:p w14:paraId="02BC6B4F" w14:textId="2E75DBB5"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100,0</w:t>
            </w:r>
          </w:p>
        </w:tc>
        <w:tc>
          <w:tcPr>
            <w:tcW w:w="992" w:type="dxa"/>
            <w:shd w:val="clear" w:color="auto" w:fill="auto"/>
            <w:noWrap/>
            <w:hideMark/>
          </w:tcPr>
          <w:p w14:paraId="116D5DB7" w14:textId="29444BC8"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w:t>
            </w:r>
            <w:r w:rsidR="00E83B10" w:rsidRPr="00600B72">
              <w:rPr>
                <w:rFonts w:ascii="Times New Roman" w:eastAsia="Times New Roman" w:hAnsi="Times New Roman" w:cs="Times New Roman"/>
                <w:sz w:val="16"/>
                <w:szCs w:val="16"/>
                <w:lang w:eastAsia="ru-RU"/>
              </w:rPr>
              <w:t>100,0</w:t>
            </w:r>
          </w:p>
        </w:tc>
        <w:tc>
          <w:tcPr>
            <w:tcW w:w="2551" w:type="dxa"/>
            <w:shd w:val="clear" w:color="auto" w:fill="auto"/>
            <w:hideMark/>
          </w:tcPr>
          <w:p w14:paraId="2BB0E8CF" w14:textId="4D392AF8" w:rsidR="002422AA" w:rsidRPr="00600B72" w:rsidRDefault="00FE664E" w:rsidP="002422AA">
            <w:pPr>
              <w:spacing w:after="0" w:line="240" w:lineRule="auto"/>
              <w:rPr>
                <w:rFonts w:ascii="Times New Roman" w:eastAsia="Times New Roman" w:hAnsi="Times New Roman" w:cs="Times New Roman"/>
                <w:sz w:val="16"/>
                <w:szCs w:val="16"/>
                <w:lang w:eastAsia="ru-RU"/>
              </w:rPr>
            </w:pPr>
            <w:r w:rsidRPr="00FE664E">
              <w:rPr>
                <w:rFonts w:ascii="Times New Roman" w:eastAsia="Times New Roman" w:hAnsi="Times New Roman" w:cs="Times New Roman"/>
                <w:sz w:val="16"/>
                <w:szCs w:val="16"/>
                <w:lang w:eastAsia="ru-RU"/>
              </w:rPr>
              <w:t>Все общеобразовательные учреждения Нефтеюганского района соответствуют современным требованиям.</w:t>
            </w:r>
          </w:p>
        </w:tc>
      </w:tr>
      <w:tr w:rsidR="002422AA" w:rsidRPr="00403E44" w14:paraId="7DF293C3" w14:textId="77777777" w:rsidTr="00520125">
        <w:trPr>
          <w:trHeight w:val="1200"/>
        </w:trPr>
        <w:tc>
          <w:tcPr>
            <w:tcW w:w="1418" w:type="dxa"/>
            <w:vMerge/>
            <w:vAlign w:val="center"/>
            <w:hideMark/>
          </w:tcPr>
          <w:p w14:paraId="7E68FAC0"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C688C6A"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w:t>
            </w:r>
            <w:r w:rsidRPr="00600B72">
              <w:rPr>
                <w:rFonts w:ascii="Times New Roman" w:eastAsia="Times New Roman" w:hAnsi="Times New Roman" w:cs="Times New Roman"/>
                <w:sz w:val="16"/>
                <w:szCs w:val="16"/>
                <w:lang w:eastAsia="ru-RU"/>
              </w:rPr>
              <w:lastRenderedPageBreak/>
              <w:t>общеобразовательных учреждений</w:t>
            </w:r>
          </w:p>
        </w:tc>
        <w:tc>
          <w:tcPr>
            <w:tcW w:w="993" w:type="dxa"/>
            <w:shd w:val="clear" w:color="auto" w:fill="auto"/>
            <w:hideMark/>
          </w:tcPr>
          <w:p w14:paraId="71DF914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Процент</w:t>
            </w:r>
          </w:p>
        </w:tc>
        <w:tc>
          <w:tcPr>
            <w:tcW w:w="850" w:type="dxa"/>
            <w:shd w:val="clear" w:color="auto" w:fill="auto"/>
            <w:hideMark/>
          </w:tcPr>
          <w:p w14:paraId="28D62C2A"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w:t>
            </w:r>
          </w:p>
        </w:tc>
        <w:tc>
          <w:tcPr>
            <w:tcW w:w="992" w:type="dxa"/>
            <w:shd w:val="clear" w:color="000000" w:fill="D7D7D7"/>
            <w:noWrap/>
            <w:hideMark/>
          </w:tcPr>
          <w:p w14:paraId="3B68FE0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5E64A4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EBC69AC"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D2ECA32"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70FAA6B"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F09A4F0"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0094B6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7F9E7B71"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муниципальном образовании Нефтеюганский район отсутствуют муниципальные общеобразовательные учреждения, здания которых находятся в аварийном состоянии или требуют капитального ремонта.</w:t>
            </w:r>
          </w:p>
        </w:tc>
      </w:tr>
      <w:tr w:rsidR="002422AA" w:rsidRPr="00403E44" w14:paraId="09CD6EB0" w14:textId="77777777" w:rsidTr="00520125">
        <w:trPr>
          <w:trHeight w:val="900"/>
        </w:trPr>
        <w:tc>
          <w:tcPr>
            <w:tcW w:w="1418" w:type="dxa"/>
            <w:vMerge/>
            <w:vAlign w:val="center"/>
            <w:hideMark/>
          </w:tcPr>
          <w:p w14:paraId="5E1B951A"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333EA9F"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993" w:type="dxa"/>
            <w:shd w:val="clear" w:color="auto" w:fill="auto"/>
            <w:hideMark/>
          </w:tcPr>
          <w:p w14:paraId="59BCD058"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3B91A01A"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14.1</w:t>
            </w:r>
          </w:p>
        </w:tc>
        <w:tc>
          <w:tcPr>
            <w:tcW w:w="992" w:type="dxa"/>
            <w:shd w:val="clear" w:color="000000" w:fill="D7D7D7"/>
            <w:noWrap/>
            <w:hideMark/>
          </w:tcPr>
          <w:p w14:paraId="5CB7E102"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53FE23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ED645AD"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D3BD4B1"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B5B51C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95D4A70"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AFD69ED"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6D58EA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МО Нефтеюганский район отсутствуют муниципальные общеобразовательные учреждения, здания которых находятся в аварийном состоянии.</w:t>
            </w:r>
          </w:p>
        </w:tc>
      </w:tr>
      <w:tr w:rsidR="002422AA" w:rsidRPr="00403E44" w14:paraId="7EC509D6" w14:textId="77777777" w:rsidTr="00520125">
        <w:trPr>
          <w:trHeight w:val="1200"/>
        </w:trPr>
        <w:tc>
          <w:tcPr>
            <w:tcW w:w="1418" w:type="dxa"/>
            <w:vMerge/>
            <w:vAlign w:val="center"/>
            <w:hideMark/>
          </w:tcPr>
          <w:p w14:paraId="291C1242"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4F529EC"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993" w:type="dxa"/>
            <w:shd w:val="clear" w:color="auto" w:fill="auto"/>
            <w:hideMark/>
          </w:tcPr>
          <w:p w14:paraId="3C560233"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4A9F329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14.2</w:t>
            </w:r>
          </w:p>
        </w:tc>
        <w:tc>
          <w:tcPr>
            <w:tcW w:w="992" w:type="dxa"/>
            <w:shd w:val="clear" w:color="000000" w:fill="D7D7D7"/>
            <w:noWrap/>
            <w:hideMark/>
          </w:tcPr>
          <w:p w14:paraId="5864E9C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2695B1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ED8A5D4"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85E5E0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74A0C3B"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7EC41D87"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4ADCC0A"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5A79692F"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МО Нефтеюганский район отсутствуют муниципальные общеобразовательные учреждения, здания которых требуют капитального ремонта.</w:t>
            </w:r>
          </w:p>
        </w:tc>
      </w:tr>
      <w:tr w:rsidR="002422AA" w:rsidRPr="00403E44" w14:paraId="5FEA6813" w14:textId="77777777" w:rsidTr="00520125">
        <w:trPr>
          <w:trHeight w:val="600"/>
        </w:trPr>
        <w:tc>
          <w:tcPr>
            <w:tcW w:w="1418" w:type="dxa"/>
            <w:vMerge/>
            <w:vAlign w:val="center"/>
            <w:hideMark/>
          </w:tcPr>
          <w:p w14:paraId="681747CF"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02AADC8"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государственных (муниципальных) общеобразовательных учреждений, всего</w:t>
            </w:r>
          </w:p>
        </w:tc>
        <w:tc>
          <w:tcPr>
            <w:tcW w:w="993" w:type="dxa"/>
            <w:shd w:val="clear" w:color="auto" w:fill="auto"/>
            <w:hideMark/>
          </w:tcPr>
          <w:p w14:paraId="6059CCD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70141F42"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14.3</w:t>
            </w:r>
          </w:p>
        </w:tc>
        <w:tc>
          <w:tcPr>
            <w:tcW w:w="992" w:type="dxa"/>
            <w:shd w:val="clear" w:color="000000" w:fill="D7D7D7"/>
            <w:noWrap/>
            <w:hideMark/>
          </w:tcPr>
          <w:p w14:paraId="4F0007EF"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3" w:type="dxa"/>
            <w:shd w:val="clear" w:color="000000" w:fill="D7D7D7"/>
            <w:noWrap/>
            <w:hideMark/>
          </w:tcPr>
          <w:p w14:paraId="4F3D377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000000" w:fill="D7D7D7"/>
            <w:noWrap/>
            <w:hideMark/>
          </w:tcPr>
          <w:p w14:paraId="7A858953"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000000" w:fill="D7D7D7"/>
            <w:noWrap/>
            <w:hideMark/>
          </w:tcPr>
          <w:p w14:paraId="6FF21EB9"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36919CDD"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3" w:type="dxa"/>
            <w:shd w:val="clear" w:color="auto" w:fill="auto"/>
            <w:noWrap/>
            <w:hideMark/>
          </w:tcPr>
          <w:p w14:paraId="0B3B954B"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07DB0AE8"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2551" w:type="dxa"/>
            <w:shd w:val="clear" w:color="auto" w:fill="auto"/>
            <w:hideMark/>
          </w:tcPr>
          <w:p w14:paraId="793E23A5" w14:textId="60C4A293"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общеобразовательных учреждений на уровне 202</w:t>
            </w:r>
            <w:r w:rsidR="00E67F9A" w:rsidRPr="00600B72">
              <w:rPr>
                <w:rFonts w:ascii="Times New Roman" w:eastAsia="Times New Roman" w:hAnsi="Times New Roman" w:cs="Times New Roman"/>
                <w:sz w:val="16"/>
                <w:szCs w:val="16"/>
                <w:lang w:eastAsia="ru-RU"/>
              </w:rPr>
              <w:t>2</w:t>
            </w:r>
            <w:r w:rsidRPr="00600B72">
              <w:rPr>
                <w:rFonts w:ascii="Times New Roman" w:eastAsia="Times New Roman" w:hAnsi="Times New Roman" w:cs="Times New Roman"/>
                <w:sz w:val="16"/>
                <w:szCs w:val="16"/>
                <w:lang w:eastAsia="ru-RU"/>
              </w:rPr>
              <w:t xml:space="preserve"> года.</w:t>
            </w:r>
          </w:p>
        </w:tc>
      </w:tr>
      <w:tr w:rsidR="002422AA" w:rsidRPr="00403E44" w14:paraId="7416A2A6" w14:textId="77777777" w:rsidTr="00E67F9A">
        <w:trPr>
          <w:trHeight w:val="900"/>
        </w:trPr>
        <w:tc>
          <w:tcPr>
            <w:tcW w:w="1418" w:type="dxa"/>
            <w:vMerge/>
            <w:vAlign w:val="center"/>
            <w:hideMark/>
          </w:tcPr>
          <w:p w14:paraId="3EA799E9"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EC866E5"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993" w:type="dxa"/>
            <w:shd w:val="clear" w:color="auto" w:fill="auto"/>
            <w:hideMark/>
          </w:tcPr>
          <w:p w14:paraId="29204492"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55F365A9"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15</w:t>
            </w:r>
          </w:p>
        </w:tc>
        <w:tc>
          <w:tcPr>
            <w:tcW w:w="992" w:type="dxa"/>
            <w:shd w:val="clear" w:color="000000" w:fill="D7D7D7"/>
            <w:noWrap/>
          </w:tcPr>
          <w:p w14:paraId="758FEF50" w14:textId="4AE6CEEF"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90,0</w:t>
            </w:r>
          </w:p>
        </w:tc>
        <w:tc>
          <w:tcPr>
            <w:tcW w:w="993" w:type="dxa"/>
            <w:shd w:val="clear" w:color="000000" w:fill="D7D7D7"/>
            <w:noWrap/>
          </w:tcPr>
          <w:p w14:paraId="2DDCD7FC" w14:textId="69134060"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88,8</w:t>
            </w:r>
          </w:p>
        </w:tc>
        <w:tc>
          <w:tcPr>
            <w:tcW w:w="992" w:type="dxa"/>
            <w:shd w:val="clear" w:color="000000" w:fill="D7D7D7"/>
            <w:noWrap/>
          </w:tcPr>
          <w:p w14:paraId="0C56A535" w14:textId="00AAA5D1"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83,7</w:t>
            </w:r>
          </w:p>
        </w:tc>
        <w:tc>
          <w:tcPr>
            <w:tcW w:w="992" w:type="dxa"/>
            <w:shd w:val="clear" w:color="000000" w:fill="D7D7D7"/>
            <w:noWrap/>
          </w:tcPr>
          <w:p w14:paraId="730CA0BE" w14:textId="49BDFE28"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87,0</w:t>
            </w:r>
          </w:p>
        </w:tc>
        <w:tc>
          <w:tcPr>
            <w:tcW w:w="992" w:type="dxa"/>
            <w:shd w:val="clear" w:color="auto" w:fill="auto"/>
            <w:noWrap/>
          </w:tcPr>
          <w:p w14:paraId="467F8598" w14:textId="23C80B97"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81,0</w:t>
            </w:r>
          </w:p>
        </w:tc>
        <w:tc>
          <w:tcPr>
            <w:tcW w:w="993" w:type="dxa"/>
            <w:shd w:val="clear" w:color="auto" w:fill="auto"/>
            <w:noWrap/>
          </w:tcPr>
          <w:p w14:paraId="2534F9B4" w14:textId="3276ADAA"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82,0</w:t>
            </w:r>
          </w:p>
        </w:tc>
        <w:tc>
          <w:tcPr>
            <w:tcW w:w="992" w:type="dxa"/>
            <w:shd w:val="clear" w:color="auto" w:fill="auto"/>
            <w:noWrap/>
          </w:tcPr>
          <w:p w14:paraId="7C5C2DED" w14:textId="039DC49F"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82,0</w:t>
            </w:r>
          </w:p>
        </w:tc>
        <w:tc>
          <w:tcPr>
            <w:tcW w:w="2551" w:type="dxa"/>
            <w:shd w:val="clear" w:color="auto" w:fill="auto"/>
            <w:hideMark/>
          </w:tcPr>
          <w:p w14:paraId="775ADE7F" w14:textId="47B0322D" w:rsidR="002422AA" w:rsidRPr="00600B72" w:rsidRDefault="002730AC" w:rsidP="002422AA">
            <w:pPr>
              <w:spacing w:after="0" w:line="240" w:lineRule="auto"/>
              <w:rPr>
                <w:rFonts w:ascii="Times New Roman" w:eastAsia="Times New Roman" w:hAnsi="Times New Roman" w:cs="Times New Roman"/>
                <w:color w:val="FF0000"/>
                <w:sz w:val="16"/>
                <w:szCs w:val="16"/>
                <w:highlight w:val="yellow"/>
                <w:lang w:eastAsia="ru-RU"/>
              </w:rPr>
            </w:pPr>
            <w:r w:rsidRPr="002730AC">
              <w:rPr>
                <w:rFonts w:ascii="Times New Roman" w:eastAsia="Times New Roman" w:hAnsi="Times New Roman" w:cs="Times New Roman"/>
                <w:sz w:val="16"/>
                <w:szCs w:val="16"/>
                <w:lang w:eastAsia="ru-RU"/>
              </w:rPr>
              <w:t xml:space="preserve">За 2023 год </w:t>
            </w:r>
            <w:r w:rsidR="002422AA" w:rsidRPr="002730AC">
              <w:rPr>
                <w:rFonts w:ascii="Times New Roman" w:eastAsia="Times New Roman" w:hAnsi="Times New Roman" w:cs="Times New Roman"/>
                <w:sz w:val="16"/>
                <w:szCs w:val="16"/>
                <w:lang w:eastAsia="ru-RU"/>
              </w:rPr>
              <w:t xml:space="preserve">информация </w:t>
            </w:r>
            <w:r w:rsidRPr="002730AC">
              <w:rPr>
                <w:rFonts w:ascii="Times New Roman" w:eastAsia="Times New Roman" w:hAnsi="Times New Roman" w:cs="Times New Roman"/>
                <w:sz w:val="16"/>
                <w:szCs w:val="16"/>
                <w:lang w:eastAsia="ru-RU"/>
              </w:rPr>
              <w:t xml:space="preserve">предоставлена </w:t>
            </w:r>
            <w:r w:rsidR="002422AA" w:rsidRPr="002730AC">
              <w:rPr>
                <w:rFonts w:ascii="Times New Roman" w:eastAsia="Times New Roman" w:hAnsi="Times New Roman" w:cs="Times New Roman"/>
                <w:sz w:val="16"/>
                <w:szCs w:val="16"/>
                <w:lang w:eastAsia="ru-RU"/>
              </w:rPr>
              <w:t>после завершённого углубленного медицинского осмотра обучающихся в феврале 202</w:t>
            </w:r>
            <w:r w:rsidR="00E67F9A" w:rsidRPr="002730AC">
              <w:rPr>
                <w:rFonts w:ascii="Times New Roman" w:eastAsia="Times New Roman" w:hAnsi="Times New Roman" w:cs="Times New Roman"/>
                <w:sz w:val="16"/>
                <w:szCs w:val="16"/>
                <w:lang w:eastAsia="ru-RU"/>
              </w:rPr>
              <w:t>4</w:t>
            </w:r>
            <w:r w:rsidR="002422AA" w:rsidRPr="002730AC">
              <w:rPr>
                <w:rFonts w:ascii="Times New Roman" w:eastAsia="Times New Roman" w:hAnsi="Times New Roman" w:cs="Times New Roman"/>
                <w:sz w:val="16"/>
                <w:szCs w:val="16"/>
                <w:lang w:eastAsia="ru-RU"/>
              </w:rPr>
              <w:t xml:space="preserve"> года.</w:t>
            </w:r>
            <w:r w:rsidRPr="002730AC">
              <w:rPr>
                <w:rFonts w:ascii="Times New Roman" w:eastAsia="Times New Roman" w:hAnsi="Times New Roman" w:cs="Times New Roman"/>
                <w:sz w:val="16"/>
                <w:szCs w:val="16"/>
                <w:lang w:eastAsia="ru-RU"/>
              </w:rPr>
              <w:t xml:space="preserve"> Прогнозные значения за 2024-2026 годы предварительные. </w:t>
            </w:r>
          </w:p>
        </w:tc>
      </w:tr>
      <w:tr w:rsidR="002422AA" w:rsidRPr="00403E44" w14:paraId="5AF69322" w14:textId="77777777" w:rsidTr="00E67F9A">
        <w:trPr>
          <w:trHeight w:val="1500"/>
        </w:trPr>
        <w:tc>
          <w:tcPr>
            <w:tcW w:w="1418" w:type="dxa"/>
            <w:vMerge/>
            <w:vAlign w:val="center"/>
            <w:hideMark/>
          </w:tcPr>
          <w:p w14:paraId="2E060976"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8A5D294"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3" w:type="dxa"/>
            <w:shd w:val="clear" w:color="auto" w:fill="auto"/>
            <w:hideMark/>
          </w:tcPr>
          <w:p w14:paraId="4C8C4205"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3BCD93E1"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16</w:t>
            </w:r>
          </w:p>
        </w:tc>
        <w:tc>
          <w:tcPr>
            <w:tcW w:w="992" w:type="dxa"/>
            <w:shd w:val="clear" w:color="000000" w:fill="D7D7D7"/>
            <w:noWrap/>
          </w:tcPr>
          <w:p w14:paraId="58AF0550" w14:textId="27A44A7B"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25,7</w:t>
            </w:r>
          </w:p>
        </w:tc>
        <w:tc>
          <w:tcPr>
            <w:tcW w:w="993" w:type="dxa"/>
            <w:shd w:val="clear" w:color="000000" w:fill="D7D7D7"/>
            <w:noWrap/>
          </w:tcPr>
          <w:p w14:paraId="4D6BC174" w14:textId="54D705C8"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13,9</w:t>
            </w:r>
          </w:p>
        </w:tc>
        <w:tc>
          <w:tcPr>
            <w:tcW w:w="992" w:type="dxa"/>
            <w:shd w:val="clear" w:color="000000" w:fill="D7D7D7"/>
            <w:noWrap/>
          </w:tcPr>
          <w:p w14:paraId="39E94E7E" w14:textId="7BEE612C"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13,2</w:t>
            </w:r>
          </w:p>
        </w:tc>
        <w:tc>
          <w:tcPr>
            <w:tcW w:w="992" w:type="dxa"/>
            <w:shd w:val="clear" w:color="000000" w:fill="D7D7D7"/>
            <w:noWrap/>
          </w:tcPr>
          <w:p w14:paraId="4674F8F6" w14:textId="371BA76E"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11,4</w:t>
            </w:r>
          </w:p>
        </w:tc>
        <w:tc>
          <w:tcPr>
            <w:tcW w:w="992" w:type="dxa"/>
            <w:shd w:val="clear" w:color="000000" w:fill="D7D7D7"/>
            <w:noWrap/>
          </w:tcPr>
          <w:p w14:paraId="107FD042" w14:textId="13EAC734"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10,9</w:t>
            </w:r>
          </w:p>
        </w:tc>
        <w:tc>
          <w:tcPr>
            <w:tcW w:w="993" w:type="dxa"/>
            <w:shd w:val="clear" w:color="000000" w:fill="D7D7D7"/>
            <w:noWrap/>
          </w:tcPr>
          <w:p w14:paraId="1265341E" w14:textId="527F2773"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10,9</w:t>
            </w:r>
          </w:p>
        </w:tc>
        <w:tc>
          <w:tcPr>
            <w:tcW w:w="992" w:type="dxa"/>
            <w:shd w:val="clear" w:color="000000" w:fill="D7D7D7"/>
            <w:noWrap/>
          </w:tcPr>
          <w:p w14:paraId="4F8D28F5" w14:textId="670EEC95"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10,9</w:t>
            </w:r>
          </w:p>
        </w:tc>
        <w:tc>
          <w:tcPr>
            <w:tcW w:w="2551" w:type="dxa"/>
            <w:shd w:val="clear" w:color="auto" w:fill="auto"/>
            <w:hideMark/>
          </w:tcPr>
          <w:p w14:paraId="75691279" w14:textId="1D9CA254" w:rsidR="002422AA" w:rsidRPr="002730AC" w:rsidRDefault="002422AA" w:rsidP="002422AA">
            <w:pPr>
              <w:spacing w:after="0" w:line="240" w:lineRule="auto"/>
              <w:rPr>
                <w:rFonts w:ascii="Times New Roman" w:eastAsia="Times New Roman" w:hAnsi="Times New Roman" w:cs="Times New Roman"/>
                <w:sz w:val="16"/>
                <w:szCs w:val="16"/>
                <w:lang w:eastAsia="ru-RU"/>
              </w:rPr>
            </w:pPr>
            <w:r w:rsidRPr="002730AC">
              <w:rPr>
                <w:rFonts w:ascii="Times New Roman" w:eastAsia="Times New Roman" w:hAnsi="Times New Roman" w:cs="Times New Roman"/>
                <w:sz w:val="16"/>
                <w:szCs w:val="16"/>
                <w:lang w:eastAsia="ru-RU"/>
              </w:rPr>
              <w:t>Решить проблему второй смены в гп.Пойковский будет возможно только в результате строительства нового объекта школы.</w:t>
            </w:r>
          </w:p>
        </w:tc>
      </w:tr>
      <w:tr w:rsidR="002422AA" w:rsidRPr="00403E44" w14:paraId="539289BD" w14:textId="77777777" w:rsidTr="00E67F9A">
        <w:trPr>
          <w:trHeight w:val="600"/>
        </w:trPr>
        <w:tc>
          <w:tcPr>
            <w:tcW w:w="1418" w:type="dxa"/>
            <w:vMerge/>
            <w:vAlign w:val="center"/>
            <w:hideMark/>
          </w:tcPr>
          <w:p w14:paraId="40775DD6"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E57B674"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обучающихся, занимающихся во вторую смену</w:t>
            </w:r>
          </w:p>
        </w:tc>
        <w:tc>
          <w:tcPr>
            <w:tcW w:w="993" w:type="dxa"/>
            <w:shd w:val="clear" w:color="auto" w:fill="auto"/>
            <w:hideMark/>
          </w:tcPr>
          <w:p w14:paraId="45FF6691"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720EAE20"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16.1</w:t>
            </w:r>
          </w:p>
        </w:tc>
        <w:tc>
          <w:tcPr>
            <w:tcW w:w="992" w:type="dxa"/>
            <w:shd w:val="clear" w:color="000000" w:fill="D7D7D7"/>
            <w:noWrap/>
          </w:tcPr>
          <w:p w14:paraId="383AFF95" w14:textId="7AD064FD"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1 316,0</w:t>
            </w:r>
          </w:p>
        </w:tc>
        <w:tc>
          <w:tcPr>
            <w:tcW w:w="993" w:type="dxa"/>
            <w:shd w:val="clear" w:color="000000" w:fill="D7D7D7"/>
            <w:noWrap/>
          </w:tcPr>
          <w:p w14:paraId="4A6BB7A4" w14:textId="18B2DEFD"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702,0</w:t>
            </w:r>
          </w:p>
        </w:tc>
        <w:tc>
          <w:tcPr>
            <w:tcW w:w="992" w:type="dxa"/>
            <w:shd w:val="clear" w:color="000000" w:fill="D7D7D7"/>
            <w:noWrap/>
          </w:tcPr>
          <w:p w14:paraId="2170F77B" w14:textId="45C66D8F"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660,0</w:t>
            </w:r>
          </w:p>
        </w:tc>
        <w:tc>
          <w:tcPr>
            <w:tcW w:w="992" w:type="dxa"/>
            <w:shd w:val="clear" w:color="000000" w:fill="D7D7D7"/>
            <w:noWrap/>
          </w:tcPr>
          <w:p w14:paraId="05D2E88D" w14:textId="435EE817"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553,0</w:t>
            </w:r>
          </w:p>
        </w:tc>
        <w:tc>
          <w:tcPr>
            <w:tcW w:w="992" w:type="dxa"/>
            <w:shd w:val="clear" w:color="auto" w:fill="auto"/>
            <w:noWrap/>
          </w:tcPr>
          <w:p w14:paraId="07302BEA" w14:textId="58ABE031"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553,0</w:t>
            </w:r>
          </w:p>
        </w:tc>
        <w:tc>
          <w:tcPr>
            <w:tcW w:w="993" w:type="dxa"/>
            <w:shd w:val="clear" w:color="auto" w:fill="auto"/>
            <w:noWrap/>
          </w:tcPr>
          <w:p w14:paraId="5E115672" w14:textId="52C9C864"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553,0</w:t>
            </w:r>
          </w:p>
        </w:tc>
        <w:tc>
          <w:tcPr>
            <w:tcW w:w="992" w:type="dxa"/>
            <w:shd w:val="clear" w:color="auto" w:fill="auto"/>
            <w:noWrap/>
          </w:tcPr>
          <w:p w14:paraId="5A2E3438" w14:textId="093778E8" w:rsidR="002422AA" w:rsidRPr="002730AC"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553,0</w:t>
            </w:r>
          </w:p>
        </w:tc>
        <w:tc>
          <w:tcPr>
            <w:tcW w:w="2551" w:type="dxa"/>
            <w:shd w:val="clear" w:color="auto" w:fill="auto"/>
            <w:hideMark/>
          </w:tcPr>
          <w:p w14:paraId="39963C42" w14:textId="08CE863A" w:rsidR="002422AA" w:rsidRPr="002730AC" w:rsidRDefault="00E02897" w:rsidP="002422AA">
            <w:pPr>
              <w:spacing w:after="0" w:line="240" w:lineRule="auto"/>
              <w:rPr>
                <w:rFonts w:ascii="Times New Roman" w:eastAsia="Times New Roman" w:hAnsi="Times New Roman" w:cs="Times New Roman"/>
                <w:sz w:val="16"/>
                <w:szCs w:val="16"/>
                <w:lang w:eastAsia="ru-RU"/>
              </w:rPr>
            </w:pPr>
            <w:r w:rsidRPr="00E02897">
              <w:rPr>
                <w:rFonts w:ascii="Times New Roman" w:eastAsia="Times New Roman" w:hAnsi="Times New Roman" w:cs="Times New Roman"/>
                <w:sz w:val="16"/>
                <w:szCs w:val="16"/>
                <w:lang w:eastAsia="ru-RU"/>
              </w:rPr>
              <w:t>Численность обучающихся во вторую смену в школах гп.Пойковски</w:t>
            </w:r>
            <w:r>
              <w:rPr>
                <w:rFonts w:ascii="Times New Roman" w:eastAsia="Times New Roman" w:hAnsi="Times New Roman" w:cs="Times New Roman"/>
                <w:sz w:val="16"/>
                <w:szCs w:val="16"/>
                <w:lang w:eastAsia="ru-RU"/>
              </w:rPr>
              <w:t>й.</w:t>
            </w:r>
          </w:p>
        </w:tc>
      </w:tr>
      <w:tr w:rsidR="002422AA" w:rsidRPr="00403E44" w14:paraId="72933312" w14:textId="77777777" w:rsidTr="00520125">
        <w:trPr>
          <w:trHeight w:val="600"/>
        </w:trPr>
        <w:tc>
          <w:tcPr>
            <w:tcW w:w="1418" w:type="dxa"/>
            <w:vMerge/>
            <w:vAlign w:val="center"/>
            <w:hideMark/>
          </w:tcPr>
          <w:p w14:paraId="37BB08BA"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D4AA515"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обучающихся, занимающихся в третью смену</w:t>
            </w:r>
          </w:p>
        </w:tc>
        <w:tc>
          <w:tcPr>
            <w:tcW w:w="993" w:type="dxa"/>
            <w:shd w:val="clear" w:color="auto" w:fill="auto"/>
            <w:hideMark/>
          </w:tcPr>
          <w:p w14:paraId="53ABE47B"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046911F6"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16.2</w:t>
            </w:r>
          </w:p>
        </w:tc>
        <w:tc>
          <w:tcPr>
            <w:tcW w:w="992" w:type="dxa"/>
            <w:shd w:val="clear" w:color="000000" w:fill="D7D7D7"/>
            <w:noWrap/>
            <w:hideMark/>
          </w:tcPr>
          <w:p w14:paraId="4DE2C496"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F9C8D81"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3ED4DA2"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1C7E311"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C5EEB41"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5073DB8D"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7BAA03F" w14:textId="77777777" w:rsidR="002422AA" w:rsidRPr="00600B72" w:rsidRDefault="002422A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DA23335"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Отсутствуют обучающиеся в третью смену.</w:t>
            </w:r>
          </w:p>
        </w:tc>
      </w:tr>
      <w:tr w:rsidR="002422AA" w:rsidRPr="00403E44" w14:paraId="0B924277" w14:textId="77777777" w:rsidTr="00E67F9A">
        <w:trPr>
          <w:trHeight w:val="300"/>
        </w:trPr>
        <w:tc>
          <w:tcPr>
            <w:tcW w:w="1418" w:type="dxa"/>
            <w:vMerge/>
            <w:vAlign w:val="center"/>
            <w:hideMark/>
          </w:tcPr>
          <w:p w14:paraId="141B29EF" w14:textId="77777777" w:rsidR="002422AA" w:rsidRPr="00FA0EA7" w:rsidRDefault="002422AA" w:rsidP="002422AA">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1247AFB"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обучающихся (всего)</w:t>
            </w:r>
          </w:p>
        </w:tc>
        <w:tc>
          <w:tcPr>
            <w:tcW w:w="993" w:type="dxa"/>
            <w:shd w:val="clear" w:color="auto" w:fill="auto"/>
            <w:hideMark/>
          </w:tcPr>
          <w:p w14:paraId="1F8EE220"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785B1AD" w14:textId="77777777" w:rsidR="002422AA" w:rsidRPr="00600B72" w:rsidRDefault="002422AA" w:rsidP="002422AA">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16.3</w:t>
            </w:r>
          </w:p>
        </w:tc>
        <w:tc>
          <w:tcPr>
            <w:tcW w:w="992" w:type="dxa"/>
            <w:shd w:val="clear" w:color="000000" w:fill="D7D7D7"/>
            <w:noWrap/>
          </w:tcPr>
          <w:p w14:paraId="6EFE21B2" w14:textId="5D735CB0"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5 114,0</w:t>
            </w:r>
          </w:p>
        </w:tc>
        <w:tc>
          <w:tcPr>
            <w:tcW w:w="993" w:type="dxa"/>
            <w:shd w:val="clear" w:color="000000" w:fill="D7D7D7"/>
            <w:noWrap/>
          </w:tcPr>
          <w:p w14:paraId="265FA06D" w14:textId="67A3353A"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5 039,0</w:t>
            </w:r>
          </w:p>
        </w:tc>
        <w:tc>
          <w:tcPr>
            <w:tcW w:w="992" w:type="dxa"/>
            <w:shd w:val="clear" w:color="000000" w:fill="D7D7D7"/>
            <w:noWrap/>
          </w:tcPr>
          <w:p w14:paraId="3D9A4BB1" w14:textId="792D6EC8"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4 994,0</w:t>
            </w:r>
          </w:p>
        </w:tc>
        <w:tc>
          <w:tcPr>
            <w:tcW w:w="992" w:type="dxa"/>
            <w:shd w:val="clear" w:color="000000" w:fill="D7D7D7"/>
            <w:noWrap/>
          </w:tcPr>
          <w:p w14:paraId="635693D3" w14:textId="05259A6F"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4 861,0</w:t>
            </w:r>
          </w:p>
        </w:tc>
        <w:tc>
          <w:tcPr>
            <w:tcW w:w="992" w:type="dxa"/>
            <w:shd w:val="clear" w:color="auto" w:fill="auto"/>
            <w:noWrap/>
          </w:tcPr>
          <w:p w14:paraId="0B71ED48" w14:textId="5EC9ECB4"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5 082,0</w:t>
            </w:r>
          </w:p>
        </w:tc>
        <w:tc>
          <w:tcPr>
            <w:tcW w:w="993" w:type="dxa"/>
            <w:shd w:val="clear" w:color="auto" w:fill="auto"/>
            <w:noWrap/>
          </w:tcPr>
          <w:p w14:paraId="2CA89EA7" w14:textId="32D30DFA"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5 063,0</w:t>
            </w:r>
          </w:p>
        </w:tc>
        <w:tc>
          <w:tcPr>
            <w:tcW w:w="992" w:type="dxa"/>
            <w:shd w:val="clear" w:color="auto" w:fill="auto"/>
            <w:noWrap/>
          </w:tcPr>
          <w:p w14:paraId="5BDB28AF" w14:textId="648D7568" w:rsidR="002422AA" w:rsidRPr="00600B72" w:rsidRDefault="00E67F9A" w:rsidP="002422AA">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5 063,0</w:t>
            </w:r>
          </w:p>
        </w:tc>
        <w:tc>
          <w:tcPr>
            <w:tcW w:w="2551" w:type="dxa"/>
            <w:shd w:val="clear" w:color="auto" w:fill="auto"/>
            <w:hideMark/>
          </w:tcPr>
          <w:p w14:paraId="01B4AE60" w14:textId="77777777" w:rsidR="002422AA" w:rsidRPr="00600B72" w:rsidRDefault="002422AA" w:rsidP="002422AA">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обучающихся в соответствии с комплектованием.</w:t>
            </w:r>
          </w:p>
        </w:tc>
      </w:tr>
      <w:tr w:rsidR="00154BB3" w:rsidRPr="00403E44" w14:paraId="6FCFA4C9" w14:textId="77777777" w:rsidTr="002A06C2">
        <w:trPr>
          <w:trHeight w:val="300"/>
        </w:trPr>
        <w:tc>
          <w:tcPr>
            <w:tcW w:w="1418" w:type="dxa"/>
            <w:vMerge/>
            <w:vAlign w:val="center"/>
          </w:tcPr>
          <w:p w14:paraId="7768D4B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tcPr>
          <w:p w14:paraId="0BB529A7" w14:textId="5C81202C"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93" w:type="dxa"/>
            <w:shd w:val="clear" w:color="auto" w:fill="auto"/>
          </w:tcPr>
          <w:p w14:paraId="400BB5EC" w14:textId="44BD71C6"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tcPr>
          <w:p w14:paraId="1C4EF8CD" w14:textId="6DA88B4F"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w:t>
            </w:r>
          </w:p>
        </w:tc>
        <w:tc>
          <w:tcPr>
            <w:tcW w:w="992" w:type="dxa"/>
            <w:shd w:val="clear" w:color="000000" w:fill="D7D7D7"/>
            <w:noWrap/>
            <w:vAlign w:val="center"/>
          </w:tcPr>
          <w:p w14:paraId="1CAB90B0" w14:textId="013198B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238,7</w:t>
            </w:r>
          </w:p>
        </w:tc>
        <w:tc>
          <w:tcPr>
            <w:tcW w:w="993" w:type="dxa"/>
            <w:shd w:val="clear" w:color="000000" w:fill="D7D7D7"/>
            <w:noWrap/>
            <w:vAlign w:val="center"/>
          </w:tcPr>
          <w:p w14:paraId="7CDA7CF6" w14:textId="66BC895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262,6</w:t>
            </w:r>
          </w:p>
        </w:tc>
        <w:tc>
          <w:tcPr>
            <w:tcW w:w="992" w:type="dxa"/>
            <w:shd w:val="clear" w:color="000000" w:fill="D7D7D7"/>
            <w:noWrap/>
            <w:vAlign w:val="center"/>
          </w:tcPr>
          <w:p w14:paraId="64F8DF14" w14:textId="69ED6E7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284,1</w:t>
            </w:r>
          </w:p>
        </w:tc>
        <w:tc>
          <w:tcPr>
            <w:tcW w:w="992" w:type="dxa"/>
            <w:shd w:val="clear" w:color="000000" w:fill="D7D7D7"/>
            <w:noWrap/>
            <w:vAlign w:val="center"/>
          </w:tcPr>
          <w:p w14:paraId="3A92E9E4" w14:textId="54B31EA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297,7</w:t>
            </w:r>
          </w:p>
        </w:tc>
        <w:tc>
          <w:tcPr>
            <w:tcW w:w="992" w:type="dxa"/>
            <w:shd w:val="clear" w:color="auto" w:fill="auto"/>
            <w:noWrap/>
            <w:vAlign w:val="center"/>
          </w:tcPr>
          <w:p w14:paraId="3123B1B0" w14:textId="76AB9D3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286,0</w:t>
            </w:r>
          </w:p>
        </w:tc>
        <w:tc>
          <w:tcPr>
            <w:tcW w:w="993" w:type="dxa"/>
            <w:shd w:val="clear" w:color="auto" w:fill="auto"/>
            <w:noWrap/>
            <w:vAlign w:val="center"/>
          </w:tcPr>
          <w:p w14:paraId="416468F5" w14:textId="30BB622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307,4</w:t>
            </w:r>
          </w:p>
        </w:tc>
        <w:tc>
          <w:tcPr>
            <w:tcW w:w="992" w:type="dxa"/>
            <w:shd w:val="clear" w:color="auto" w:fill="auto"/>
            <w:noWrap/>
            <w:vAlign w:val="center"/>
          </w:tcPr>
          <w:p w14:paraId="441B4570" w14:textId="1FB1794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307,4</w:t>
            </w:r>
          </w:p>
        </w:tc>
        <w:tc>
          <w:tcPr>
            <w:tcW w:w="2551" w:type="dxa"/>
            <w:shd w:val="clear" w:color="auto" w:fill="auto"/>
          </w:tcPr>
          <w:p w14:paraId="6543A9A2" w14:textId="2CEA4D74"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Увеличение расходов к уровню 2022 года объясняется индексацией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расчете на одного обучающегося в год.</w:t>
            </w:r>
          </w:p>
        </w:tc>
      </w:tr>
      <w:tr w:rsidR="00154BB3" w:rsidRPr="00403E44" w14:paraId="67F98CA7" w14:textId="77777777" w:rsidTr="00154BB3">
        <w:trPr>
          <w:trHeight w:val="2100"/>
        </w:trPr>
        <w:tc>
          <w:tcPr>
            <w:tcW w:w="1418" w:type="dxa"/>
            <w:vMerge/>
            <w:vAlign w:val="center"/>
            <w:hideMark/>
          </w:tcPr>
          <w:p w14:paraId="67A6D63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674C36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Расходы бюджета муниципального образования на общее образование</w:t>
            </w:r>
          </w:p>
        </w:tc>
        <w:tc>
          <w:tcPr>
            <w:tcW w:w="993" w:type="dxa"/>
            <w:shd w:val="clear" w:color="auto" w:fill="auto"/>
            <w:hideMark/>
          </w:tcPr>
          <w:p w14:paraId="48788AC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5370B7A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17.1</w:t>
            </w:r>
          </w:p>
        </w:tc>
        <w:tc>
          <w:tcPr>
            <w:tcW w:w="992" w:type="dxa"/>
            <w:tcBorders>
              <w:top w:val="nil"/>
              <w:left w:val="single" w:sz="4" w:space="0" w:color="000000"/>
              <w:bottom w:val="nil"/>
              <w:right w:val="single" w:sz="4" w:space="0" w:color="000000"/>
            </w:tcBorders>
            <w:shd w:val="clear" w:color="000000" w:fill="D7D7D7"/>
            <w:noWrap/>
          </w:tcPr>
          <w:p w14:paraId="264266D3" w14:textId="157B78D4" w:rsidR="00154BB3" w:rsidRPr="00600B72" w:rsidRDefault="00154BB3" w:rsidP="00154BB3">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1 265 789,5</w:t>
            </w:r>
          </w:p>
        </w:tc>
        <w:tc>
          <w:tcPr>
            <w:tcW w:w="993" w:type="dxa"/>
            <w:tcBorders>
              <w:top w:val="nil"/>
              <w:left w:val="nil"/>
              <w:bottom w:val="nil"/>
              <w:right w:val="single" w:sz="4" w:space="0" w:color="000000"/>
            </w:tcBorders>
            <w:shd w:val="clear" w:color="000000" w:fill="D7D7D7"/>
            <w:noWrap/>
          </w:tcPr>
          <w:p w14:paraId="5C6F685E" w14:textId="3CD726E5" w:rsidR="00154BB3" w:rsidRPr="00600B72" w:rsidRDefault="00154BB3" w:rsidP="00154BB3">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1 375 377,9</w:t>
            </w:r>
          </w:p>
        </w:tc>
        <w:tc>
          <w:tcPr>
            <w:tcW w:w="992" w:type="dxa"/>
            <w:tcBorders>
              <w:top w:val="nil"/>
              <w:left w:val="nil"/>
              <w:bottom w:val="nil"/>
              <w:right w:val="single" w:sz="4" w:space="0" w:color="000000"/>
            </w:tcBorders>
            <w:shd w:val="clear" w:color="000000" w:fill="D7D7D7"/>
            <w:noWrap/>
          </w:tcPr>
          <w:p w14:paraId="3903D56F" w14:textId="24FBFCC7"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1 436 492,0</w:t>
            </w:r>
          </w:p>
        </w:tc>
        <w:tc>
          <w:tcPr>
            <w:tcW w:w="992" w:type="dxa"/>
            <w:tcBorders>
              <w:top w:val="nil"/>
              <w:left w:val="nil"/>
              <w:bottom w:val="nil"/>
              <w:right w:val="single" w:sz="4" w:space="0" w:color="000000"/>
            </w:tcBorders>
            <w:shd w:val="clear" w:color="000000" w:fill="D7D7D7"/>
            <w:noWrap/>
          </w:tcPr>
          <w:p w14:paraId="631FE3C1" w14:textId="721D331C" w:rsidR="00154BB3" w:rsidRPr="00600B72" w:rsidRDefault="00154BB3" w:rsidP="00154BB3">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1 495 999,9</w:t>
            </w:r>
          </w:p>
        </w:tc>
        <w:tc>
          <w:tcPr>
            <w:tcW w:w="992" w:type="dxa"/>
            <w:tcBorders>
              <w:top w:val="nil"/>
              <w:left w:val="nil"/>
              <w:bottom w:val="nil"/>
              <w:right w:val="single" w:sz="4" w:space="0" w:color="000000"/>
            </w:tcBorders>
            <w:shd w:val="clear" w:color="auto" w:fill="auto"/>
            <w:noWrap/>
          </w:tcPr>
          <w:p w14:paraId="59715A8C" w14:textId="653EAAB0" w:rsidR="00154BB3" w:rsidRPr="00600B72" w:rsidRDefault="00154BB3" w:rsidP="00154BB3">
            <w:pPr>
              <w:spacing w:after="0" w:line="240" w:lineRule="auto"/>
              <w:ind w:left="-100"/>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1 472 435,3</w:t>
            </w:r>
          </w:p>
        </w:tc>
        <w:tc>
          <w:tcPr>
            <w:tcW w:w="993" w:type="dxa"/>
            <w:tcBorders>
              <w:top w:val="nil"/>
              <w:left w:val="nil"/>
              <w:bottom w:val="nil"/>
              <w:right w:val="single" w:sz="4" w:space="0" w:color="000000"/>
            </w:tcBorders>
            <w:shd w:val="clear" w:color="auto" w:fill="auto"/>
            <w:noWrap/>
          </w:tcPr>
          <w:p w14:paraId="6CAB9B3A" w14:textId="302702F9" w:rsidR="00154BB3" w:rsidRPr="00600B72" w:rsidRDefault="00154BB3" w:rsidP="00154BB3">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1 582 920,5</w:t>
            </w:r>
          </w:p>
        </w:tc>
        <w:tc>
          <w:tcPr>
            <w:tcW w:w="992" w:type="dxa"/>
            <w:tcBorders>
              <w:top w:val="nil"/>
              <w:left w:val="nil"/>
              <w:bottom w:val="nil"/>
              <w:right w:val="single" w:sz="4" w:space="0" w:color="000000"/>
            </w:tcBorders>
            <w:shd w:val="clear" w:color="auto" w:fill="auto"/>
            <w:noWrap/>
          </w:tcPr>
          <w:p w14:paraId="0E6EEF44" w14:textId="63A9C68C" w:rsidR="00154BB3" w:rsidRPr="00600B72" w:rsidRDefault="00154BB3" w:rsidP="00154BB3">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1 582 629,0</w:t>
            </w:r>
          </w:p>
        </w:tc>
        <w:tc>
          <w:tcPr>
            <w:tcW w:w="2551" w:type="dxa"/>
            <w:shd w:val="clear" w:color="auto" w:fill="auto"/>
            <w:hideMark/>
          </w:tcPr>
          <w:p w14:paraId="50DDCC75" w14:textId="108418B6"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Увеличение расходов к уровню 2022 года объясняется индексацией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расчете на одного обучающегося в год.</w:t>
            </w:r>
          </w:p>
        </w:tc>
      </w:tr>
      <w:tr w:rsidR="00154BB3" w:rsidRPr="00403E44" w14:paraId="570A8DC4" w14:textId="77777777" w:rsidTr="00520125">
        <w:trPr>
          <w:trHeight w:val="300"/>
        </w:trPr>
        <w:tc>
          <w:tcPr>
            <w:tcW w:w="1418" w:type="dxa"/>
            <w:vMerge/>
            <w:vAlign w:val="center"/>
            <w:hideMark/>
          </w:tcPr>
          <w:p w14:paraId="6B95CEF0"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D30B91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Среднегодовая численность обучающихся</w:t>
            </w:r>
          </w:p>
        </w:tc>
        <w:tc>
          <w:tcPr>
            <w:tcW w:w="993" w:type="dxa"/>
            <w:shd w:val="clear" w:color="auto" w:fill="auto"/>
            <w:hideMark/>
          </w:tcPr>
          <w:p w14:paraId="01394A0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0DDA8C1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17.2</w:t>
            </w:r>
          </w:p>
        </w:tc>
        <w:tc>
          <w:tcPr>
            <w:tcW w:w="992" w:type="dxa"/>
            <w:shd w:val="clear" w:color="000000" w:fill="D7D7D7"/>
            <w:noWrap/>
            <w:hideMark/>
          </w:tcPr>
          <w:p w14:paraId="143D577A" w14:textId="759CF42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5 302,4</w:t>
            </w:r>
          </w:p>
        </w:tc>
        <w:tc>
          <w:tcPr>
            <w:tcW w:w="993" w:type="dxa"/>
            <w:shd w:val="clear" w:color="000000" w:fill="D7D7D7"/>
            <w:noWrap/>
            <w:hideMark/>
          </w:tcPr>
          <w:p w14:paraId="1051B1BC" w14:textId="5A137F1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5 238,0</w:t>
            </w:r>
          </w:p>
        </w:tc>
        <w:tc>
          <w:tcPr>
            <w:tcW w:w="992" w:type="dxa"/>
            <w:shd w:val="clear" w:color="000000" w:fill="D7D7D7"/>
            <w:noWrap/>
            <w:hideMark/>
          </w:tcPr>
          <w:p w14:paraId="291C434A" w14:textId="5EC5485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5 055,7</w:t>
            </w:r>
          </w:p>
        </w:tc>
        <w:tc>
          <w:tcPr>
            <w:tcW w:w="992" w:type="dxa"/>
            <w:shd w:val="clear" w:color="000000" w:fill="D7D7D7"/>
            <w:noWrap/>
            <w:hideMark/>
          </w:tcPr>
          <w:p w14:paraId="3C4E42BD" w14:textId="66126A7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5 025,8</w:t>
            </w:r>
          </w:p>
        </w:tc>
        <w:tc>
          <w:tcPr>
            <w:tcW w:w="992" w:type="dxa"/>
            <w:shd w:val="clear" w:color="auto" w:fill="auto"/>
            <w:noWrap/>
            <w:hideMark/>
          </w:tcPr>
          <w:p w14:paraId="21632E7B" w14:textId="35E0420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5 149,0</w:t>
            </w:r>
          </w:p>
        </w:tc>
        <w:tc>
          <w:tcPr>
            <w:tcW w:w="993" w:type="dxa"/>
            <w:shd w:val="clear" w:color="auto" w:fill="auto"/>
            <w:noWrap/>
            <w:hideMark/>
          </w:tcPr>
          <w:p w14:paraId="74FAF05C" w14:textId="4DA317F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5 149,0</w:t>
            </w:r>
          </w:p>
        </w:tc>
        <w:tc>
          <w:tcPr>
            <w:tcW w:w="992" w:type="dxa"/>
            <w:shd w:val="clear" w:color="auto" w:fill="auto"/>
            <w:noWrap/>
            <w:hideMark/>
          </w:tcPr>
          <w:p w14:paraId="59E3E4CB" w14:textId="51453D0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5 149,0</w:t>
            </w:r>
          </w:p>
        </w:tc>
        <w:tc>
          <w:tcPr>
            <w:tcW w:w="2551" w:type="dxa"/>
            <w:shd w:val="clear" w:color="auto" w:fill="auto"/>
            <w:hideMark/>
          </w:tcPr>
          <w:p w14:paraId="16CD24D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Расчетная среднегодовая численность обучающихся.</w:t>
            </w:r>
          </w:p>
        </w:tc>
      </w:tr>
      <w:tr w:rsidR="00154BB3" w:rsidRPr="00403E44" w14:paraId="6BA975A4" w14:textId="77777777" w:rsidTr="00520125">
        <w:trPr>
          <w:trHeight w:val="2100"/>
        </w:trPr>
        <w:tc>
          <w:tcPr>
            <w:tcW w:w="1418" w:type="dxa"/>
            <w:vMerge/>
            <w:vAlign w:val="center"/>
            <w:hideMark/>
          </w:tcPr>
          <w:p w14:paraId="4AED6D3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184E9F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993" w:type="dxa"/>
            <w:shd w:val="clear" w:color="auto" w:fill="auto"/>
            <w:hideMark/>
          </w:tcPr>
          <w:p w14:paraId="330FBD8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7DE600D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w:t>
            </w:r>
          </w:p>
        </w:tc>
        <w:tc>
          <w:tcPr>
            <w:tcW w:w="992" w:type="dxa"/>
            <w:shd w:val="clear" w:color="000000" w:fill="D7D7D7"/>
            <w:noWrap/>
            <w:hideMark/>
          </w:tcPr>
          <w:p w14:paraId="7BBAFF0F" w14:textId="57B8E86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94,3</w:t>
            </w:r>
          </w:p>
        </w:tc>
        <w:tc>
          <w:tcPr>
            <w:tcW w:w="993" w:type="dxa"/>
            <w:shd w:val="clear" w:color="000000" w:fill="D7D7D7"/>
            <w:noWrap/>
            <w:hideMark/>
          </w:tcPr>
          <w:p w14:paraId="4FD7E340" w14:textId="705B1FA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86,</w:t>
            </w:r>
            <w:r w:rsidR="00E02897">
              <w:rPr>
                <w:rFonts w:ascii="Times New Roman" w:eastAsia="Times New Roman" w:hAnsi="Times New Roman" w:cs="Times New Roman"/>
                <w:sz w:val="16"/>
                <w:szCs w:val="16"/>
                <w:lang w:eastAsia="ru-RU"/>
              </w:rPr>
              <w:t>2</w:t>
            </w:r>
          </w:p>
        </w:tc>
        <w:tc>
          <w:tcPr>
            <w:tcW w:w="992" w:type="dxa"/>
            <w:shd w:val="clear" w:color="000000" w:fill="D7D7D7"/>
            <w:noWrap/>
            <w:hideMark/>
          </w:tcPr>
          <w:p w14:paraId="2835F162" w14:textId="55FD5CF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76,3</w:t>
            </w:r>
          </w:p>
        </w:tc>
        <w:tc>
          <w:tcPr>
            <w:tcW w:w="992" w:type="dxa"/>
            <w:shd w:val="clear" w:color="000000" w:fill="D7D7D7"/>
            <w:noWrap/>
            <w:hideMark/>
          </w:tcPr>
          <w:p w14:paraId="3879FBFE" w14:textId="0FD9334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88,0</w:t>
            </w:r>
          </w:p>
        </w:tc>
        <w:tc>
          <w:tcPr>
            <w:tcW w:w="992" w:type="dxa"/>
            <w:shd w:val="clear" w:color="000000" w:fill="D7D7D7"/>
            <w:noWrap/>
            <w:hideMark/>
          </w:tcPr>
          <w:p w14:paraId="3AC50C60" w14:textId="6B93979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87,5</w:t>
            </w:r>
          </w:p>
        </w:tc>
        <w:tc>
          <w:tcPr>
            <w:tcW w:w="993" w:type="dxa"/>
            <w:shd w:val="clear" w:color="000000" w:fill="D7D7D7"/>
            <w:noWrap/>
            <w:hideMark/>
          </w:tcPr>
          <w:p w14:paraId="34789532" w14:textId="667FCDA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87,8</w:t>
            </w:r>
          </w:p>
        </w:tc>
        <w:tc>
          <w:tcPr>
            <w:tcW w:w="992" w:type="dxa"/>
            <w:shd w:val="clear" w:color="000000" w:fill="D7D7D7"/>
            <w:noWrap/>
            <w:hideMark/>
          </w:tcPr>
          <w:p w14:paraId="11005C3C" w14:textId="37D4830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87,8</w:t>
            </w:r>
          </w:p>
        </w:tc>
        <w:tc>
          <w:tcPr>
            <w:tcW w:w="2551" w:type="dxa"/>
            <w:shd w:val="clear" w:color="auto" w:fill="auto"/>
            <w:hideMark/>
          </w:tcPr>
          <w:p w14:paraId="55DF1EB2" w14:textId="2F73A18A"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Показатели охвата детей в возрасте от 5 до 18 лет декомпозированы для муниципалитета в региональном проекте "Успех каждого ребенка" и составил по итогам 202</w:t>
            </w:r>
            <w:r>
              <w:rPr>
                <w:rFonts w:ascii="Times New Roman" w:eastAsia="Times New Roman" w:hAnsi="Times New Roman" w:cs="Times New Roman"/>
                <w:color w:val="000000"/>
                <w:sz w:val="16"/>
                <w:szCs w:val="16"/>
                <w:lang w:eastAsia="ru-RU"/>
              </w:rPr>
              <w:t>3</w:t>
            </w:r>
            <w:r w:rsidRPr="00FA0EA7">
              <w:rPr>
                <w:rFonts w:ascii="Times New Roman" w:eastAsia="Times New Roman" w:hAnsi="Times New Roman" w:cs="Times New Roman"/>
                <w:color w:val="000000"/>
                <w:sz w:val="16"/>
                <w:szCs w:val="16"/>
                <w:lang w:eastAsia="ru-RU"/>
              </w:rPr>
              <w:t xml:space="preserve"> года </w:t>
            </w:r>
            <w:r>
              <w:rPr>
                <w:rFonts w:ascii="Times New Roman" w:eastAsia="Times New Roman" w:hAnsi="Times New Roman" w:cs="Times New Roman"/>
                <w:color w:val="000000"/>
                <w:sz w:val="16"/>
                <w:szCs w:val="16"/>
                <w:lang w:eastAsia="ru-RU"/>
              </w:rPr>
              <w:t>88,0</w:t>
            </w:r>
            <w:r w:rsidRPr="00725CFA">
              <w:rPr>
                <w:rFonts w:ascii="Times New Roman" w:eastAsia="Times New Roman" w:hAnsi="Times New Roman" w:cs="Times New Roman"/>
                <w:sz w:val="16"/>
                <w:szCs w:val="16"/>
                <w:lang w:eastAsia="ru-RU"/>
              </w:rPr>
              <w:t>%. Охват детей доп. образованием обеспечен за счет обновления содержания программ доп. образования в муниципальных организациях и расширения участия негос</w:t>
            </w:r>
            <w:r w:rsidR="00E02897">
              <w:rPr>
                <w:rFonts w:ascii="Times New Roman" w:eastAsia="Times New Roman" w:hAnsi="Times New Roman" w:cs="Times New Roman"/>
                <w:sz w:val="16"/>
                <w:szCs w:val="16"/>
                <w:lang w:eastAsia="ru-RU"/>
              </w:rPr>
              <w:t>ударственного</w:t>
            </w:r>
            <w:r w:rsidRPr="00725CFA">
              <w:rPr>
                <w:rFonts w:ascii="Times New Roman" w:eastAsia="Times New Roman" w:hAnsi="Times New Roman" w:cs="Times New Roman"/>
                <w:sz w:val="16"/>
                <w:szCs w:val="16"/>
                <w:lang w:eastAsia="ru-RU"/>
              </w:rPr>
              <w:t xml:space="preserve"> сектора.</w:t>
            </w:r>
          </w:p>
        </w:tc>
      </w:tr>
      <w:tr w:rsidR="00154BB3" w:rsidRPr="00403E44" w14:paraId="45C3EECA" w14:textId="77777777" w:rsidTr="002730AC">
        <w:trPr>
          <w:trHeight w:val="365"/>
        </w:trPr>
        <w:tc>
          <w:tcPr>
            <w:tcW w:w="1418" w:type="dxa"/>
            <w:vMerge/>
            <w:vAlign w:val="center"/>
            <w:hideMark/>
          </w:tcPr>
          <w:p w14:paraId="5F1312C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653C6C1" w14:textId="2BE4EF0F"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Численность детей в возрасте с 5 до 18 лет, получающих услуги по дополнительному </w:t>
            </w:r>
            <w:r w:rsidRPr="00600B72">
              <w:rPr>
                <w:rFonts w:ascii="Times New Roman" w:eastAsia="Times New Roman" w:hAnsi="Times New Roman" w:cs="Times New Roman"/>
                <w:sz w:val="16"/>
                <w:szCs w:val="16"/>
                <w:lang w:eastAsia="ru-RU"/>
              </w:rPr>
              <w:lastRenderedPageBreak/>
              <w:t>образованию в организациях различной организационно-правовой формы и формы собственности</w:t>
            </w:r>
          </w:p>
          <w:p w14:paraId="06FCD77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2CE2EC1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Человек</w:t>
            </w:r>
          </w:p>
        </w:tc>
        <w:tc>
          <w:tcPr>
            <w:tcW w:w="850" w:type="dxa"/>
            <w:shd w:val="clear" w:color="auto" w:fill="auto"/>
            <w:hideMark/>
          </w:tcPr>
          <w:p w14:paraId="1887EB8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18.1</w:t>
            </w:r>
          </w:p>
        </w:tc>
        <w:tc>
          <w:tcPr>
            <w:tcW w:w="992" w:type="dxa"/>
            <w:shd w:val="clear" w:color="000000" w:fill="D7D7D7"/>
            <w:noWrap/>
            <w:hideMark/>
          </w:tcPr>
          <w:p w14:paraId="3162495E" w14:textId="18F78F2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7 582,0</w:t>
            </w:r>
          </w:p>
        </w:tc>
        <w:tc>
          <w:tcPr>
            <w:tcW w:w="993" w:type="dxa"/>
            <w:shd w:val="clear" w:color="000000" w:fill="D7D7D7"/>
            <w:noWrap/>
            <w:hideMark/>
          </w:tcPr>
          <w:p w14:paraId="22A57A03" w14:textId="5402FBF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6 954,0</w:t>
            </w:r>
          </w:p>
        </w:tc>
        <w:tc>
          <w:tcPr>
            <w:tcW w:w="992" w:type="dxa"/>
            <w:shd w:val="clear" w:color="000000" w:fill="D7D7D7"/>
            <w:noWrap/>
            <w:hideMark/>
          </w:tcPr>
          <w:p w14:paraId="414676EB" w14:textId="54C1EB8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6 895,0</w:t>
            </w:r>
          </w:p>
        </w:tc>
        <w:tc>
          <w:tcPr>
            <w:tcW w:w="992" w:type="dxa"/>
            <w:shd w:val="clear" w:color="000000" w:fill="D7D7D7"/>
            <w:noWrap/>
            <w:hideMark/>
          </w:tcPr>
          <w:p w14:paraId="474CE731" w14:textId="7675684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7 915,0</w:t>
            </w:r>
          </w:p>
        </w:tc>
        <w:tc>
          <w:tcPr>
            <w:tcW w:w="992" w:type="dxa"/>
            <w:shd w:val="clear" w:color="auto" w:fill="auto"/>
            <w:noWrap/>
            <w:hideMark/>
          </w:tcPr>
          <w:p w14:paraId="6C4E2A20" w14:textId="058BE1D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7 788,0</w:t>
            </w:r>
          </w:p>
        </w:tc>
        <w:tc>
          <w:tcPr>
            <w:tcW w:w="993" w:type="dxa"/>
            <w:shd w:val="clear" w:color="auto" w:fill="auto"/>
            <w:noWrap/>
            <w:hideMark/>
          </w:tcPr>
          <w:p w14:paraId="0DB2F9FA" w14:textId="59D0D2F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7 688,0</w:t>
            </w:r>
          </w:p>
        </w:tc>
        <w:tc>
          <w:tcPr>
            <w:tcW w:w="992" w:type="dxa"/>
            <w:shd w:val="clear" w:color="auto" w:fill="auto"/>
            <w:noWrap/>
            <w:hideMark/>
          </w:tcPr>
          <w:p w14:paraId="262C921C" w14:textId="3D6F2D8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7 552,0</w:t>
            </w:r>
          </w:p>
        </w:tc>
        <w:tc>
          <w:tcPr>
            <w:tcW w:w="2551" w:type="dxa"/>
            <w:shd w:val="clear" w:color="auto" w:fill="auto"/>
            <w:hideMark/>
          </w:tcPr>
          <w:p w14:paraId="16EE0F0C" w14:textId="736A78AB"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2730AC">
              <w:rPr>
                <w:rFonts w:ascii="Times New Roman" w:eastAsia="Times New Roman" w:hAnsi="Times New Roman" w:cs="Times New Roman"/>
                <w:sz w:val="16"/>
                <w:szCs w:val="16"/>
                <w:lang w:eastAsia="ru-RU"/>
              </w:rPr>
              <w:t xml:space="preserve">По итогам 2023 года дополнительными общеобразовательными </w:t>
            </w:r>
            <w:r w:rsidRPr="002730AC">
              <w:rPr>
                <w:rFonts w:ascii="Times New Roman" w:eastAsia="Times New Roman" w:hAnsi="Times New Roman" w:cs="Times New Roman"/>
                <w:sz w:val="16"/>
                <w:szCs w:val="16"/>
                <w:lang w:eastAsia="ru-RU"/>
              </w:rPr>
              <w:lastRenderedPageBreak/>
              <w:t>программами охвачено 7 915 детей (по данным Автоматизированной информационной системы "Персонифицированное дополнительное образование").</w:t>
            </w:r>
          </w:p>
        </w:tc>
      </w:tr>
      <w:tr w:rsidR="00154BB3" w:rsidRPr="00403E44" w14:paraId="61DDD3E3" w14:textId="77777777" w:rsidTr="00520125">
        <w:trPr>
          <w:trHeight w:val="600"/>
        </w:trPr>
        <w:tc>
          <w:tcPr>
            <w:tcW w:w="1418" w:type="dxa"/>
            <w:vMerge/>
            <w:vAlign w:val="center"/>
            <w:hideMark/>
          </w:tcPr>
          <w:p w14:paraId="0B9811B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3ED0A5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детей в возрасте с 5 до 18 лет в городском округе (муниципальном районе)</w:t>
            </w:r>
          </w:p>
        </w:tc>
        <w:tc>
          <w:tcPr>
            <w:tcW w:w="993" w:type="dxa"/>
            <w:shd w:val="clear" w:color="auto" w:fill="auto"/>
            <w:hideMark/>
          </w:tcPr>
          <w:p w14:paraId="17B3DDB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6A4E85D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18.2</w:t>
            </w:r>
          </w:p>
        </w:tc>
        <w:tc>
          <w:tcPr>
            <w:tcW w:w="992" w:type="dxa"/>
            <w:shd w:val="clear" w:color="000000" w:fill="D7D7D7"/>
            <w:noWrap/>
            <w:hideMark/>
          </w:tcPr>
          <w:p w14:paraId="617124FA" w14:textId="0C62929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8 040,0</w:t>
            </w:r>
          </w:p>
        </w:tc>
        <w:tc>
          <w:tcPr>
            <w:tcW w:w="993" w:type="dxa"/>
            <w:shd w:val="clear" w:color="000000" w:fill="D7D7D7"/>
            <w:noWrap/>
            <w:hideMark/>
          </w:tcPr>
          <w:p w14:paraId="4CA47A8A" w14:textId="02F720B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8 068,0</w:t>
            </w:r>
          </w:p>
        </w:tc>
        <w:tc>
          <w:tcPr>
            <w:tcW w:w="992" w:type="dxa"/>
            <w:shd w:val="clear" w:color="000000" w:fill="D7D7D7"/>
            <w:noWrap/>
            <w:hideMark/>
          </w:tcPr>
          <w:p w14:paraId="5CFDD34D" w14:textId="0941A00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9 032,0</w:t>
            </w:r>
          </w:p>
        </w:tc>
        <w:tc>
          <w:tcPr>
            <w:tcW w:w="992" w:type="dxa"/>
            <w:shd w:val="clear" w:color="000000" w:fill="D7D7D7"/>
            <w:noWrap/>
            <w:hideMark/>
          </w:tcPr>
          <w:p w14:paraId="10A022A4" w14:textId="1F5AA1E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8 994,0</w:t>
            </w:r>
          </w:p>
        </w:tc>
        <w:tc>
          <w:tcPr>
            <w:tcW w:w="992" w:type="dxa"/>
            <w:shd w:val="clear" w:color="auto" w:fill="auto"/>
            <w:noWrap/>
            <w:hideMark/>
          </w:tcPr>
          <w:p w14:paraId="6A5DB61B" w14:textId="23C6D92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8 901,0</w:t>
            </w:r>
          </w:p>
        </w:tc>
        <w:tc>
          <w:tcPr>
            <w:tcW w:w="993" w:type="dxa"/>
            <w:shd w:val="clear" w:color="auto" w:fill="auto"/>
            <w:noWrap/>
            <w:hideMark/>
          </w:tcPr>
          <w:p w14:paraId="2820236B" w14:textId="4C2289B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8 759,0</w:t>
            </w:r>
          </w:p>
        </w:tc>
        <w:tc>
          <w:tcPr>
            <w:tcW w:w="992" w:type="dxa"/>
            <w:shd w:val="clear" w:color="auto" w:fill="auto"/>
            <w:noWrap/>
            <w:hideMark/>
          </w:tcPr>
          <w:p w14:paraId="73FB9224" w14:textId="4CD6DE2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8 604,0</w:t>
            </w:r>
          </w:p>
        </w:tc>
        <w:tc>
          <w:tcPr>
            <w:tcW w:w="2551" w:type="dxa"/>
            <w:shd w:val="clear" w:color="auto" w:fill="auto"/>
            <w:hideMark/>
          </w:tcPr>
          <w:p w14:paraId="152259DB" w14:textId="0DF5EFDC"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населения по данным статистики (демография 5-18</w:t>
            </w:r>
            <w:r w:rsidR="00E02897">
              <w:rPr>
                <w:rFonts w:ascii="Times New Roman" w:eastAsia="Times New Roman" w:hAnsi="Times New Roman" w:cs="Times New Roman"/>
                <w:sz w:val="16"/>
                <w:szCs w:val="16"/>
                <w:lang w:eastAsia="ru-RU"/>
              </w:rPr>
              <w:t xml:space="preserve"> лет</w:t>
            </w:r>
            <w:r w:rsidRPr="00600B72">
              <w:rPr>
                <w:rFonts w:ascii="Times New Roman" w:eastAsia="Times New Roman" w:hAnsi="Times New Roman" w:cs="Times New Roman"/>
                <w:sz w:val="16"/>
                <w:szCs w:val="16"/>
                <w:lang w:eastAsia="ru-RU"/>
              </w:rPr>
              <w:t>).</w:t>
            </w:r>
          </w:p>
        </w:tc>
      </w:tr>
      <w:tr w:rsidR="00154BB3" w:rsidRPr="00403E44" w14:paraId="58B4F12D" w14:textId="77777777" w:rsidTr="00520125">
        <w:trPr>
          <w:trHeight w:val="600"/>
        </w:trPr>
        <w:tc>
          <w:tcPr>
            <w:tcW w:w="1418" w:type="dxa"/>
            <w:vMerge w:val="restart"/>
            <w:shd w:val="clear" w:color="auto" w:fill="auto"/>
            <w:hideMark/>
          </w:tcPr>
          <w:p w14:paraId="1616A78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Культура</w:t>
            </w:r>
          </w:p>
        </w:tc>
        <w:tc>
          <w:tcPr>
            <w:tcW w:w="2268" w:type="dxa"/>
            <w:shd w:val="clear" w:color="auto" w:fill="auto"/>
            <w:hideMark/>
          </w:tcPr>
          <w:p w14:paraId="7E2677E7"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w:t>
            </w:r>
          </w:p>
        </w:tc>
        <w:tc>
          <w:tcPr>
            <w:tcW w:w="993" w:type="dxa"/>
            <w:shd w:val="clear" w:color="auto" w:fill="auto"/>
            <w:hideMark/>
          </w:tcPr>
          <w:p w14:paraId="24D2D52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4747F2F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w:t>
            </w:r>
          </w:p>
        </w:tc>
        <w:tc>
          <w:tcPr>
            <w:tcW w:w="992" w:type="dxa"/>
            <w:shd w:val="clear" w:color="000000" w:fill="D7D7D7"/>
            <w:noWrap/>
            <w:hideMark/>
          </w:tcPr>
          <w:p w14:paraId="2E3FBCC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5E38EA3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87F13D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E298F6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B6F29E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62A7415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5823F7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0CA3736"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w:t>
            </w:r>
          </w:p>
        </w:tc>
      </w:tr>
      <w:tr w:rsidR="00154BB3" w:rsidRPr="00403E44" w14:paraId="4116B85E" w14:textId="77777777" w:rsidTr="00520125">
        <w:trPr>
          <w:trHeight w:val="438"/>
        </w:trPr>
        <w:tc>
          <w:tcPr>
            <w:tcW w:w="1418" w:type="dxa"/>
            <w:vMerge/>
            <w:vAlign w:val="center"/>
            <w:hideMark/>
          </w:tcPr>
          <w:p w14:paraId="30952E0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613A4D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клубами и учреждениями клубного типа</w:t>
            </w:r>
          </w:p>
        </w:tc>
        <w:tc>
          <w:tcPr>
            <w:tcW w:w="993" w:type="dxa"/>
            <w:shd w:val="clear" w:color="auto" w:fill="auto"/>
            <w:hideMark/>
          </w:tcPr>
          <w:p w14:paraId="1AA7FEA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39E16D7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19.1</w:t>
            </w:r>
          </w:p>
        </w:tc>
        <w:tc>
          <w:tcPr>
            <w:tcW w:w="992" w:type="dxa"/>
            <w:shd w:val="clear" w:color="000000" w:fill="D7D7D7"/>
            <w:noWrap/>
            <w:hideMark/>
          </w:tcPr>
          <w:p w14:paraId="1831406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3481796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661B3C2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3DDFBF4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4BB993C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29663D3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5247223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2551" w:type="dxa"/>
            <w:shd w:val="clear" w:color="auto" w:fill="auto"/>
            <w:hideMark/>
          </w:tcPr>
          <w:p w14:paraId="3E151DB3" w14:textId="77777777" w:rsidR="008A1590" w:rsidRPr="008A1590" w:rsidRDefault="008A1590" w:rsidP="008A1590">
            <w:pPr>
              <w:spacing w:after="0" w:line="240" w:lineRule="auto"/>
              <w:rPr>
                <w:rFonts w:ascii="Times New Roman" w:eastAsia="Times New Roman" w:hAnsi="Times New Roman" w:cs="Times New Roman"/>
                <w:sz w:val="15"/>
                <w:szCs w:val="15"/>
                <w:lang w:eastAsia="ru-RU"/>
              </w:rPr>
            </w:pPr>
            <w:r w:rsidRPr="008A1590">
              <w:rPr>
                <w:rFonts w:ascii="Times New Roman" w:eastAsia="Times New Roman" w:hAnsi="Times New Roman" w:cs="Times New Roman"/>
                <w:sz w:val="15"/>
                <w:szCs w:val="15"/>
                <w:lang w:eastAsia="ru-RU"/>
              </w:rPr>
              <w:t xml:space="preserve">Расчет обеспеченности за 2023 год осуществлялся на основании методических рекомендаций субъектам РФ и ОМСУ по развитию сети организаций культуры и обеспеченности населения услугами организаций культуры, утвержденных </w:t>
            </w:r>
          </w:p>
          <w:p w14:paraId="0DF9BEBB" w14:textId="4B2129F4" w:rsidR="00154BB3" w:rsidRPr="00600B72" w:rsidRDefault="008A1590" w:rsidP="008A1590">
            <w:pPr>
              <w:spacing w:after="0" w:line="240" w:lineRule="auto"/>
              <w:rPr>
                <w:rFonts w:ascii="Times New Roman" w:eastAsia="Times New Roman" w:hAnsi="Times New Roman" w:cs="Times New Roman"/>
                <w:sz w:val="15"/>
                <w:szCs w:val="15"/>
                <w:lang w:eastAsia="ru-RU"/>
              </w:rPr>
            </w:pPr>
            <w:r w:rsidRPr="008A1590">
              <w:rPr>
                <w:rFonts w:ascii="Times New Roman" w:eastAsia="Times New Roman" w:hAnsi="Times New Roman" w:cs="Times New Roman"/>
                <w:sz w:val="15"/>
                <w:szCs w:val="15"/>
                <w:lang w:eastAsia="ru-RU"/>
              </w:rPr>
              <w:t>Распоряжением Минкультуры России от 23.10.2023 № Р-2879. Значение показателя определяет сетевую единицу учреждения культурно-досугового типа, норматив для Нефтеюганского района по состоянию на 01.01.2024 Показатель соответствует сетевым единицам. Фактическое количество клубов и учреждений клубного типа, сохранилось на уровне 2022 года 11 единиц. Прогнозные значения показателя на 2024-2026 годы определены на уровне фактического исполнения за 2023 год. Прогнозные значения показателя на 2024-2026 годы определены на уровне фактического исполнения 2023 год.</w:t>
            </w:r>
          </w:p>
        </w:tc>
      </w:tr>
      <w:tr w:rsidR="00154BB3" w:rsidRPr="00403E44" w14:paraId="46B773C7" w14:textId="77777777" w:rsidTr="00520125">
        <w:trPr>
          <w:trHeight w:val="1265"/>
        </w:trPr>
        <w:tc>
          <w:tcPr>
            <w:tcW w:w="1418" w:type="dxa"/>
            <w:vMerge/>
            <w:vAlign w:val="center"/>
            <w:hideMark/>
          </w:tcPr>
          <w:p w14:paraId="1FABBCFA"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A7D799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Фактическое количество клубов и учреждений клубного типа</w:t>
            </w:r>
          </w:p>
        </w:tc>
        <w:tc>
          <w:tcPr>
            <w:tcW w:w="993" w:type="dxa"/>
            <w:shd w:val="clear" w:color="auto" w:fill="auto"/>
            <w:hideMark/>
          </w:tcPr>
          <w:p w14:paraId="5AAE8D9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757ABDB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19.1.1</w:t>
            </w:r>
          </w:p>
        </w:tc>
        <w:tc>
          <w:tcPr>
            <w:tcW w:w="992" w:type="dxa"/>
            <w:shd w:val="clear" w:color="000000" w:fill="D7D7D7"/>
            <w:noWrap/>
            <w:hideMark/>
          </w:tcPr>
          <w:p w14:paraId="00CDB40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3" w:type="dxa"/>
            <w:shd w:val="clear" w:color="000000" w:fill="D7D7D7"/>
            <w:noWrap/>
            <w:hideMark/>
          </w:tcPr>
          <w:p w14:paraId="6E7F7AF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000000" w:fill="D7D7D7"/>
            <w:noWrap/>
            <w:hideMark/>
          </w:tcPr>
          <w:p w14:paraId="2B9DC94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000000" w:fill="D7D7D7"/>
            <w:noWrap/>
            <w:hideMark/>
          </w:tcPr>
          <w:p w14:paraId="5F3E680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auto" w:fill="auto"/>
            <w:noWrap/>
            <w:hideMark/>
          </w:tcPr>
          <w:p w14:paraId="7828BA5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3" w:type="dxa"/>
            <w:shd w:val="clear" w:color="auto" w:fill="auto"/>
            <w:noWrap/>
            <w:hideMark/>
          </w:tcPr>
          <w:p w14:paraId="4D817C7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auto" w:fill="auto"/>
            <w:noWrap/>
            <w:hideMark/>
          </w:tcPr>
          <w:p w14:paraId="7B919C0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2551" w:type="dxa"/>
            <w:shd w:val="clear" w:color="auto" w:fill="auto"/>
            <w:hideMark/>
          </w:tcPr>
          <w:p w14:paraId="1C1AAEFA" w14:textId="33AA32A9" w:rsidR="00154BB3" w:rsidRPr="00600B72" w:rsidRDefault="00154BB3" w:rsidP="00154BB3">
            <w:pPr>
              <w:spacing w:after="0" w:line="240" w:lineRule="auto"/>
              <w:rPr>
                <w:rFonts w:ascii="Times New Roman" w:eastAsia="Times New Roman" w:hAnsi="Times New Roman" w:cs="Times New Roman"/>
                <w:sz w:val="15"/>
                <w:szCs w:val="15"/>
                <w:lang w:eastAsia="ru-RU"/>
              </w:rPr>
            </w:pPr>
            <w:r w:rsidRPr="00600B72">
              <w:rPr>
                <w:rFonts w:ascii="Times New Roman" w:eastAsia="Times New Roman" w:hAnsi="Times New Roman" w:cs="Times New Roman"/>
                <w:sz w:val="15"/>
                <w:szCs w:val="15"/>
                <w:lang w:eastAsia="ru-RU"/>
              </w:rPr>
              <w:t xml:space="preserve">Показатель соответствует сетевым единицам. Фактическое количество клубов и учреждений клубного типа 11 единиц, в прогнозном периоде изменений не ожидается. Прогнозные значения показателя на 2024-2026 годы определены на уровне фактического исполнения 2023 год. </w:t>
            </w:r>
          </w:p>
        </w:tc>
      </w:tr>
      <w:tr w:rsidR="00154BB3" w:rsidRPr="00403E44" w14:paraId="559DEEFD" w14:textId="77777777" w:rsidTr="00520125">
        <w:trPr>
          <w:trHeight w:val="900"/>
        </w:trPr>
        <w:tc>
          <w:tcPr>
            <w:tcW w:w="1418" w:type="dxa"/>
            <w:vMerge/>
            <w:vAlign w:val="center"/>
            <w:hideMark/>
          </w:tcPr>
          <w:p w14:paraId="502611D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F867B1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Требуемое количество клубов и учреждений клубного типа в соответствии с утвержденным нормативом</w:t>
            </w:r>
          </w:p>
        </w:tc>
        <w:tc>
          <w:tcPr>
            <w:tcW w:w="993" w:type="dxa"/>
            <w:shd w:val="clear" w:color="auto" w:fill="auto"/>
            <w:hideMark/>
          </w:tcPr>
          <w:p w14:paraId="452CADA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5E0E64B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19.1.2</w:t>
            </w:r>
          </w:p>
        </w:tc>
        <w:tc>
          <w:tcPr>
            <w:tcW w:w="992" w:type="dxa"/>
            <w:shd w:val="clear" w:color="000000" w:fill="D7D7D7"/>
            <w:noWrap/>
            <w:hideMark/>
          </w:tcPr>
          <w:p w14:paraId="6939944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3" w:type="dxa"/>
            <w:shd w:val="clear" w:color="000000" w:fill="D7D7D7"/>
            <w:noWrap/>
            <w:hideMark/>
          </w:tcPr>
          <w:p w14:paraId="60FAF1B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000000" w:fill="D7D7D7"/>
            <w:noWrap/>
            <w:hideMark/>
          </w:tcPr>
          <w:p w14:paraId="1617C59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000000" w:fill="D7D7D7"/>
            <w:noWrap/>
            <w:hideMark/>
          </w:tcPr>
          <w:p w14:paraId="2904BA2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auto" w:fill="auto"/>
            <w:noWrap/>
            <w:hideMark/>
          </w:tcPr>
          <w:p w14:paraId="3565504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3" w:type="dxa"/>
            <w:shd w:val="clear" w:color="auto" w:fill="auto"/>
            <w:noWrap/>
            <w:hideMark/>
          </w:tcPr>
          <w:p w14:paraId="0AC5171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992" w:type="dxa"/>
            <w:shd w:val="clear" w:color="auto" w:fill="auto"/>
            <w:noWrap/>
            <w:hideMark/>
          </w:tcPr>
          <w:p w14:paraId="4613DE1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11,0</w:t>
            </w:r>
          </w:p>
        </w:tc>
        <w:tc>
          <w:tcPr>
            <w:tcW w:w="2551" w:type="dxa"/>
            <w:shd w:val="clear" w:color="auto" w:fill="auto"/>
            <w:hideMark/>
          </w:tcPr>
          <w:p w14:paraId="033CFC0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Требуемое количество клубов и учреждений клубного типа, в соответствии с утвержденным нормативом, составляет 11 единиц.</w:t>
            </w:r>
          </w:p>
        </w:tc>
      </w:tr>
      <w:tr w:rsidR="00154BB3" w:rsidRPr="00403E44" w14:paraId="05E974A5" w14:textId="77777777" w:rsidTr="00520125">
        <w:trPr>
          <w:trHeight w:val="1800"/>
        </w:trPr>
        <w:tc>
          <w:tcPr>
            <w:tcW w:w="1418" w:type="dxa"/>
            <w:vMerge/>
            <w:vAlign w:val="center"/>
            <w:hideMark/>
          </w:tcPr>
          <w:p w14:paraId="26E6343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86DACFE"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библиотеками</w:t>
            </w:r>
          </w:p>
        </w:tc>
        <w:tc>
          <w:tcPr>
            <w:tcW w:w="993" w:type="dxa"/>
            <w:shd w:val="clear" w:color="auto" w:fill="auto"/>
            <w:hideMark/>
          </w:tcPr>
          <w:p w14:paraId="5292810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596C29C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19.2</w:t>
            </w:r>
          </w:p>
        </w:tc>
        <w:tc>
          <w:tcPr>
            <w:tcW w:w="992" w:type="dxa"/>
            <w:shd w:val="clear" w:color="000000" w:fill="D7D7D7"/>
            <w:noWrap/>
            <w:hideMark/>
          </w:tcPr>
          <w:p w14:paraId="258BA16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107,1</w:t>
            </w:r>
          </w:p>
        </w:tc>
        <w:tc>
          <w:tcPr>
            <w:tcW w:w="993" w:type="dxa"/>
            <w:shd w:val="clear" w:color="000000" w:fill="D7D7D7"/>
            <w:noWrap/>
            <w:hideMark/>
          </w:tcPr>
          <w:p w14:paraId="78BB5AF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107,1</w:t>
            </w:r>
          </w:p>
        </w:tc>
        <w:tc>
          <w:tcPr>
            <w:tcW w:w="992" w:type="dxa"/>
            <w:shd w:val="clear" w:color="000000" w:fill="D7D7D7"/>
            <w:noWrap/>
            <w:hideMark/>
          </w:tcPr>
          <w:p w14:paraId="469D5CD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107,7</w:t>
            </w:r>
          </w:p>
        </w:tc>
        <w:tc>
          <w:tcPr>
            <w:tcW w:w="992" w:type="dxa"/>
            <w:shd w:val="clear" w:color="000000" w:fill="D7D7D7"/>
            <w:noWrap/>
            <w:hideMark/>
          </w:tcPr>
          <w:p w14:paraId="1DFF9D6B" w14:textId="4A3140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116,7</w:t>
            </w:r>
          </w:p>
        </w:tc>
        <w:tc>
          <w:tcPr>
            <w:tcW w:w="992" w:type="dxa"/>
            <w:shd w:val="clear" w:color="000000" w:fill="D7D7D7"/>
            <w:noWrap/>
            <w:hideMark/>
          </w:tcPr>
          <w:p w14:paraId="7246C844" w14:textId="3239674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116,7</w:t>
            </w:r>
          </w:p>
        </w:tc>
        <w:tc>
          <w:tcPr>
            <w:tcW w:w="993" w:type="dxa"/>
            <w:shd w:val="clear" w:color="000000" w:fill="D7D7D7"/>
            <w:noWrap/>
            <w:hideMark/>
          </w:tcPr>
          <w:p w14:paraId="207DD3F6" w14:textId="5CAAF66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116,7</w:t>
            </w:r>
          </w:p>
        </w:tc>
        <w:tc>
          <w:tcPr>
            <w:tcW w:w="992" w:type="dxa"/>
            <w:shd w:val="clear" w:color="000000" w:fill="D7D7D7"/>
            <w:noWrap/>
            <w:hideMark/>
          </w:tcPr>
          <w:p w14:paraId="16395691" w14:textId="5107FDA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116,7</w:t>
            </w:r>
          </w:p>
        </w:tc>
        <w:tc>
          <w:tcPr>
            <w:tcW w:w="2551" w:type="dxa"/>
            <w:shd w:val="clear" w:color="auto" w:fill="auto"/>
            <w:hideMark/>
          </w:tcPr>
          <w:p w14:paraId="30BAB61E" w14:textId="0083AC94"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202</w:t>
            </w:r>
            <w:r>
              <w:rPr>
                <w:rFonts w:ascii="Times New Roman" w:eastAsia="Times New Roman" w:hAnsi="Times New Roman" w:cs="Times New Roman"/>
                <w:sz w:val="16"/>
                <w:szCs w:val="16"/>
                <w:lang w:eastAsia="ru-RU"/>
              </w:rPr>
              <w:t>3</w:t>
            </w:r>
            <w:r w:rsidRPr="00600B72">
              <w:rPr>
                <w:rFonts w:ascii="Times New Roman" w:eastAsia="Times New Roman" w:hAnsi="Times New Roman" w:cs="Times New Roman"/>
                <w:sz w:val="16"/>
                <w:szCs w:val="16"/>
                <w:lang w:eastAsia="ru-RU"/>
              </w:rPr>
              <w:t xml:space="preserve"> году сеть муниципальных библиотек осталась на прежнем уровне 14 единиц. В формулу расчета включены 13 единиц - пунктов внестационарного обслуживания пользователей библиотек Нефтеюганского района. Прогнозные значения показателя на 2024-2026 годы определены на уровне фактического исполнения 2023 год.</w:t>
            </w:r>
          </w:p>
        </w:tc>
      </w:tr>
      <w:tr w:rsidR="00154BB3" w:rsidRPr="00403E44" w14:paraId="273206B5" w14:textId="77777777" w:rsidTr="00520125">
        <w:trPr>
          <w:trHeight w:val="600"/>
        </w:trPr>
        <w:tc>
          <w:tcPr>
            <w:tcW w:w="1418" w:type="dxa"/>
            <w:vMerge/>
            <w:vAlign w:val="center"/>
            <w:hideMark/>
          </w:tcPr>
          <w:p w14:paraId="682C85F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F1BBB5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число библиотек и библиотек-филиалов на конец отчетного года</w:t>
            </w:r>
          </w:p>
        </w:tc>
        <w:tc>
          <w:tcPr>
            <w:tcW w:w="993" w:type="dxa"/>
            <w:shd w:val="clear" w:color="auto" w:fill="auto"/>
            <w:hideMark/>
          </w:tcPr>
          <w:p w14:paraId="35EE6F9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173CBBA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19.2.1</w:t>
            </w:r>
          </w:p>
        </w:tc>
        <w:tc>
          <w:tcPr>
            <w:tcW w:w="992" w:type="dxa"/>
            <w:shd w:val="clear" w:color="000000" w:fill="D7D7D7"/>
            <w:noWrap/>
            <w:hideMark/>
          </w:tcPr>
          <w:p w14:paraId="0FF85C9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3" w:type="dxa"/>
            <w:shd w:val="clear" w:color="000000" w:fill="D7D7D7"/>
            <w:noWrap/>
            <w:hideMark/>
          </w:tcPr>
          <w:p w14:paraId="46052C6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000000" w:fill="D7D7D7"/>
            <w:noWrap/>
            <w:hideMark/>
          </w:tcPr>
          <w:p w14:paraId="4F84541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000000" w:fill="D7D7D7"/>
            <w:noWrap/>
            <w:hideMark/>
          </w:tcPr>
          <w:p w14:paraId="2299C6F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auto" w:fill="auto"/>
            <w:noWrap/>
            <w:hideMark/>
          </w:tcPr>
          <w:p w14:paraId="007229A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3" w:type="dxa"/>
            <w:shd w:val="clear" w:color="auto" w:fill="auto"/>
            <w:noWrap/>
            <w:hideMark/>
          </w:tcPr>
          <w:p w14:paraId="36B4A92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auto" w:fill="auto"/>
            <w:noWrap/>
            <w:hideMark/>
          </w:tcPr>
          <w:p w14:paraId="4BCB4EC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2551" w:type="dxa"/>
            <w:shd w:val="clear" w:color="auto" w:fill="auto"/>
            <w:hideMark/>
          </w:tcPr>
          <w:p w14:paraId="519A4AB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Фактическое число структурных подразделений БУНР "Межпоселенческая библиотека" составляет 14 единиц.</w:t>
            </w:r>
          </w:p>
        </w:tc>
      </w:tr>
      <w:tr w:rsidR="00154BB3" w:rsidRPr="00403E44" w14:paraId="58A9C1EB" w14:textId="77777777" w:rsidTr="00520125">
        <w:trPr>
          <w:trHeight w:val="2400"/>
        </w:trPr>
        <w:tc>
          <w:tcPr>
            <w:tcW w:w="1418" w:type="dxa"/>
            <w:vMerge/>
            <w:vAlign w:val="center"/>
            <w:hideMark/>
          </w:tcPr>
          <w:p w14:paraId="4538239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5BB6AB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отделов внестанционарного обслуживания (библиотечных пунктов)</w:t>
            </w:r>
          </w:p>
        </w:tc>
        <w:tc>
          <w:tcPr>
            <w:tcW w:w="993" w:type="dxa"/>
            <w:shd w:val="clear" w:color="auto" w:fill="auto"/>
            <w:hideMark/>
          </w:tcPr>
          <w:p w14:paraId="51FAEF0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22B026D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19.2.2</w:t>
            </w:r>
          </w:p>
        </w:tc>
        <w:tc>
          <w:tcPr>
            <w:tcW w:w="992" w:type="dxa"/>
            <w:shd w:val="clear" w:color="000000" w:fill="D7D7D7"/>
            <w:noWrap/>
            <w:hideMark/>
          </w:tcPr>
          <w:p w14:paraId="5ACE333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11</w:t>
            </w:r>
          </w:p>
        </w:tc>
        <w:tc>
          <w:tcPr>
            <w:tcW w:w="993" w:type="dxa"/>
            <w:shd w:val="clear" w:color="000000" w:fill="D7D7D7"/>
            <w:noWrap/>
            <w:hideMark/>
          </w:tcPr>
          <w:p w14:paraId="339062AF" w14:textId="00558FD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12</w:t>
            </w:r>
          </w:p>
        </w:tc>
        <w:tc>
          <w:tcPr>
            <w:tcW w:w="992" w:type="dxa"/>
            <w:shd w:val="clear" w:color="000000" w:fill="D7D7D7"/>
            <w:noWrap/>
            <w:hideMark/>
          </w:tcPr>
          <w:p w14:paraId="45269DE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12</w:t>
            </w:r>
          </w:p>
        </w:tc>
        <w:tc>
          <w:tcPr>
            <w:tcW w:w="992" w:type="dxa"/>
            <w:shd w:val="clear" w:color="000000" w:fill="D7D7D7"/>
            <w:noWrap/>
            <w:hideMark/>
          </w:tcPr>
          <w:p w14:paraId="758487F2" w14:textId="2C2B9BB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786057BB" w14:textId="1E5C203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3" w:type="dxa"/>
            <w:shd w:val="clear" w:color="auto" w:fill="auto"/>
            <w:noWrap/>
            <w:hideMark/>
          </w:tcPr>
          <w:p w14:paraId="231294DA" w14:textId="5E6B5EB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1AE522AC" w14:textId="44D98EB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2551" w:type="dxa"/>
            <w:shd w:val="clear" w:color="auto" w:fill="auto"/>
            <w:hideMark/>
          </w:tcPr>
          <w:p w14:paraId="636FF228" w14:textId="0DA77328"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Всего организовано 13 единиц пунктов внестационарного обслуживания: Коллективные абонементы: - Каркатеевская ПМБ (1); - Лемпинская ПБ им. Е.Д. Айпина (1); - Пойковская ПБ "Наследие" (1); - Сентябрьская ПБ № 1 (4); Выездные читальные залы: - Пойковская ПДБ "Радость" (1); - Салымская ПМБ им. А.С. Тарханова (1); - Чеускинская ПБ (1); - Пойковская ПБ "Наследие" (1); - Пункт выдачи - Пойковская ПДБ "Радость" (1); - Сингапайская ПБ (1). Прогнозные значения показателя на 2024-2026 годы определены на уровне фактического исполнения за 2023 год.</w:t>
            </w:r>
          </w:p>
        </w:tc>
      </w:tr>
      <w:tr w:rsidR="00154BB3" w:rsidRPr="00403E44" w14:paraId="3C93FD5D" w14:textId="77777777" w:rsidTr="00520125">
        <w:trPr>
          <w:trHeight w:val="1800"/>
        </w:trPr>
        <w:tc>
          <w:tcPr>
            <w:tcW w:w="1418" w:type="dxa"/>
            <w:vMerge/>
            <w:vAlign w:val="center"/>
            <w:hideMark/>
          </w:tcPr>
          <w:p w14:paraId="038148F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1D8D11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учреждений культурно-досугового типа, занимающихся библиотечной деятельностью</w:t>
            </w:r>
          </w:p>
        </w:tc>
        <w:tc>
          <w:tcPr>
            <w:tcW w:w="993" w:type="dxa"/>
            <w:shd w:val="clear" w:color="auto" w:fill="auto"/>
            <w:hideMark/>
          </w:tcPr>
          <w:p w14:paraId="45DB5E3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0BBB2B0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19.2.3</w:t>
            </w:r>
          </w:p>
        </w:tc>
        <w:tc>
          <w:tcPr>
            <w:tcW w:w="992" w:type="dxa"/>
            <w:shd w:val="clear" w:color="000000" w:fill="D7D7D7"/>
            <w:noWrap/>
            <w:hideMark/>
          </w:tcPr>
          <w:p w14:paraId="266F198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F32B29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6FA62A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EA7C76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598DA3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43F81AC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027A02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2B38C96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Библиотечную деятельность учреждения культурно-досугового типа не осуществляют, поскольку централизованное управление поселенческими библиотеками БУНР "Межпосленческая библиотека" позволяет эффективно и качественно организовать всю работу по обслуживанию взрослого и детского населения района.</w:t>
            </w:r>
          </w:p>
        </w:tc>
      </w:tr>
      <w:tr w:rsidR="00154BB3" w:rsidRPr="00403E44" w14:paraId="38EC7B17" w14:textId="77777777" w:rsidTr="00520125">
        <w:trPr>
          <w:trHeight w:val="1500"/>
        </w:trPr>
        <w:tc>
          <w:tcPr>
            <w:tcW w:w="1418" w:type="dxa"/>
            <w:vMerge/>
            <w:vAlign w:val="center"/>
            <w:hideMark/>
          </w:tcPr>
          <w:p w14:paraId="146BBD6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44E632E"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Требуемое количество общедоступных библиотек в соответствии с утвержденным нормативом</w:t>
            </w:r>
          </w:p>
        </w:tc>
        <w:tc>
          <w:tcPr>
            <w:tcW w:w="993" w:type="dxa"/>
            <w:shd w:val="clear" w:color="auto" w:fill="auto"/>
            <w:hideMark/>
          </w:tcPr>
          <w:p w14:paraId="4E3F7CC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74A1D5E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19.2.4</w:t>
            </w:r>
          </w:p>
        </w:tc>
        <w:tc>
          <w:tcPr>
            <w:tcW w:w="992" w:type="dxa"/>
            <w:shd w:val="clear" w:color="000000" w:fill="D7D7D7"/>
            <w:noWrap/>
            <w:hideMark/>
          </w:tcPr>
          <w:p w14:paraId="7F98A87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3" w:type="dxa"/>
            <w:shd w:val="clear" w:color="000000" w:fill="D7D7D7"/>
            <w:noWrap/>
            <w:hideMark/>
          </w:tcPr>
          <w:p w14:paraId="1E8375B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000000" w:fill="D7D7D7"/>
            <w:noWrap/>
            <w:hideMark/>
          </w:tcPr>
          <w:p w14:paraId="3448700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000000" w:fill="D7D7D7"/>
            <w:noWrap/>
            <w:hideMark/>
          </w:tcPr>
          <w:p w14:paraId="59FFC338" w14:textId="5CF1C6E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43F11808" w14:textId="44B99A8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3" w:type="dxa"/>
            <w:shd w:val="clear" w:color="auto" w:fill="auto"/>
            <w:noWrap/>
            <w:hideMark/>
          </w:tcPr>
          <w:p w14:paraId="1333B8D6" w14:textId="5F35C89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4246999F" w14:textId="094864E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2551" w:type="dxa"/>
            <w:shd w:val="clear" w:color="auto" w:fill="auto"/>
            <w:hideMark/>
          </w:tcPr>
          <w:p w14:paraId="2980453A" w14:textId="053444A2"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Норматив для Нефтеюганского района составляет 13 сетевых единиц, в соответствии с Распоряжением Минкультуры России от 23.10.2023 № Р-2879 "Об утверждении методических рекомендаций органами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154BB3" w:rsidRPr="00403E44" w14:paraId="4FEB9A5B" w14:textId="77777777" w:rsidTr="00D27D69">
        <w:trPr>
          <w:trHeight w:val="961"/>
        </w:trPr>
        <w:tc>
          <w:tcPr>
            <w:tcW w:w="1418" w:type="dxa"/>
            <w:vMerge/>
            <w:vAlign w:val="center"/>
            <w:hideMark/>
          </w:tcPr>
          <w:p w14:paraId="633B03F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A13CFB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Уровень фактической обеспеченности учреждениями культуры от нормативной потребности: парками культуры и отдыха</w:t>
            </w:r>
          </w:p>
        </w:tc>
        <w:tc>
          <w:tcPr>
            <w:tcW w:w="993" w:type="dxa"/>
            <w:shd w:val="clear" w:color="auto" w:fill="auto"/>
            <w:hideMark/>
          </w:tcPr>
          <w:p w14:paraId="1514165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3EA9DB4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19.3</w:t>
            </w:r>
          </w:p>
        </w:tc>
        <w:tc>
          <w:tcPr>
            <w:tcW w:w="992" w:type="dxa"/>
            <w:shd w:val="clear" w:color="000000" w:fill="D7D7D7"/>
            <w:noWrap/>
            <w:hideMark/>
          </w:tcPr>
          <w:p w14:paraId="154EEEB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027CE5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224023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A753E8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EEBF53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5D2B1FB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A6C761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0DFA21B3" w14:textId="4EDF41F0" w:rsidR="00154BB3" w:rsidRPr="00600B72" w:rsidRDefault="00D27D69" w:rsidP="00154BB3">
            <w:pPr>
              <w:spacing w:after="0" w:line="240" w:lineRule="auto"/>
              <w:rPr>
                <w:rFonts w:ascii="Times New Roman" w:eastAsia="Times New Roman" w:hAnsi="Times New Roman" w:cs="Times New Roman"/>
                <w:sz w:val="16"/>
                <w:szCs w:val="16"/>
                <w:lang w:eastAsia="ru-RU"/>
              </w:rPr>
            </w:pPr>
            <w:r w:rsidRPr="00D27D69">
              <w:rPr>
                <w:rFonts w:ascii="Times New Roman" w:eastAsia="Times New Roman" w:hAnsi="Times New Roman" w:cs="Times New Roman"/>
                <w:sz w:val="16"/>
                <w:szCs w:val="16"/>
                <w:lang w:eastAsia="ru-RU"/>
              </w:rPr>
              <w:t>На территории Нефтеюганского района отсутствуют учреждения "Парк культуры и отдыха", имеющие статус юридического лица.</w:t>
            </w:r>
          </w:p>
        </w:tc>
      </w:tr>
      <w:tr w:rsidR="00154BB3" w:rsidRPr="00403E44" w14:paraId="2DA06DE9" w14:textId="77777777" w:rsidTr="00520125">
        <w:trPr>
          <w:trHeight w:val="900"/>
        </w:trPr>
        <w:tc>
          <w:tcPr>
            <w:tcW w:w="1418" w:type="dxa"/>
            <w:vMerge/>
            <w:vAlign w:val="center"/>
            <w:hideMark/>
          </w:tcPr>
          <w:p w14:paraId="1C8D761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9F832C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Обеспеченность населения парками культуры и отдыха (на конец года)</w:t>
            </w:r>
          </w:p>
        </w:tc>
        <w:tc>
          <w:tcPr>
            <w:tcW w:w="993" w:type="dxa"/>
            <w:shd w:val="clear" w:color="auto" w:fill="auto"/>
            <w:hideMark/>
          </w:tcPr>
          <w:p w14:paraId="41C222F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4FC429A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19.3.1</w:t>
            </w:r>
          </w:p>
        </w:tc>
        <w:tc>
          <w:tcPr>
            <w:tcW w:w="992" w:type="dxa"/>
            <w:shd w:val="clear" w:color="000000" w:fill="D7D7D7"/>
            <w:noWrap/>
            <w:hideMark/>
          </w:tcPr>
          <w:p w14:paraId="337E05C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4B008D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0501BB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C44F04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BC202A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2CEC58A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211909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76E4410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связи с отсутствием на территории района парков культуры и отдыха, обеспеченность объектами соответствующего вида, соответствует нулевому значению.</w:t>
            </w:r>
          </w:p>
        </w:tc>
      </w:tr>
      <w:tr w:rsidR="00154BB3" w:rsidRPr="00403E44" w14:paraId="2E6A1B4A" w14:textId="77777777" w:rsidTr="00520125">
        <w:trPr>
          <w:trHeight w:val="3000"/>
        </w:trPr>
        <w:tc>
          <w:tcPr>
            <w:tcW w:w="1418" w:type="dxa"/>
            <w:vMerge/>
            <w:vAlign w:val="center"/>
            <w:hideMark/>
          </w:tcPr>
          <w:p w14:paraId="2C55BE9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07DA54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Нормативный показатель обеспеченности парками культуры и отдыха</w:t>
            </w:r>
          </w:p>
        </w:tc>
        <w:tc>
          <w:tcPr>
            <w:tcW w:w="993" w:type="dxa"/>
            <w:shd w:val="clear" w:color="auto" w:fill="auto"/>
            <w:hideMark/>
          </w:tcPr>
          <w:p w14:paraId="1F39BF3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0569DD6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19.3.2</w:t>
            </w:r>
          </w:p>
        </w:tc>
        <w:tc>
          <w:tcPr>
            <w:tcW w:w="992" w:type="dxa"/>
            <w:shd w:val="clear" w:color="000000" w:fill="D7D7D7"/>
            <w:noWrap/>
            <w:hideMark/>
          </w:tcPr>
          <w:p w14:paraId="496071C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3" w:type="dxa"/>
            <w:shd w:val="clear" w:color="000000" w:fill="D7D7D7"/>
            <w:noWrap/>
            <w:hideMark/>
          </w:tcPr>
          <w:p w14:paraId="13F95DD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000000" w:fill="D7D7D7"/>
            <w:noWrap/>
            <w:hideMark/>
          </w:tcPr>
          <w:p w14:paraId="6092FC8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w:t>
            </w:r>
          </w:p>
        </w:tc>
        <w:tc>
          <w:tcPr>
            <w:tcW w:w="992" w:type="dxa"/>
            <w:shd w:val="clear" w:color="000000" w:fill="D7D7D7"/>
            <w:noWrap/>
            <w:hideMark/>
          </w:tcPr>
          <w:p w14:paraId="01EF33B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0A0D24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44B0720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013147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7FBFE953" w14:textId="77777777" w:rsidR="00D27D69" w:rsidRPr="00D27D69" w:rsidRDefault="00D27D69" w:rsidP="00D27D69">
            <w:pPr>
              <w:spacing w:after="0" w:line="240" w:lineRule="auto"/>
              <w:rPr>
                <w:rFonts w:ascii="Times New Roman" w:eastAsia="Times New Roman" w:hAnsi="Times New Roman" w:cs="Times New Roman"/>
                <w:sz w:val="16"/>
                <w:szCs w:val="16"/>
                <w:lang w:eastAsia="ru-RU"/>
              </w:rPr>
            </w:pPr>
            <w:r w:rsidRPr="00D27D69">
              <w:rPr>
                <w:rFonts w:ascii="Times New Roman" w:eastAsia="Times New Roman" w:hAnsi="Times New Roman" w:cs="Times New Roman"/>
                <w:sz w:val="16"/>
                <w:szCs w:val="16"/>
                <w:lang w:eastAsia="ru-RU"/>
              </w:rPr>
              <w:t xml:space="preserve">Согласно расчетам "Норм и нормативов оптимального размещения парков культуры и отдыха" утвержденных </w:t>
            </w:r>
          </w:p>
          <w:p w14:paraId="3703F8BC" w14:textId="006712A9" w:rsidR="00154BB3" w:rsidRPr="00600B72" w:rsidRDefault="00D27D69" w:rsidP="00D27D69">
            <w:pPr>
              <w:spacing w:after="0" w:line="240" w:lineRule="auto"/>
              <w:rPr>
                <w:rFonts w:ascii="Times New Roman" w:eastAsia="Times New Roman" w:hAnsi="Times New Roman" w:cs="Times New Roman"/>
                <w:sz w:val="16"/>
                <w:szCs w:val="16"/>
                <w:lang w:eastAsia="ru-RU"/>
              </w:rPr>
            </w:pPr>
            <w:r w:rsidRPr="00D27D69">
              <w:rPr>
                <w:rFonts w:ascii="Times New Roman" w:eastAsia="Times New Roman" w:hAnsi="Times New Roman" w:cs="Times New Roman"/>
                <w:sz w:val="16"/>
                <w:szCs w:val="16"/>
                <w:lang w:eastAsia="ru-RU"/>
              </w:rPr>
              <w:t>Распоряжением Минкультуры России от 23.10.2023 № Р-2879. нормативы установлены для городского округа и городского населения: 1 единица Парк культуры и отдыха на 30 тыс. человек. Численность городского поселения Пойковский по состоянию на 01.01.2023 составляет 24 541 человек, следовательно, нормативный показатель обеспеченности парками культуры и отдыха для муниципального района не установлен.</w:t>
            </w:r>
          </w:p>
        </w:tc>
      </w:tr>
      <w:tr w:rsidR="00154BB3" w:rsidRPr="00403E44" w14:paraId="1DCB1B28" w14:textId="77777777" w:rsidTr="00520125">
        <w:trPr>
          <w:trHeight w:val="1200"/>
        </w:trPr>
        <w:tc>
          <w:tcPr>
            <w:tcW w:w="1418" w:type="dxa"/>
            <w:vMerge/>
            <w:vAlign w:val="center"/>
            <w:hideMark/>
          </w:tcPr>
          <w:p w14:paraId="37A5BB4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C0F558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93" w:type="dxa"/>
            <w:shd w:val="clear" w:color="auto" w:fill="auto"/>
            <w:hideMark/>
          </w:tcPr>
          <w:p w14:paraId="2350429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5917066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w:t>
            </w:r>
          </w:p>
        </w:tc>
        <w:tc>
          <w:tcPr>
            <w:tcW w:w="992" w:type="dxa"/>
            <w:shd w:val="clear" w:color="000000" w:fill="D7D7D7"/>
            <w:noWrap/>
            <w:hideMark/>
          </w:tcPr>
          <w:p w14:paraId="635D60B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053B79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6B6689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ED7D2D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8C0FF9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F1A0A2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503C91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D46522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В связи с отсутствием зданий муниципальных учреждений культуры </w:t>
            </w:r>
            <w:proofErr w:type="gramStart"/>
            <w:r w:rsidRPr="00600B72">
              <w:rPr>
                <w:rFonts w:ascii="Times New Roman" w:eastAsia="Times New Roman" w:hAnsi="Times New Roman" w:cs="Times New Roman"/>
                <w:sz w:val="16"/>
                <w:szCs w:val="16"/>
                <w:lang w:eastAsia="ru-RU"/>
              </w:rPr>
              <w:t>в Нефтеюганском районе</w:t>
            </w:r>
            <w:proofErr w:type="gramEnd"/>
            <w:r w:rsidRPr="00600B72">
              <w:rPr>
                <w:rFonts w:ascii="Times New Roman" w:eastAsia="Times New Roman" w:hAnsi="Times New Roman" w:cs="Times New Roman"/>
                <w:sz w:val="16"/>
                <w:szCs w:val="16"/>
                <w:lang w:eastAsia="ru-RU"/>
              </w:rPr>
              <w:t xml:space="preserve"> находящихся в аварийном состоянии, доля соответствует нулевому значению.</w:t>
            </w:r>
          </w:p>
        </w:tc>
      </w:tr>
      <w:tr w:rsidR="00154BB3" w:rsidRPr="00403E44" w14:paraId="098F2A7B" w14:textId="77777777" w:rsidTr="00520125">
        <w:trPr>
          <w:trHeight w:val="900"/>
        </w:trPr>
        <w:tc>
          <w:tcPr>
            <w:tcW w:w="1418" w:type="dxa"/>
            <w:vMerge/>
            <w:vAlign w:val="center"/>
            <w:hideMark/>
          </w:tcPr>
          <w:p w14:paraId="13DD97B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711F437"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зданий, которые находятся в аварийном состоянии или требуют капитального ремонта</w:t>
            </w:r>
          </w:p>
        </w:tc>
        <w:tc>
          <w:tcPr>
            <w:tcW w:w="993" w:type="dxa"/>
            <w:shd w:val="clear" w:color="auto" w:fill="auto"/>
            <w:hideMark/>
          </w:tcPr>
          <w:p w14:paraId="46D2A65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1A433E1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20.1</w:t>
            </w:r>
          </w:p>
        </w:tc>
        <w:tc>
          <w:tcPr>
            <w:tcW w:w="992" w:type="dxa"/>
            <w:shd w:val="clear" w:color="auto" w:fill="auto"/>
            <w:noWrap/>
            <w:hideMark/>
          </w:tcPr>
          <w:p w14:paraId="20B1582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4E8F0C8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0DFB03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0790C4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ED8936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159C86B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0E87EF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625C49F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Муниципальные учреждения культуры, здания которых находятся в аварийном состоянии или требуют капитального ремонта, отсутствуют.</w:t>
            </w:r>
          </w:p>
        </w:tc>
      </w:tr>
      <w:tr w:rsidR="00154BB3" w:rsidRPr="00403E44" w14:paraId="30811E22" w14:textId="77777777" w:rsidTr="00154BB3">
        <w:trPr>
          <w:trHeight w:val="365"/>
        </w:trPr>
        <w:tc>
          <w:tcPr>
            <w:tcW w:w="1418" w:type="dxa"/>
            <w:vMerge/>
            <w:vAlign w:val="center"/>
            <w:hideMark/>
          </w:tcPr>
          <w:p w14:paraId="545D73A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02B4FC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число зданий государственных и муниципальных учреждений культуры</w:t>
            </w:r>
          </w:p>
        </w:tc>
        <w:tc>
          <w:tcPr>
            <w:tcW w:w="993" w:type="dxa"/>
            <w:shd w:val="clear" w:color="auto" w:fill="auto"/>
            <w:hideMark/>
          </w:tcPr>
          <w:p w14:paraId="38A1156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16C0126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20.2</w:t>
            </w:r>
          </w:p>
        </w:tc>
        <w:tc>
          <w:tcPr>
            <w:tcW w:w="992" w:type="dxa"/>
            <w:shd w:val="clear" w:color="auto" w:fill="auto"/>
            <w:noWrap/>
            <w:hideMark/>
          </w:tcPr>
          <w:p w14:paraId="618DB88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15</w:t>
            </w:r>
          </w:p>
        </w:tc>
        <w:tc>
          <w:tcPr>
            <w:tcW w:w="993" w:type="dxa"/>
            <w:shd w:val="clear" w:color="auto" w:fill="auto"/>
            <w:noWrap/>
            <w:hideMark/>
          </w:tcPr>
          <w:p w14:paraId="14EDE49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15</w:t>
            </w:r>
          </w:p>
        </w:tc>
        <w:tc>
          <w:tcPr>
            <w:tcW w:w="992" w:type="dxa"/>
            <w:shd w:val="clear" w:color="auto" w:fill="auto"/>
            <w:noWrap/>
            <w:hideMark/>
          </w:tcPr>
          <w:p w14:paraId="0567803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15</w:t>
            </w:r>
          </w:p>
        </w:tc>
        <w:tc>
          <w:tcPr>
            <w:tcW w:w="992" w:type="dxa"/>
            <w:shd w:val="clear" w:color="auto" w:fill="auto"/>
            <w:noWrap/>
            <w:hideMark/>
          </w:tcPr>
          <w:p w14:paraId="6EAEDED9" w14:textId="249EFF2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auto" w:fill="auto"/>
            <w:noWrap/>
            <w:hideMark/>
          </w:tcPr>
          <w:p w14:paraId="45A82A5C" w14:textId="21D1EC0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3" w:type="dxa"/>
            <w:shd w:val="clear" w:color="auto" w:fill="auto"/>
            <w:noWrap/>
            <w:hideMark/>
          </w:tcPr>
          <w:p w14:paraId="5F6DEB41" w14:textId="2D82ACA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992" w:type="dxa"/>
            <w:shd w:val="clear" w:color="auto" w:fill="auto"/>
            <w:noWrap/>
            <w:hideMark/>
          </w:tcPr>
          <w:p w14:paraId="16E702AB" w14:textId="347AA9C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w:t>
            </w:r>
          </w:p>
        </w:tc>
        <w:tc>
          <w:tcPr>
            <w:tcW w:w="2551" w:type="dxa"/>
            <w:shd w:val="clear" w:color="auto" w:fill="auto"/>
            <w:hideMark/>
          </w:tcPr>
          <w:p w14:paraId="375E1CBC" w14:textId="16F5F39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По состоянию на 01.01.2024 сфера культуры представлена 14 объектами, подведомственными Департаменту культуры и спорта Нефтеюганского района, в том числе 1 объект учреждение дополнительного образования (НРМБУ ДО «ДШИ» гп.Пойковский»); 3 объекта поселенческих библиотек (Салымская ПБ, Усть-Юганская ПБ и Пойковские взрослая и детская ПБ - структурные подразделения БУНР «Межпоселенческая библиотека»); 10 объектов учреждений культурно-</w:t>
            </w:r>
            <w:r w:rsidRPr="00600B72">
              <w:rPr>
                <w:rFonts w:ascii="Times New Roman" w:eastAsia="Times New Roman" w:hAnsi="Times New Roman" w:cs="Times New Roman"/>
                <w:sz w:val="16"/>
                <w:szCs w:val="16"/>
                <w:lang w:eastAsia="ru-RU"/>
              </w:rPr>
              <w:lastRenderedPageBreak/>
              <w:t xml:space="preserve">досугового типа (ДК «Гармония» п.Юганская Обь, ДК «Успех» </w:t>
            </w:r>
            <w:r w:rsidR="00941240">
              <w:rPr>
                <w:rFonts w:ascii="Times New Roman" w:eastAsia="Times New Roman" w:hAnsi="Times New Roman" w:cs="Times New Roman"/>
                <w:sz w:val="16"/>
                <w:szCs w:val="16"/>
                <w:lang w:eastAsia="ru-RU"/>
              </w:rPr>
              <w:t>с</w:t>
            </w:r>
            <w:r w:rsidRPr="00600B72">
              <w:rPr>
                <w:rFonts w:ascii="Times New Roman" w:eastAsia="Times New Roman" w:hAnsi="Times New Roman" w:cs="Times New Roman"/>
                <w:sz w:val="16"/>
                <w:szCs w:val="16"/>
                <w:lang w:eastAsia="ru-RU"/>
              </w:rPr>
              <w:t xml:space="preserve">.Чеускино, ДК «Кедр» с.п.Лемпино, КДЦ «Сияние Севера» с.п.Салым, ДК «Кедровый» с.п.Куть-Ях, ДК «Ника» с.п.Каркатеевы, ДК «Жемчужина Югры» сп.Сентябрьский, ДК «Галактика» сп.Уть-Юган, ДК «Камертон» сп.Сингапай, ЦКИД "РОДНИКИ" гп.Пойковский - обособленные подразделения БУ "Центр культуры Нефтеюганского района"). В 2023 году </w:t>
            </w:r>
            <w:proofErr w:type="gramStart"/>
            <w:r w:rsidRPr="00600B72">
              <w:rPr>
                <w:rFonts w:ascii="Times New Roman" w:eastAsia="Times New Roman" w:hAnsi="Times New Roman" w:cs="Times New Roman"/>
                <w:sz w:val="16"/>
                <w:szCs w:val="16"/>
                <w:lang w:eastAsia="ru-RU"/>
              </w:rPr>
              <w:t>объект</w:t>
            </w:r>
            <w:proofErr w:type="gramEnd"/>
            <w:r w:rsidRPr="00600B72">
              <w:rPr>
                <w:rFonts w:ascii="Times New Roman" w:eastAsia="Times New Roman" w:hAnsi="Times New Roman" w:cs="Times New Roman"/>
                <w:sz w:val="16"/>
                <w:szCs w:val="16"/>
                <w:lang w:eastAsia="ru-RU"/>
              </w:rPr>
              <w:t xml:space="preserve"> принадлежащий на праве оперативного управления НРМБУ ДО "ДШИ им. Г.С. Райшева" передан в оперативное управление НРМОБУ «Салымская СОШ № 1».</w:t>
            </w:r>
          </w:p>
        </w:tc>
      </w:tr>
      <w:tr w:rsidR="00154BB3" w:rsidRPr="00403E44" w14:paraId="3BFB2380" w14:textId="77777777" w:rsidTr="00520125">
        <w:trPr>
          <w:trHeight w:val="1500"/>
        </w:trPr>
        <w:tc>
          <w:tcPr>
            <w:tcW w:w="1418" w:type="dxa"/>
            <w:vMerge/>
            <w:vAlign w:val="center"/>
            <w:hideMark/>
          </w:tcPr>
          <w:p w14:paraId="0874264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AEDCF3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993" w:type="dxa"/>
            <w:shd w:val="clear" w:color="auto" w:fill="auto"/>
            <w:hideMark/>
          </w:tcPr>
          <w:p w14:paraId="4032F46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7DD7E13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21</w:t>
            </w:r>
          </w:p>
        </w:tc>
        <w:tc>
          <w:tcPr>
            <w:tcW w:w="992" w:type="dxa"/>
            <w:shd w:val="clear" w:color="000000" w:fill="D7D7D7"/>
            <w:noWrap/>
            <w:hideMark/>
          </w:tcPr>
          <w:p w14:paraId="5DE8299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E8F5BD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CC341D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9C19CC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3A9AAE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6F0D795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2F4E54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80BE91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На территории Нефтеюганского района отсутствуют </w:t>
            </w:r>
            <w:proofErr w:type="gramStart"/>
            <w:r w:rsidRPr="00600B72">
              <w:rPr>
                <w:rFonts w:ascii="Times New Roman" w:eastAsia="Times New Roman" w:hAnsi="Times New Roman" w:cs="Times New Roman"/>
                <w:sz w:val="16"/>
                <w:szCs w:val="16"/>
                <w:lang w:eastAsia="ru-RU"/>
              </w:rPr>
              <w:t>объекты культурного наследия</w:t>
            </w:r>
            <w:proofErr w:type="gramEnd"/>
            <w:r w:rsidRPr="00600B72">
              <w:rPr>
                <w:rFonts w:ascii="Times New Roman" w:eastAsia="Times New Roman" w:hAnsi="Times New Roman" w:cs="Times New Roman"/>
                <w:sz w:val="16"/>
                <w:szCs w:val="16"/>
                <w:lang w:eastAsia="ru-RU"/>
              </w:rPr>
              <w:t xml:space="preserve"> находящиеся в муниципальной собственности (муниципальном реестре).</w:t>
            </w:r>
          </w:p>
        </w:tc>
      </w:tr>
      <w:tr w:rsidR="00154BB3" w:rsidRPr="00403E44" w14:paraId="7AF4B2BC" w14:textId="77777777" w:rsidTr="00520125">
        <w:trPr>
          <w:trHeight w:val="900"/>
        </w:trPr>
        <w:tc>
          <w:tcPr>
            <w:tcW w:w="1418" w:type="dxa"/>
            <w:vMerge/>
            <w:vAlign w:val="center"/>
            <w:hideMark/>
          </w:tcPr>
          <w:p w14:paraId="2C8DCC2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6DDC82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объектов культурного наследия, находящихся в муниципальной собственности и требующих консервации или реставрации</w:t>
            </w:r>
          </w:p>
        </w:tc>
        <w:tc>
          <w:tcPr>
            <w:tcW w:w="993" w:type="dxa"/>
            <w:shd w:val="clear" w:color="auto" w:fill="auto"/>
            <w:hideMark/>
          </w:tcPr>
          <w:p w14:paraId="1554BE7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6F1C82F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21.1</w:t>
            </w:r>
          </w:p>
        </w:tc>
        <w:tc>
          <w:tcPr>
            <w:tcW w:w="992" w:type="dxa"/>
            <w:shd w:val="clear" w:color="000000" w:fill="D7D7D7"/>
            <w:noWrap/>
            <w:hideMark/>
          </w:tcPr>
          <w:p w14:paraId="33D961D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58AADB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43681E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A220E2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786A1F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3300AE3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C27546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BDD117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На территории Нефтеюганского района отсутствуют </w:t>
            </w:r>
            <w:proofErr w:type="gramStart"/>
            <w:r w:rsidRPr="00600B72">
              <w:rPr>
                <w:rFonts w:ascii="Times New Roman" w:eastAsia="Times New Roman" w:hAnsi="Times New Roman" w:cs="Times New Roman"/>
                <w:sz w:val="16"/>
                <w:szCs w:val="16"/>
                <w:lang w:eastAsia="ru-RU"/>
              </w:rPr>
              <w:t>объекты культурного наследия</w:t>
            </w:r>
            <w:proofErr w:type="gramEnd"/>
            <w:r w:rsidRPr="00600B72">
              <w:rPr>
                <w:rFonts w:ascii="Times New Roman" w:eastAsia="Times New Roman" w:hAnsi="Times New Roman" w:cs="Times New Roman"/>
                <w:sz w:val="16"/>
                <w:szCs w:val="16"/>
                <w:lang w:eastAsia="ru-RU"/>
              </w:rPr>
              <w:t xml:space="preserve"> находящиеся в муниципальной собственности (муниципальном реестре).</w:t>
            </w:r>
          </w:p>
        </w:tc>
      </w:tr>
      <w:tr w:rsidR="00154BB3" w:rsidRPr="00403E44" w14:paraId="04CEC76A" w14:textId="77777777" w:rsidTr="00520125">
        <w:trPr>
          <w:trHeight w:val="2100"/>
        </w:trPr>
        <w:tc>
          <w:tcPr>
            <w:tcW w:w="1418" w:type="dxa"/>
            <w:vMerge/>
            <w:vAlign w:val="center"/>
            <w:hideMark/>
          </w:tcPr>
          <w:p w14:paraId="1879DDB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63AB1D6"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объектов культурного наследия, находящихся в муниципальной собственности всего</w:t>
            </w:r>
          </w:p>
        </w:tc>
        <w:tc>
          <w:tcPr>
            <w:tcW w:w="993" w:type="dxa"/>
            <w:shd w:val="clear" w:color="auto" w:fill="auto"/>
            <w:hideMark/>
          </w:tcPr>
          <w:p w14:paraId="64C50CB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7686E97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21.2</w:t>
            </w:r>
          </w:p>
        </w:tc>
        <w:tc>
          <w:tcPr>
            <w:tcW w:w="992" w:type="dxa"/>
            <w:shd w:val="clear" w:color="000000" w:fill="D7D7D7"/>
            <w:noWrap/>
            <w:hideMark/>
          </w:tcPr>
          <w:p w14:paraId="30B700D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77A777E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EAF4C7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615DED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012444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77D1584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533FCB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26722A55" w14:textId="3AAD2B3F" w:rsidR="00154BB3" w:rsidRPr="00BC5AF2" w:rsidRDefault="001126E0" w:rsidP="00154BB3">
            <w:pPr>
              <w:spacing w:after="0" w:line="240" w:lineRule="auto"/>
              <w:rPr>
                <w:rFonts w:ascii="Times New Roman" w:eastAsia="Times New Roman" w:hAnsi="Times New Roman" w:cs="Times New Roman"/>
                <w:color w:val="00B050"/>
                <w:sz w:val="15"/>
                <w:szCs w:val="15"/>
                <w:lang w:eastAsia="ru-RU"/>
              </w:rPr>
            </w:pPr>
            <w:r w:rsidRPr="001126E0">
              <w:rPr>
                <w:rFonts w:ascii="Times New Roman" w:eastAsia="Times New Roman" w:hAnsi="Times New Roman" w:cs="Times New Roman"/>
                <w:sz w:val="15"/>
                <w:szCs w:val="15"/>
                <w:lang w:eastAsia="ru-RU"/>
              </w:rPr>
              <w:t>На территории Нефтеюганского района отсутствуют объекты культурного наследия</w:t>
            </w:r>
            <w:r>
              <w:rPr>
                <w:rFonts w:ascii="Times New Roman" w:eastAsia="Times New Roman" w:hAnsi="Times New Roman" w:cs="Times New Roman"/>
                <w:sz w:val="15"/>
                <w:szCs w:val="15"/>
                <w:lang w:eastAsia="ru-RU"/>
              </w:rPr>
              <w:t>,</w:t>
            </w:r>
            <w:r w:rsidRPr="001126E0">
              <w:rPr>
                <w:rFonts w:ascii="Times New Roman" w:eastAsia="Times New Roman" w:hAnsi="Times New Roman" w:cs="Times New Roman"/>
                <w:sz w:val="15"/>
                <w:szCs w:val="15"/>
                <w:lang w:eastAsia="ru-RU"/>
              </w:rPr>
              <w:t xml:space="preserve"> находящиеся в муниципальной собственности (муниципальном реестре). На территории района располагаются 5 объектов регионального значения и 220 объектов федерального значения, в отношении которых полномочия принадлежат службе государственной охраны объектов </w:t>
            </w:r>
            <w:r w:rsidRPr="001126E0">
              <w:rPr>
                <w:rFonts w:ascii="Times New Roman" w:eastAsia="Times New Roman" w:hAnsi="Times New Roman" w:cs="Times New Roman"/>
                <w:sz w:val="15"/>
                <w:szCs w:val="15"/>
                <w:lang w:eastAsia="ru-RU"/>
              </w:rPr>
              <w:lastRenderedPageBreak/>
              <w:t>культурного наследия ХМАО-Югры.</w:t>
            </w:r>
          </w:p>
        </w:tc>
      </w:tr>
      <w:tr w:rsidR="00154BB3" w:rsidRPr="00403E44" w14:paraId="2966DA72" w14:textId="77777777" w:rsidTr="00520125">
        <w:trPr>
          <w:trHeight w:val="3000"/>
        </w:trPr>
        <w:tc>
          <w:tcPr>
            <w:tcW w:w="1418" w:type="dxa"/>
            <w:vMerge w:val="restart"/>
            <w:shd w:val="clear" w:color="auto" w:fill="auto"/>
            <w:hideMark/>
          </w:tcPr>
          <w:p w14:paraId="0BC4DA65" w14:textId="77777777" w:rsidR="00154BB3" w:rsidRPr="009A4B00" w:rsidRDefault="00154BB3" w:rsidP="00154BB3">
            <w:pPr>
              <w:spacing w:after="0" w:line="240" w:lineRule="auto"/>
              <w:rPr>
                <w:rFonts w:ascii="Times New Roman" w:eastAsia="Times New Roman" w:hAnsi="Times New Roman" w:cs="Times New Roman"/>
                <w:color w:val="00B050"/>
                <w:sz w:val="16"/>
                <w:szCs w:val="16"/>
                <w:lang w:eastAsia="ru-RU"/>
              </w:rPr>
            </w:pPr>
            <w:r w:rsidRPr="00653183">
              <w:rPr>
                <w:rFonts w:ascii="Times New Roman" w:eastAsia="Times New Roman" w:hAnsi="Times New Roman" w:cs="Times New Roman"/>
                <w:sz w:val="16"/>
                <w:szCs w:val="16"/>
                <w:lang w:eastAsia="ru-RU"/>
              </w:rPr>
              <w:lastRenderedPageBreak/>
              <w:t>Физическая культура и спорт</w:t>
            </w:r>
          </w:p>
        </w:tc>
        <w:tc>
          <w:tcPr>
            <w:tcW w:w="2268" w:type="dxa"/>
            <w:shd w:val="clear" w:color="auto" w:fill="auto"/>
            <w:hideMark/>
          </w:tcPr>
          <w:p w14:paraId="19FB009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населения, систематически занимающегося физической культурой и спортом</w:t>
            </w:r>
          </w:p>
        </w:tc>
        <w:tc>
          <w:tcPr>
            <w:tcW w:w="993" w:type="dxa"/>
            <w:shd w:val="clear" w:color="auto" w:fill="auto"/>
            <w:hideMark/>
          </w:tcPr>
          <w:p w14:paraId="4D52D85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7E42EEA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w:t>
            </w:r>
          </w:p>
        </w:tc>
        <w:tc>
          <w:tcPr>
            <w:tcW w:w="992" w:type="dxa"/>
            <w:shd w:val="clear" w:color="000000" w:fill="D7D7D7"/>
            <w:noWrap/>
            <w:hideMark/>
          </w:tcPr>
          <w:p w14:paraId="68CB57F5" w14:textId="37B756B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40,8</w:t>
            </w:r>
          </w:p>
        </w:tc>
        <w:tc>
          <w:tcPr>
            <w:tcW w:w="993" w:type="dxa"/>
            <w:shd w:val="clear" w:color="000000" w:fill="D7D7D7"/>
            <w:noWrap/>
            <w:hideMark/>
          </w:tcPr>
          <w:p w14:paraId="5BFA4E9C" w14:textId="4EC3D54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49,0</w:t>
            </w:r>
          </w:p>
        </w:tc>
        <w:tc>
          <w:tcPr>
            <w:tcW w:w="992" w:type="dxa"/>
            <w:shd w:val="clear" w:color="000000" w:fill="D7D7D7"/>
            <w:noWrap/>
            <w:hideMark/>
          </w:tcPr>
          <w:p w14:paraId="2CA69323" w14:textId="15A3DB1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51,9</w:t>
            </w:r>
          </w:p>
        </w:tc>
        <w:tc>
          <w:tcPr>
            <w:tcW w:w="992" w:type="dxa"/>
            <w:shd w:val="clear" w:color="000000" w:fill="D7D7D7"/>
            <w:noWrap/>
            <w:hideMark/>
          </w:tcPr>
          <w:p w14:paraId="0D675EBD" w14:textId="4CC83B0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55,5</w:t>
            </w:r>
          </w:p>
        </w:tc>
        <w:tc>
          <w:tcPr>
            <w:tcW w:w="992" w:type="dxa"/>
            <w:shd w:val="clear" w:color="000000" w:fill="D7D7D7"/>
            <w:noWrap/>
            <w:hideMark/>
          </w:tcPr>
          <w:p w14:paraId="51AA34E7" w14:textId="7CCEFCF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57,0</w:t>
            </w:r>
          </w:p>
        </w:tc>
        <w:tc>
          <w:tcPr>
            <w:tcW w:w="993" w:type="dxa"/>
            <w:shd w:val="clear" w:color="000000" w:fill="D7D7D7"/>
            <w:noWrap/>
            <w:hideMark/>
          </w:tcPr>
          <w:p w14:paraId="09BC5D42" w14:textId="34CA3EF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61,0</w:t>
            </w:r>
          </w:p>
        </w:tc>
        <w:tc>
          <w:tcPr>
            <w:tcW w:w="992" w:type="dxa"/>
            <w:shd w:val="clear" w:color="000000" w:fill="D7D7D7"/>
            <w:noWrap/>
            <w:hideMark/>
          </w:tcPr>
          <w:p w14:paraId="1A52709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61,0</w:t>
            </w:r>
          </w:p>
        </w:tc>
        <w:tc>
          <w:tcPr>
            <w:tcW w:w="2551" w:type="dxa"/>
            <w:shd w:val="clear" w:color="auto" w:fill="auto"/>
            <w:hideMark/>
          </w:tcPr>
          <w:p w14:paraId="67B51801" w14:textId="1FBE0936" w:rsidR="00154BB3" w:rsidRPr="00600B72" w:rsidRDefault="00154BB3" w:rsidP="00154BB3">
            <w:pPr>
              <w:spacing w:after="0" w:line="240" w:lineRule="auto"/>
              <w:rPr>
                <w:rFonts w:ascii="Times New Roman" w:eastAsia="Times New Roman" w:hAnsi="Times New Roman" w:cs="Times New Roman"/>
                <w:sz w:val="15"/>
                <w:szCs w:val="15"/>
                <w:lang w:eastAsia="ru-RU"/>
              </w:rPr>
            </w:pPr>
            <w:r w:rsidRPr="00600B72">
              <w:rPr>
                <w:rFonts w:ascii="Times New Roman" w:eastAsia="Times New Roman" w:hAnsi="Times New Roman" w:cs="Times New Roman"/>
                <w:sz w:val="15"/>
                <w:szCs w:val="15"/>
                <w:lang w:eastAsia="ru-RU"/>
              </w:rPr>
              <w:t xml:space="preserve">В целях привлечения жителей района к регулярным занятиям физической культурой и спортом, пропаганды здорового образа жизни, повышения уровня их физической подготовленности и спортивного мастерства в 2023 году в поселениях района проводились мероприятия: Первенство сельского поселения Салым по мини-футболу, приуроченные к «Дню Российского флага»; Интернет – турнир Нефтеюганского района по шахматам на базе интернет-портала chessking; в СК сп.Сентябрьский проходил турнир по боксу «От новичка до мастера», "День Здоровья", спортивно-массовые и физкультурно-оздоровительные мероприятия, приуроченные к праздничным датам, в том числе к Всероссийским спортивном праздникам: "Лыжня России-2023" "Кросс наций - 2023", Открытое первенство Нефтеюганского района по гонкам на обласах, Международный турнир по вольной борьбе. Ежегодно в рамках муниципального проекта «Крепкое здоровье крепкий район» проводятся районные мероприятия по 12 видам спорта в зачет Спартакиады трудящихся Нефтеюганского района "За здоровый образ жизни 2023", по итогам, которой награждается переходным кубком </w:t>
            </w:r>
            <w:proofErr w:type="gramStart"/>
            <w:r w:rsidRPr="00600B72">
              <w:rPr>
                <w:rFonts w:ascii="Times New Roman" w:eastAsia="Times New Roman" w:hAnsi="Times New Roman" w:cs="Times New Roman"/>
                <w:sz w:val="15"/>
                <w:szCs w:val="15"/>
                <w:lang w:eastAsia="ru-RU"/>
              </w:rPr>
              <w:t>сельское или городское поселение</w:t>
            </w:r>
            <w:proofErr w:type="gramEnd"/>
            <w:r w:rsidRPr="00600B72">
              <w:rPr>
                <w:rFonts w:ascii="Times New Roman" w:eastAsia="Times New Roman" w:hAnsi="Times New Roman" w:cs="Times New Roman"/>
                <w:sz w:val="15"/>
                <w:szCs w:val="15"/>
                <w:lang w:eastAsia="ru-RU"/>
              </w:rPr>
              <w:t xml:space="preserve"> победившее в общем зачете. За 2023 год проведено 7 мероприятий с </w:t>
            </w:r>
            <w:r w:rsidRPr="00600B72">
              <w:rPr>
                <w:rFonts w:ascii="Times New Roman" w:eastAsia="Times New Roman" w:hAnsi="Times New Roman" w:cs="Times New Roman"/>
                <w:sz w:val="15"/>
                <w:szCs w:val="15"/>
                <w:lang w:eastAsia="ru-RU"/>
              </w:rPr>
              <w:lastRenderedPageBreak/>
              <w:t>участием 327 человек. Проведено открытое XVIII лично-командное первенство Нефтеюганского района «Регата 2023». За 2023 год проведено 192 спортивно-массовых мероприятий (в том числе выезды на соревнования окружного, всероссийского и международного уровней, участия сборной команды, проведение спортивно-массовых и физкультурно-оздоровительных мероприятий, проведенных в поселениях района) с участием                   5 157 человек, в том числе более              2 930 детей и подростков. Кроме того, в 2023 году введены в эксплуатацию 2 плоскостных сооружений: площадка для тренировок и сдачи норм ВФСК ГТО сп.Сингапай, площадка круглогодичного использования в сп.Лемпино.</w:t>
            </w:r>
          </w:p>
        </w:tc>
      </w:tr>
      <w:tr w:rsidR="000200E0" w:rsidRPr="00403E44" w14:paraId="1B7E9A64" w14:textId="77777777" w:rsidTr="00520125">
        <w:trPr>
          <w:trHeight w:val="438"/>
        </w:trPr>
        <w:tc>
          <w:tcPr>
            <w:tcW w:w="1418" w:type="dxa"/>
            <w:vMerge/>
            <w:vAlign w:val="center"/>
            <w:hideMark/>
          </w:tcPr>
          <w:p w14:paraId="69D71975" w14:textId="77777777" w:rsidR="000200E0" w:rsidRPr="00FA0EA7" w:rsidRDefault="000200E0" w:rsidP="000200E0">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BF899BB" w14:textId="77777777" w:rsidR="000200E0" w:rsidRPr="00600B72" w:rsidRDefault="000200E0" w:rsidP="000200E0">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лиц, систематически занимающихся физической культурой и спортом</w:t>
            </w:r>
          </w:p>
        </w:tc>
        <w:tc>
          <w:tcPr>
            <w:tcW w:w="993" w:type="dxa"/>
            <w:shd w:val="clear" w:color="auto" w:fill="auto"/>
            <w:hideMark/>
          </w:tcPr>
          <w:p w14:paraId="0B2EA149" w14:textId="77777777" w:rsidR="000200E0" w:rsidRPr="00600B72" w:rsidRDefault="000200E0" w:rsidP="000200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16EE14DC" w14:textId="77777777" w:rsidR="000200E0" w:rsidRPr="00600B72" w:rsidRDefault="000200E0" w:rsidP="000200E0">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22.1</w:t>
            </w:r>
          </w:p>
        </w:tc>
        <w:tc>
          <w:tcPr>
            <w:tcW w:w="992" w:type="dxa"/>
            <w:shd w:val="clear" w:color="000000" w:fill="D7D7D7"/>
            <w:noWrap/>
            <w:hideMark/>
          </w:tcPr>
          <w:p w14:paraId="46A2FD42" w14:textId="00CAA400"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17 539,0</w:t>
            </w:r>
          </w:p>
        </w:tc>
        <w:tc>
          <w:tcPr>
            <w:tcW w:w="993" w:type="dxa"/>
            <w:shd w:val="clear" w:color="000000" w:fill="D7D7D7"/>
            <w:noWrap/>
            <w:hideMark/>
          </w:tcPr>
          <w:p w14:paraId="75DAB5CC" w14:textId="64EAA29B"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21 212,0</w:t>
            </w:r>
          </w:p>
        </w:tc>
        <w:tc>
          <w:tcPr>
            <w:tcW w:w="992" w:type="dxa"/>
            <w:shd w:val="clear" w:color="000000" w:fill="D7D7D7"/>
            <w:noWrap/>
            <w:hideMark/>
          </w:tcPr>
          <w:p w14:paraId="627D57BB" w14:textId="2B17BE81"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23 370,0</w:t>
            </w:r>
          </w:p>
        </w:tc>
        <w:tc>
          <w:tcPr>
            <w:tcW w:w="992" w:type="dxa"/>
            <w:shd w:val="clear" w:color="000000" w:fill="D7D7D7"/>
            <w:noWrap/>
            <w:hideMark/>
          </w:tcPr>
          <w:p w14:paraId="7D9B8E40" w14:textId="12C7237A"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25 199,0</w:t>
            </w:r>
          </w:p>
        </w:tc>
        <w:tc>
          <w:tcPr>
            <w:tcW w:w="992" w:type="dxa"/>
            <w:shd w:val="clear" w:color="auto" w:fill="auto"/>
            <w:noWrap/>
            <w:hideMark/>
          </w:tcPr>
          <w:p w14:paraId="53AD2DFA" w14:textId="463D388D"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25 890,0</w:t>
            </w:r>
          </w:p>
        </w:tc>
        <w:tc>
          <w:tcPr>
            <w:tcW w:w="993" w:type="dxa"/>
            <w:shd w:val="clear" w:color="auto" w:fill="auto"/>
            <w:noWrap/>
            <w:hideMark/>
          </w:tcPr>
          <w:p w14:paraId="35C9AC0F" w14:textId="0B974712"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27 700,0</w:t>
            </w:r>
          </w:p>
        </w:tc>
        <w:tc>
          <w:tcPr>
            <w:tcW w:w="992" w:type="dxa"/>
            <w:shd w:val="clear" w:color="auto" w:fill="auto"/>
            <w:noWrap/>
            <w:hideMark/>
          </w:tcPr>
          <w:p w14:paraId="14DA85EE" w14:textId="747BA26F" w:rsidR="000200E0" w:rsidRPr="00600B72" w:rsidRDefault="000200E0" w:rsidP="000200E0">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27 700,0</w:t>
            </w:r>
          </w:p>
        </w:tc>
        <w:tc>
          <w:tcPr>
            <w:tcW w:w="2551" w:type="dxa"/>
            <w:shd w:val="clear" w:color="auto" w:fill="auto"/>
            <w:hideMark/>
          </w:tcPr>
          <w:p w14:paraId="1E50C412" w14:textId="5870D87F" w:rsidR="000200E0" w:rsidRPr="00FA0EA7" w:rsidRDefault="000200E0" w:rsidP="000200E0">
            <w:pPr>
              <w:spacing w:after="0" w:line="240" w:lineRule="auto"/>
              <w:rPr>
                <w:rFonts w:ascii="Times New Roman" w:eastAsia="Times New Roman" w:hAnsi="Times New Roman" w:cs="Times New Roman"/>
                <w:color w:val="000000"/>
                <w:sz w:val="15"/>
                <w:szCs w:val="15"/>
                <w:lang w:eastAsia="ru-RU"/>
              </w:rPr>
            </w:pPr>
            <w:r w:rsidRPr="00E6353A">
              <w:rPr>
                <w:rFonts w:ascii="Times New Roman" w:eastAsia="Times New Roman" w:hAnsi="Times New Roman" w:cs="Times New Roman"/>
                <w:sz w:val="15"/>
                <w:szCs w:val="15"/>
                <w:lang w:eastAsia="ru-RU"/>
              </w:rPr>
              <w:t xml:space="preserve">В поселениях района организована плановая работа по развитию физической культуры и спорта. Спортивно-массовые, </w:t>
            </w:r>
            <w:proofErr w:type="gramStart"/>
            <w:r w:rsidRPr="00E6353A">
              <w:rPr>
                <w:rFonts w:ascii="Times New Roman" w:eastAsia="Times New Roman" w:hAnsi="Times New Roman" w:cs="Times New Roman"/>
                <w:sz w:val="15"/>
                <w:szCs w:val="15"/>
                <w:lang w:eastAsia="ru-RU"/>
              </w:rPr>
              <w:t>он-лайн</w:t>
            </w:r>
            <w:proofErr w:type="gramEnd"/>
            <w:r w:rsidRPr="00E6353A">
              <w:rPr>
                <w:rFonts w:ascii="Times New Roman" w:eastAsia="Times New Roman" w:hAnsi="Times New Roman" w:cs="Times New Roman"/>
                <w:sz w:val="15"/>
                <w:szCs w:val="15"/>
                <w:lang w:eastAsia="ru-RU"/>
              </w:rPr>
              <w:t>, офф-лайн, и физкультурно-оздоровительные мероприятия проводятся в соответствии с календарными планами поселений и общим календарным планом БУНР «ЦСК</w:t>
            </w:r>
            <w:r>
              <w:rPr>
                <w:rFonts w:ascii="Times New Roman" w:eastAsia="Times New Roman" w:hAnsi="Times New Roman" w:cs="Times New Roman"/>
                <w:sz w:val="15"/>
                <w:szCs w:val="15"/>
                <w:lang w:eastAsia="ru-RU"/>
              </w:rPr>
              <w:t>»</w:t>
            </w:r>
            <w:r w:rsidRPr="00E6353A">
              <w:rPr>
                <w:rFonts w:ascii="Times New Roman" w:eastAsia="Times New Roman" w:hAnsi="Times New Roman" w:cs="Times New Roman"/>
                <w:sz w:val="15"/>
                <w:szCs w:val="15"/>
                <w:lang w:eastAsia="ru-RU"/>
              </w:rPr>
              <w:t xml:space="preserve">, использование базы образовательных школ, для занятий взрослого населения, привлечение максимального количества населения на турниковые комплексы "Стрит-Воркаут". Проводятся отборочные поселковые соревнования с целью формирования сборной команды поселений для участия в районной Спартакиаде трудящихся Нефтеюганского района "За здоровый образ жизни" (по 12 видам спорта), а также </w:t>
            </w:r>
            <w:r w:rsidRPr="00600B72">
              <w:rPr>
                <w:rFonts w:ascii="Times New Roman" w:eastAsia="Times New Roman" w:hAnsi="Times New Roman" w:cs="Times New Roman"/>
                <w:sz w:val="15"/>
                <w:szCs w:val="15"/>
                <w:lang w:eastAsia="ru-RU"/>
              </w:rPr>
              <w:t xml:space="preserve">за счет ввода в эксплуатацию 2 плоскостных сооружений: площадка для тренировок и сдачи норм ВФСК ГТО </w:t>
            </w:r>
            <w:proofErr w:type="spellStart"/>
            <w:r w:rsidRPr="00600B72">
              <w:rPr>
                <w:rFonts w:ascii="Times New Roman" w:eastAsia="Times New Roman" w:hAnsi="Times New Roman" w:cs="Times New Roman"/>
                <w:sz w:val="15"/>
                <w:szCs w:val="15"/>
                <w:lang w:eastAsia="ru-RU"/>
              </w:rPr>
              <w:t>сп.Сингапай</w:t>
            </w:r>
            <w:proofErr w:type="spellEnd"/>
            <w:r w:rsidRPr="00600B72">
              <w:rPr>
                <w:rFonts w:ascii="Times New Roman" w:eastAsia="Times New Roman" w:hAnsi="Times New Roman" w:cs="Times New Roman"/>
                <w:sz w:val="15"/>
                <w:szCs w:val="15"/>
                <w:lang w:eastAsia="ru-RU"/>
              </w:rPr>
              <w:t xml:space="preserve">, площадка круглогодичного использования в </w:t>
            </w:r>
            <w:proofErr w:type="spellStart"/>
            <w:r w:rsidRPr="00600B72">
              <w:rPr>
                <w:rFonts w:ascii="Times New Roman" w:eastAsia="Times New Roman" w:hAnsi="Times New Roman" w:cs="Times New Roman"/>
                <w:sz w:val="15"/>
                <w:szCs w:val="15"/>
                <w:lang w:eastAsia="ru-RU"/>
              </w:rPr>
              <w:t>сп.Лемпино</w:t>
            </w:r>
            <w:proofErr w:type="spellEnd"/>
            <w:r w:rsidRPr="00600B72">
              <w:rPr>
                <w:rFonts w:ascii="Times New Roman" w:eastAsia="Times New Roman" w:hAnsi="Times New Roman" w:cs="Times New Roman"/>
                <w:sz w:val="15"/>
                <w:szCs w:val="15"/>
                <w:lang w:eastAsia="ru-RU"/>
              </w:rPr>
              <w:t>.</w:t>
            </w:r>
          </w:p>
        </w:tc>
      </w:tr>
      <w:tr w:rsidR="00154BB3" w:rsidRPr="00403E44" w14:paraId="5D9A3B5E" w14:textId="77777777" w:rsidTr="00AD1204">
        <w:trPr>
          <w:trHeight w:val="1800"/>
        </w:trPr>
        <w:tc>
          <w:tcPr>
            <w:tcW w:w="1418" w:type="dxa"/>
            <w:vMerge/>
            <w:vAlign w:val="center"/>
            <w:hideMark/>
          </w:tcPr>
          <w:p w14:paraId="604D8F5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A8207B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населения в возрасте 3-79 лет на 1 января отчетного года</w:t>
            </w:r>
          </w:p>
        </w:tc>
        <w:tc>
          <w:tcPr>
            <w:tcW w:w="993" w:type="dxa"/>
            <w:shd w:val="clear" w:color="auto" w:fill="auto"/>
            <w:hideMark/>
          </w:tcPr>
          <w:p w14:paraId="096E563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68EE3CF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22.2</w:t>
            </w:r>
          </w:p>
        </w:tc>
        <w:tc>
          <w:tcPr>
            <w:tcW w:w="992" w:type="dxa"/>
            <w:shd w:val="clear" w:color="000000" w:fill="D7D7D7"/>
            <w:noWrap/>
            <w:hideMark/>
          </w:tcPr>
          <w:p w14:paraId="16A4D5E6" w14:textId="6E3F8B2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42 982,0</w:t>
            </w:r>
          </w:p>
        </w:tc>
        <w:tc>
          <w:tcPr>
            <w:tcW w:w="993" w:type="dxa"/>
            <w:shd w:val="clear" w:color="000000" w:fill="D7D7D7"/>
            <w:noWrap/>
            <w:hideMark/>
          </w:tcPr>
          <w:p w14:paraId="4CAEA50E" w14:textId="494493C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43 303,0</w:t>
            </w:r>
          </w:p>
        </w:tc>
        <w:tc>
          <w:tcPr>
            <w:tcW w:w="992" w:type="dxa"/>
            <w:shd w:val="clear" w:color="000000" w:fill="D7D7D7"/>
            <w:noWrap/>
            <w:hideMark/>
          </w:tcPr>
          <w:p w14:paraId="62FEF562" w14:textId="5F02881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45 014,0</w:t>
            </w:r>
          </w:p>
        </w:tc>
        <w:tc>
          <w:tcPr>
            <w:tcW w:w="992" w:type="dxa"/>
            <w:shd w:val="clear" w:color="000000" w:fill="D7D7D7"/>
            <w:noWrap/>
            <w:hideMark/>
          </w:tcPr>
          <w:p w14:paraId="6A188EA2" w14:textId="1BEAFA8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45 430,0</w:t>
            </w:r>
          </w:p>
        </w:tc>
        <w:tc>
          <w:tcPr>
            <w:tcW w:w="992" w:type="dxa"/>
            <w:shd w:val="clear" w:color="auto" w:fill="auto"/>
            <w:noWrap/>
            <w:hideMark/>
          </w:tcPr>
          <w:p w14:paraId="4B24DB7B" w14:textId="2E74E76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45 395,0</w:t>
            </w:r>
          </w:p>
        </w:tc>
        <w:tc>
          <w:tcPr>
            <w:tcW w:w="993" w:type="dxa"/>
            <w:shd w:val="clear" w:color="auto" w:fill="auto"/>
            <w:noWrap/>
            <w:hideMark/>
          </w:tcPr>
          <w:p w14:paraId="6004D679" w14:textId="0342CF8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45 395,0</w:t>
            </w:r>
          </w:p>
        </w:tc>
        <w:tc>
          <w:tcPr>
            <w:tcW w:w="992" w:type="dxa"/>
            <w:shd w:val="clear" w:color="auto" w:fill="auto"/>
            <w:noWrap/>
            <w:hideMark/>
          </w:tcPr>
          <w:p w14:paraId="34A4C32A" w14:textId="6206DFA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45 395,0</w:t>
            </w:r>
          </w:p>
        </w:tc>
        <w:tc>
          <w:tcPr>
            <w:tcW w:w="2551" w:type="dxa"/>
            <w:shd w:val="clear" w:color="auto" w:fill="auto"/>
            <w:hideMark/>
          </w:tcPr>
          <w:p w14:paraId="5DF365EE" w14:textId="40CE45F2"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Значение показателя отражено в соответствии со статистическими данными естественного и миграционного оттока населения района за январь-декабрь 2023 года согласно данным сайта Федеральной службы информационной статистики (http://www.gks.ru/dbscripts/munst/munst71/DBInet.cgi#1). </w:t>
            </w:r>
          </w:p>
        </w:tc>
      </w:tr>
      <w:tr w:rsidR="00154BB3" w:rsidRPr="00403E44" w14:paraId="4C54CA14" w14:textId="77777777" w:rsidTr="00AD1204">
        <w:trPr>
          <w:trHeight w:val="1800"/>
        </w:trPr>
        <w:tc>
          <w:tcPr>
            <w:tcW w:w="1418" w:type="dxa"/>
            <w:vMerge/>
            <w:vAlign w:val="center"/>
          </w:tcPr>
          <w:p w14:paraId="2D7CAFA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tcPr>
          <w:p w14:paraId="236B1B2B" w14:textId="68BE8EE6"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обучающихся, систематически занимающихся физической культурой и спортом, в общей численности обучающихся</w:t>
            </w:r>
          </w:p>
        </w:tc>
        <w:tc>
          <w:tcPr>
            <w:tcW w:w="993" w:type="dxa"/>
            <w:shd w:val="clear" w:color="auto" w:fill="auto"/>
          </w:tcPr>
          <w:p w14:paraId="5EFE0C5F" w14:textId="717CF88D"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tcPr>
          <w:p w14:paraId="532D8ADA" w14:textId="625821BF"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w:t>
            </w:r>
          </w:p>
        </w:tc>
        <w:tc>
          <w:tcPr>
            <w:tcW w:w="992" w:type="dxa"/>
            <w:shd w:val="clear" w:color="000000" w:fill="D7D7D7"/>
            <w:noWrap/>
          </w:tcPr>
          <w:p w14:paraId="1534AE15" w14:textId="42B9086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84,6</w:t>
            </w:r>
          </w:p>
        </w:tc>
        <w:tc>
          <w:tcPr>
            <w:tcW w:w="993" w:type="dxa"/>
            <w:shd w:val="clear" w:color="000000" w:fill="D7D7D7"/>
            <w:noWrap/>
          </w:tcPr>
          <w:p w14:paraId="210709C9" w14:textId="7DB86F5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89,1</w:t>
            </w:r>
          </w:p>
        </w:tc>
        <w:tc>
          <w:tcPr>
            <w:tcW w:w="992" w:type="dxa"/>
            <w:shd w:val="clear" w:color="000000" w:fill="D7D7D7"/>
            <w:noWrap/>
          </w:tcPr>
          <w:p w14:paraId="260F39AA" w14:textId="39C3145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83,7</w:t>
            </w:r>
          </w:p>
        </w:tc>
        <w:tc>
          <w:tcPr>
            <w:tcW w:w="992" w:type="dxa"/>
            <w:shd w:val="clear" w:color="000000" w:fill="D7D7D7"/>
            <w:noWrap/>
          </w:tcPr>
          <w:p w14:paraId="3123F9D6" w14:textId="2E63E6AE" w:rsidR="00154BB3" w:rsidRPr="00600B72" w:rsidRDefault="005402E5" w:rsidP="00154BB3">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96,4</w:t>
            </w:r>
          </w:p>
        </w:tc>
        <w:tc>
          <w:tcPr>
            <w:tcW w:w="992" w:type="dxa"/>
            <w:shd w:val="clear" w:color="auto" w:fill="auto"/>
            <w:noWrap/>
          </w:tcPr>
          <w:p w14:paraId="4C3460BB" w14:textId="050217A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96,4</w:t>
            </w:r>
          </w:p>
        </w:tc>
        <w:tc>
          <w:tcPr>
            <w:tcW w:w="993" w:type="dxa"/>
            <w:shd w:val="clear" w:color="auto" w:fill="auto"/>
            <w:noWrap/>
          </w:tcPr>
          <w:p w14:paraId="106FC58C" w14:textId="697B536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96,4</w:t>
            </w:r>
          </w:p>
        </w:tc>
        <w:tc>
          <w:tcPr>
            <w:tcW w:w="992" w:type="dxa"/>
            <w:shd w:val="clear" w:color="auto" w:fill="auto"/>
            <w:noWrap/>
          </w:tcPr>
          <w:p w14:paraId="2AFA36A5" w14:textId="196A433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96,4</w:t>
            </w:r>
          </w:p>
        </w:tc>
        <w:tc>
          <w:tcPr>
            <w:tcW w:w="2551" w:type="dxa"/>
            <w:shd w:val="clear" w:color="auto" w:fill="auto"/>
          </w:tcPr>
          <w:p w14:paraId="5C0F26EA" w14:textId="141571B1"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Для поддержания постоянного интереса детей к физкультурным занятиям применяются разнообразные варианты их проведения: занятия по традиционной схеме, занятия, построенные на подвижных играх, круговые тренировки, музыкально-ритмические занятия, сюжетные занятия и другие. Одно из актуальных направлений в работе учителей - работа с одаренными детьми. Олимпиада по предметам, есть одна из форм приобщения подрастающего поколения к развитию устойчивого интереса к ведению здорового образа жизни, выбору жизненного пути. Основными направлениями работы в дошкольных образовательных организациях являются: утренняя гимнастика, гимнастика после сна; физкультминутки и динамические паузы; дыхательная, пальчиковая гимнастика, точеный массаж, гимнастика для глаз; закаливающие мероприятия; физкультурные досуги и праздники, Дни здоровья. Ежегодно в сентябре месяце разрабатывается положение о проведении спартакиады школьников Нефтеюганского района. Данная Спартакиада проходит по шести видам спорта: мини-футбол, баскетбол, </w:t>
            </w:r>
            <w:r w:rsidRPr="00600B72">
              <w:rPr>
                <w:rFonts w:ascii="Times New Roman" w:eastAsia="Times New Roman" w:hAnsi="Times New Roman" w:cs="Times New Roman"/>
                <w:sz w:val="16"/>
                <w:szCs w:val="16"/>
                <w:lang w:eastAsia="ru-RU"/>
              </w:rPr>
              <w:lastRenderedPageBreak/>
              <w:t>волейболу, лыжные гонки, легкая атлетика и настольный теннис. Воспитанники дошкольных учреждений ежегодно принимают участие в районных соревнованиях «Губернаторские состязания», в районных спортивных соревнованиях среди дошкольных организаций Нефтеюганского района. Прогноз на 2024-2026 годы отражен в соответствии с муниципальной программой «Развитие физической культуры и спорта».</w:t>
            </w:r>
          </w:p>
        </w:tc>
      </w:tr>
      <w:tr w:rsidR="00154BB3" w:rsidRPr="00403E44" w14:paraId="52F0CA22" w14:textId="77777777" w:rsidTr="00AD1204">
        <w:trPr>
          <w:trHeight w:val="1800"/>
        </w:trPr>
        <w:tc>
          <w:tcPr>
            <w:tcW w:w="1418" w:type="dxa"/>
            <w:vMerge/>
            <w:vAlign w:val="center"/>
            <w:hideMark/>
          </w:tcPr>
          <w:p w14:paraId="4503EE6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2DD8C2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обучающихся, занимающихся физической культурой и спортом</w:t>
            </w:r>
          </w:p>
        </w:tc>
        <w:tc>
          <w:tcPr>
            <w:tcW w:w="993" w:type="dxa"/>
            <w:shd w:val="clear" w:color="auto" w:fill="auto"/>
            <w:hideMark/>
          </w:tcPr>
          <w:p w14:paraId="4856B0D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0CB584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23.1</w:t>
            </w:r>
          </w:p>
        </w:tc>
        <w:tc>
          <w:tcPr>
            <w:tcW w:w="992" w:type="dxa"/>
            <w:shd w:val="clear" w:color="000000" w:fill="D7D7D7"/>
            <w:noWrap/>
            <w:hideMark/>
          </w:tcPr>
          <w:p w14:paraId="5405DD9A" w14:textId="61944F0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8 102,0</w:t>
            </w:r>
          </w:p>
        </w:tc>
        <w:tc>
          <w:tcPr>
            <w:tcW w:w="993" w:type="dxa"/>
            <w:shd w:val="clear" w:color="000000" w:fill="D7D7D7"/>
            <w:noWrap/>
            <w:hideMark/>
          </w:tcPr>
          <w:p w14:paraId="00133FEE" w14:textId="7EEB82B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8 422,0</w:t>
            </w:r>
          </w:p>
        </w:tc>
        <w:tc>
          <w:tcPr>
            <w:tcW w:w="992" w:type="dxa"/>
            <w:shd w:val="clear" w:color="000000" w:fill="D7D7D7"/>
            <w:noWrap/>
            <w:hideMark/>
          </w:tcPr>
          <w:p w14:paraId="7D883EE9" w14:textId="7CDC148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8 957,0</w:t>
            </w:r>
          </w:p>
        </w:tc>
        <w:tc>
          <w:tcPr>
            <w:tcW w:w="992" w:type="dxa"/>
            <w:shd w:val="clear" w:color="000000" w:fill="D7D7D7"/>
            <w:noWrap/>
            <w:hideMark/>
          </w:tcPr>
          <w:p w14:paraId="6EE26C5A" w14:textId="6B2D96E2" w:rsidR="00154BB3" w:rsidRPr="00600B72" w:rsidRDefault="005402E5" w:rsidP="00154BB3">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10 245,0</w:t>
            </w:r>
          </w:p>
        </w:tc>
        <w:tc>
          <w:tcPr>
            <w:tcW w:w="992" w:type="dxa"/>
            <w:shd w:val="clear" w:color="auto" w:fill="auto"/>
            <w:noWrap/>
            <w:hideMark/>
          </w:tcPr>
          <w:p w14:paraId="7F639BF9" w14:textId="10A1D88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10 245,0</w:t>
            </w:r>
          </w:p>
        </w:tc>
        <w:tc>
          <w:tcPr>
            <w:tcW w:w="993" w:type="dxa"/>
            <w:shd w:val="clear" w:color="auto" w:fill="auto"/>
            <w:noWrap/>
            <w:hideMark/>
          </w:tcPr>
          <w:p w14:paraId="2B639339" w14:textId="5219866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10 245,0</w:t>
            </w:r>
          </w:p>
        </w:tc>
        <w:tc>
          <w:tcPr>
            <w:tcW w:w="992" w:type="dxa"/>
            <w:shd w:val="clear" w:color="auto" w:fill="auto"/>
            <w:noWrap/>
            <w:hideMark/>
          </w:tcPr>
          <w:p w14:paraId="2613BD9C" w14:textId="4587EF0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10 245,0</w:t>
            </w:r>
          </w:p>
        </w:tc>
        <w:tc>
          <w:tcPr>
            <w:tcW w:w="2551" w:type="dxa"/>
            <w:shd w:val="clear" w:color="auto" w:fill="auto"/>
            <w:hideMark/>
          </w:tcPr>
          <w:p w14:paraId="5E5DE396" w14:textId="2C23C382"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600B72">
              <w:rPr>
                <w:rFonts w:ascii="Times New Roman" w:eastAsia="Times New Roman" w:hAnsi="Times New Roman" w:cs="Times New Roman"/>
                <w:sz w:val="16"/>
                <w:szCs w:val="16"/>
                <w:lang w:eastAsia="ru-RU"/>
              </w:rPr>
              <w:t>Данная информация отражена в соответствии со Статистическим отчётом 1-ФК "Сведения о физической культуре и спорте" утверждённого приказом Росстата: об утвержд</w:t>
            </w:r>
            <w:r w:rsidRPr="000200E0">
              <w:rPr>
                <w:rFonts w:ascii="Times New Roman" w:eastAsia="Times New Roman" w:hAnsi="Times New Roman" w:cs="Times New Roman"/>
                <w:sz w:val="16"/>
                <w:szCs w:val="16"/>
                <w:lang w:eastAsia="ru-RU"/>
              </w:rPr>
              <w:t>ении формы от 23.06.2023 №302, раздел 2 "Физкультурно-оздоровительная работа" (сумма значений граф 5 и 6 строки 15).</w:t>
            </w:r>
          </w:p>
        </w:tc>
      </w:tr>
      <w:tr w:rsidR="00154BB3" w:rsidRPr="00403E44" w14:paraId="7B36B92C" w14:textId="77777777" w:rsidTr="00AD1204">
        <w:trPr>
          <w:trHeight w:val="2100"/>
        </w:trPr>
        <w:tc>
          <w:tcPr>
            <w:tcW w:w="1418" w:type="dxa"/>
            <w:vMerge/>
            <w:vAlign w:val="center"/>
            <w:hideMark/>
          </w:tcPr>
          <w:p w14:paraId="7A874F9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406555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Численность населения в возрасте 0-17 лет на 1 января отчетного года (с 2017 года численность населения в возрасте 3-18 лет)</w:t>
            </w:r>
          </w:p>
        </w:tc>
        <w:tc>
          <w:tcPr>
            <w:tcW w:w="993" w:type="dxa"/>
            <w:shd w:val="clear" w:color="auto" w:fill="auto"/>
            <w:hideMark/>
          </w:tcPr>
          <w:p w14:paraId="7205991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5BCEEC0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23.2</w:t>
            </w:r>
          </w:p>
        </w:tc>
        <w:tc>
          <w:tcPr>
            <w:tcW w:w="992" w:type="dxa"/>
            <w:shd w:val="clear" w:color="000000" w:fill="D7D7D7"/>
            <w:noWrap/>
            <w:hideMark/>
          </w:tcPr>
          <w:p w14:paraId="2C42DA16" w14:textId="4E7E1BF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9 577,0</w:t>
            </w:r>
          </w:p>
        </w:tc>
        <w:tc>
          <w:tcPr>
            <w:tcW w:w="993" w:type="dxa"/>
            <w:shd w:val="clear" w:color="000000" w:fill="D7D7D7"/>
            <w:noWrap/>
            <w:hideMark/>
          </w:tcPr>
          <w:p w14:paraId="1BB54148" w14:textId="120588A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9 454,0</w:t>
            </w:r>
          </w:p>
        </w:tc>
        <w:tc>
          <w:tcPr>
            <w:tcW w:w="992" w:type="dxa"/>
            <w:shd w:val="clear" w:color="000000" w:fill="D7D7D7"/>
            <w:noWrap/>
            <w:hideMark/>
          </w:tcPr>
          <w:p w14:paraId="13961EFB" w14:textId="0B62EE0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10 707,0</w:t>
            </w:r>
          </w:p>
        </w:tc>
        <w:tc>
          <w:tcPr>
            <w:tcW w:w="992" w:type="dxa"/>
            <w:shd w:val="clear" w:color="000000" w:fill="D7D7D7"/>
            <w:noWrap/>
            <w:hideMark/>
          </w:tcPr>
          <w:p w14:paraId="012F4307" w14:textId="2670558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10 624,0</w:t>
            </w:r>
          </w:p>
        </w:tc>
        <w:tc>
          <w:tcPr>
            <w:tcW w:w="992" w:type="dxa"/>
            <w:shd w:val="clear" w:color="auto" w:fill="auto"/>
            <w:noWrap/>
            <w:hideMark/>
          </w:tcPr>
          <w:p w14:paraId="0D2B0DBB" w14:textId="6AC30D8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10 624,0</w:t>
            </w:r>
          </w:p>
        </w:tc>
        <w:tc>
          <w:tcPr>
            <w:tcW w:w="993" w:type="dxa"/>
            <w:shd w:val="clear" w:color="auto" w:fill="auto"/>
            <w:noWrap/>
            <w:hideMark/>
          </w:tcPr>
          <w:p w14:paraId="47BA7C87" w14:textId="7D781BC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10 624,0</w:t>
            </w:r>
          </w:p>
        </w:tc>
        <w:tc>
          <w:tcPr>
            <w:tcW w:w="992" w:type="dxa"/>
            <w:shd w:val="clear" w:color="auto" w:fill="auto"/>
            <w:noWrap/>
            <w:hideMark/>
          </w:tcPr>
          <w:p w14:paraId="584811DC" w14:textId="7316C44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10 624,0</w:t>
            </w:r>
          </w:p>
        </w:tc>
        <w:tc>
          <w:tcPr>
            <w:tcW w:w="2551" w:type="dxa"/>
            <w:shd w:val="clear" w:color="auto" w:fill="auto"/>
            <w:hideMark/>
          </w:tcPr>
          <w:p w14:paraId="5FE1F9BD" w14:textId="42BEF98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5A3A56">
              <w:rPr>
                <w:rFonts w:ascii="Times New Roman" w:eastAsia="Times New Roman" w:hAnsi="Times New Roman" w:cs="Times New Roman"/>
                <w:sz w:val="16"/>
                <w:szCs w:val="16"/>
                <w:lang w:eastAsia="ru-RU"/>
              </w:rPr>
              <w:t>Значение показателя отражено в соответствии со статистическими данными естественного и миграционного оттока населения района согласно данным сайта Федеральной службы информационной статистики (http://www.gks.ru/dbscripts/munst/munst71/DBInet.cgi#1). Прогнозный период на уровне 2023 года.</w:t>
            </w:r>
          </w:p>
        </w:tc>
      </w:tr>
      <w:tr w:rsidR="00154BB3" w:rsidRPr="00403E44" w14:paraId="7E3C8286" w14:textId="77777777" w:rsidTr="00AD1204">
        <w:trPr>
          <w:trHeight w:val="900"/>
        </w:trPr>
        <w:tc>
          <w:tcPr>
            <w:tcW w:w="1418" w:type="dxa"/>
            <w:vMerge w:val="restart"/>
            <w:shd w:val="clear" w:color="auto" w:fill="auto"/>
            <w:hideMark/>
          </w:tcPr>
          <w:p w14:paraId="7D6AD44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Жилищное строительство и обеспечение граждан жильем</w:t>
            </w:r>
          </w:p>
        </w:tc>
        <w:tc>
          <w:tcPr>
            <w:tcW w:w="2268" w:type="dxa"/>
            <w:shd w:val="clear" w:color="auto" w:fill="auto"/>
            <w:hideMark/>
          </w:tcPr>
          <w:p w14:paraId="065F8FF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Общая площадь жилых помещений, приходящаяся в среднем на одного жителя, - всего</w:t>
            </w:r>
          </w:p>
        </w:tc>
        <w:tc>
          <w:tcPr>
            <w:tcW w:w="993" w:type="dxa"/>
            <w:shd w:val="clear" w:color="auto" w:fill="auto"/>
            <w:hideMark/>
          </w:tcPr>
          <w:p w14:paraId="1B2322F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2E02347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24</w:t>
            </w:r>
          </w:p>
        </w:tc>
        <w:tc>
          <w:tcPr>
            <w:tcW w:w="992" w:type="dxa"/>
            <w:shd w:val="clear" w:color="000000" w:fill="D7D7D7"/>
            <w:noWrap/>
            <w:hideMark/>
          </w:tcPr>
          <w:p w14:paraId="25A3193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16,8</w:t>
            </w:r>
          </w:p>
        </w:tc>
        <w:tc>
          <w:tcPr>
            <w:tcW w:w="993" w:type="dxa"/>
            <w:shd w:val="clear" w:color="000000" w:fill="D7D7D7"/>
            <w:noWrap/>
            <w:hideMark/>
          </w:tcPr>
          <w:p w14:paraId="7D0BFD7E" w14:textId="33AF749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16,4</w:t>
            </w:r>
          </w:p>
        </w:tc>
        <w:tc>
          <w:tcPr>
            <w:tcW w:w="992" w:type="dxa"/>
            <w:shd w:val="clear" w:color="000000" w:fill="D7D7D7"/>
            <w:noWrap/>
            <w:hideMark/>
          </w:tcPr>
          <w:p w14:paraId="5008BDCA" w14:textId="7E2F5D1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16,0</w:t>
            </w:r>
          </w:p>
        </w:tc>
        <w:tc>
          <w:tcPr>
            <w:tcW w:w="992" w:type="dxa"/>
            <w:shd w:val="clear" w:color="000000" w:fill="D7D7D7"/>
            <w:noWrap/>
            <w:hideMark/>
          </w:tcPr>
          <w:p w14:paraId="7A65C153" w14:textId="41EB83F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16,3</w:t>
            </w:r>
          </w:p>
        </w:tc>
        <w:tc>
          <w:tcPr>
            <w:tcW w:w="992" w:type="dxa"/>
            <w:shd w:val="clear" w:color="auto" w:fill="auto"/>
            <w:noWrap/>
            <w:hideMark/>
          </w:tcPr>
          <w:p w14:paraId="2CB69047" w14:textId="1A39DD2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16,4</w:t>
            </w:r>
          </w:p>
        </w:tc>
        <w:tc>
          <w:tcPr>
            <w:tcW w:w="993" w:type="dxa"/>
            <w:shd w:val="clear" w:color="auto" w:fill="auto"/>
            <w:noWrap/>
            <w:hideMark/>
          </w:tcPr>
          <w:p w14:paraId="72C9C8D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16,4</w:t>
            </w:r>
          </w:p>
        </w:tc>
        <w:tc>
          <w:tcPr>
            <w:tcW w:w="992" w:type="dxa"/>
            <w:shd w:val="clear" w:color="auto" w:fill="auto"/>
            <w:noWrap/>
            <w:hideMark/>
          </w:tcPr>
          <w:p w14:paraId="422A99C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16,4</w:t>
            </w:r>
          </w:p>
        </w:tc>
        <w:tc>
          <w:tcPr>
            <w:tcW w:w="2551" w:type="dxa"/>
            <w:shd w:val="clear" w:color="auto" w:fill="auto"/>
            <w:hideMark/>
          </w:tcPr>
          <w:p w14:paraId="775B2237" w14:textId="12A45089"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Общая площадь жилых помещений на 31.12.2023 составила 770,8 тыс. кв. м. Прогнозный период отражен с учетом планируемого ввода и сноса жилья.</w:t>
            </w:r>
          </w:p>
        </w:tc>
      </w:tr>
      <w:tr w:rsidR="00154BB3" w:rsidRPr="00403E44" w14:paraId="457E7C9C" w14:textId="77777777" w:rsidTr="00AD1204">
        <w:trPr>
          <w:trHeight w:val="600"/>
        </w:trPr>
        <w:tc>
          <w:tcPr>
            <w:tcW w:w="1418" w:type="dxa"/>
            <w:vMerge/>
            <w:vAlign w:val="center"/>
            <w:hideMark/>
          </w:tcPr>
          <w:p w14:paraId="72685A4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85BF23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том числе введено общей площади жилых помещений, приходящаяся в среднем на одного жителя за один год</w:t>
            </w:r>
          </w:p>
        </w:tc>
        <w:tc>
          <w:tcPr>
            <w:tcW w:w="993" w:type="dxa"/>
            <w:shd w:val="clear" w:color="auto" w:fill="auto"/>
            <w:hideMark/>
          </w:tcPr>
          <w:p w14:paraId="6A6715A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0FB63E9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24.1</w:t>
            </w:r>
          </w:p>
        </w:tc>
        <w:tc>
          <w:tcPr>
            <w:tcW w:w="992" w:type="dxa"/>
            <w:shd w:val="clear" w:color="000000" w:fill="D7D7D7"/>
            <w:noWrap/>
            <w:hideMark/>
          </w:tcPr>
          <w:p w14:paraId="5D8C3D63" w14:textId="4591E87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0,5</w:t>
            </w:r>
          </w:p>
        </w:tc>
        <w:tc>
          <w:tcPr>
            <w:tcW w:w="993" w:type="dxa"/>
            <w:shd w:val="clear" w:color="000000" w:fill="D7D7D7"/>
            <w:noWrap/>
            <w:hideMark/>
          </w:tcPr>
          <w:p w14:paraId="681BD59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0,5</w:t>
            </w:r>
          </w:p>
        </w:tc>
        <w:tc>
          <w:tcPr>
            <w:tcW w:w="992" w:type="dxa"/>
            <w:shd w:val="clear" w:color="000000" w:fill="D7D7D7"/>
            <w:noWrap/>
            <w:hideMark/>
          </w:tcPr>
          <w:p w14:paraId="0EDD8E12" w14:textId="1A52FA9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0,9</w:t>
            </w:r>
          </w:p>
        </w:tc>
        <w:tc>
          <w:tcPr>
            <w:tcW w:w="992" w:type="dxa"/>
            <w:shd w:val="clear" w:color="000000" w:fill="D7D7D7"/>
            <w:noWrap/>
            <w:hideMark/>
          </w:tcPr>
          <w:p w14:paraId="64A01351" w14:textId="476BA53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w:t>
            </w:r>
          </w:p>
        </w:tc>
        <w:tc>
          <w:tcPr>
            <w:tcW w:w="992" w:type="dxa"/>
            <w:shd w:val="clear" w:color="auto" w:fill="auto"/>
            <w:noWrap/>
            <w:hideMark/>
          </w:tcPr>
          <w:p w14:paraId="6C11EEE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0,5</w:t>
            </w:r>
          </w:p>
        </w:tc>
        <w:tc>
          <w:tcPr>
            <w:tcW w:w="993" w:type="dxa"/>
            <w:shd w:val="clear" w:color="auto" w:fill="auto"/>
            <w:noWrap/>
            <w:hideMark/>
          </w:tcPr>
          <w:p w14:paraId="0707040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0,5</w:t>
            </w:r>
          </w:p>
        </w:tc>
        <w:tc>
          <w:tcPr>
            <w:tcW w:w="992" w:type="dxa"/>
            <w:shd w:val="clear" w:color="auto" w:fill="auto"/>
            <w:noWrap/>
            <w:hideMark/>
          </w:tcPr>
          <w:p w14:paraId="3331B6B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0,5</w:t>
            </w:r>
          </w:p>
        </w:tc>
        <w:tc>
          <w:tcPr>
            <w:tcW w:w="2551" w:type="dxa"/>
            <w:shd w:val="clear" w:color="auto" w:fill="auto"/>
            <w:hideMark/>
          </w:tcPr>
          <w:p w14:paraId="153C4DB9" w14:textId="46CE2702" w:rsidR="00154BB3" w:rsidRPr="005A3A56" w:rsidRDefault="00154BB3" w:rsidP="00154BB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w:t>
            </w:r>
            <w:r w:rsidRPr="005A3A56">
              <w:rPr>
                <w:rFonts w:ascii="Times New Roman" w:eastAsia="Times New Roman" w:hAnsi="Times New Roman" w:cs="Times New Roman"/>
                <w:sz w:val="16"/>
                <w:szCs w:val="16"/>
                <w:lang w:eastAsia="ru-RU"/>
              </w:rPr>
              <w:t>а 31.12.2023 введено в эксплуатацию 62 606,5 тыс. кв. м жилья.</w:t>
            </w:r>
          </w:p>
        </w:tc>
      </w:tr>
      <w:tr w:rsidR="00154BB3" w:rsidRPr="00403E44" w14:paraId="42F11B75" w14:textId="77777777" w:rsidTr="00AD1204">
        <w:trPr>
          <w:trHeight w:val="900"/>
        </w:trPr>
        <w:tc>
          <w:tcPr>
            <w:tcW w:w="1418" w:type="dxa"/>
            <w:vMerge/>
            <w:vAlign w:val="center"/>
            <w:hideMark/>
          </w:tcPr>
          <w:p w14:paraId="207F54A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FE028D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строительства в расчете на 10 тыс. человек населения, - всего</w:t>
            </w:r>
          </w:p>
        </w:tc>
        <w:tc>
          <w:tcPr>
            <w:tcW w:w="993" w:type="dxa"/>
            <w:shd w:val="clear" w:color="auto" w:fill="auto"/>
            <w:hideMark/>
          </w:tcPr>
          <w:p w14:paraId="658ACE1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19102A7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w:t>
            </w:r>
          </w:p>
        </w:tc>
        <w:tc>
          <w:tcPr>
            <w:tcW w:w="992" w:type="dxa"/>
            <w:shd w:val="clear" w:color="000000" w:fill="D7D7D7"/>
            <w:noWrap/>
            <w:hideMark/>
          </w:tcPr>
          <w:p w14:paraId="1C3A9564" w14:textId="6897A7F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164,0</w:t>
            </w:r>
          </w:p>
        </w:tc>
        <w:tc>
          <w:tcPr>
            <w:tcW w:w="993" w:type="dxa"/>
            <w:shd w:val="clear" w:color="000000" w:fill="D7D7D7"/>
            <w:noWrap/>
            <w:hideMark/>
          </w:tcPr>
          <w:p w14:paraId="0E81D59A" w14:textId="4DE2B6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174,6</w:t>
            </w:r>
          </w:p>
        </w:tc>
        <w:tc>
          <w:tcPr>
            <w:tcW w:w="992" w:type="dxa"/>
            <w:shd w:val="clear" w:color="000000" w:fill="D7D7D7"/>
            <w:noWrap/>
            <w:hideMark/>
          </w:tcPr>
          <w:p w14:paraId="25EC383C" w14:textId="2382997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185,9</w:t>
            </w:r>
          </w:p>
        </w:tc>
        <w:tc>
          <w:tcPr>
            <w:tcW w:w="992" w:type="dxa"/>
            <w:shd w:val="clear" w:color="000000" w:fill="D7D7D7"/>
            <w:noWrap/>
            <w:hideMark/>
          </w:tcPr>
          <w:p w14:paraId="72360D9E" w14:textId="32C7AA8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186,2</w:t>
            </w:r>
          </w:p>
        </w:tc>
        <w:tc>
          <w:tcPr>
            <w:tcW w:w="992" w:type="dxa"/>
            <w:shd w:val="clear" w:color="000000" w:fill="D7D7D7"/>
            <w:noWrap/>
            <w:hideMark/>
          </w:tcPr>
          <w:p w14:paraId="1EB54C9A" w14:textId="05CE264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186,2</w:t>
            </w:r>
          </w:p>
        </w:tc>
        <w:tc>
          <w:tcPr>
            <w:tcW w:w="993" w:type="dxa"/>
            <w:shd w:val="clear" w:color="000000" w:fill="D7D7D7"/>
            <w:noWrap/>
            <w:hideMark/>
          </w:tcPr>
          <w:p w14:paraId="2C48807F" w14:textId="749C5B3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186,2</w:t>
            </w:r>
          </w:p>
        </w:tc>
        <w:tc>
          <w:tcPr>
            <w:tcW w:w="992" w:type="dxa"/>
            <w:shd w:val="clear" w:color="000000" w:fill="D7D7D7"/>
            <w:noWrap/>
            <w:hideMark/>
          </w:tcPr>
          <w:p w14:paraId="747645BA" w14:textId="47D685F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186,2</w:t>
            </w:r>
          </w:p>
        </w:tc>
        <w:tc>
          <w:tcPr>
            <w:tcW w:w="2551" w:type="dxa"/>
            <w:shd w:val="clear" w:color="auto" w:fill="auto"/>
            <w:hideMark/>
          </w:tcPr>
          <w:p w14:paraId="785DD63F" w14:textId="008A5EE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Показатель по общему строительству 1-4 квартал            6 768 404 кв. м– заключение договоров аренды без торгов            1 862 832 кв. м. – выдача разрешений 168 955 – площадь МКД, ИЖС, СНТ.</w:t>
            </w:r>
          </w:p>
        </w:tc>
      </w:tr>
      <w:tr w:rsidR="00154BB3" w:rsidRPr="00403E44" w14:paraId="5621D7BD" w14:textId="77777777" w:rsidTr="00AD1204">
        <w:trPr>
          <w:trHeight w:val="1200"/>
        </w:trPr>
        <w:tc>
          <w:tcPr>
            <w:tcW w:w="1418" w:type="dxa"/>
            <w:vMerge/>
            <w:vAlign w:val="center"/>
            <w:hideMark/>
          </w:tcPr>
          <w:p w14:paraId="36B738F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E12017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993" w:type="dxa"/>
            <w:shd w:val="clear" w:color="auto" w:fill="auto"/>
            <w:hideMark/>
          </w:tcPr>
          <w:p w14:paraId="03CE73D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223DE70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25.1</w:t>
            </w:r>
          </w:p>
        </w:tc>
        <w:tc>
          <w:tcPr>
            <w:tcW w:w="992" w:type="dxa"/>
            <w:shd w:val="clear" w:color="000000" w:fill="D7D7D7"/>
            <w:noWrap/>
            <w:hideMark/>
          </w:tcPr>
          <w:p w14:paraId="3BD3CF2E" w14:textId="2B04B5F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w:t>
            </w:r>
          </w:p>
        </w:tc>
        <w:tc>
          <w:tcPr>
            <w:tcW w:w="993" w:type="dxa"/>
            <w:shd w:val="clear" w:color="000000" w:fill="D7D7D7"/>
            <w:noWrap/>
            <w:hideMark/>
          </w:tcPr>
          <w:p w14:paraId="47BFEBEE" w14:textId="347AA34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w:t>
            </w:r>
          </w:p>
        </w:tc>
        <w:tc>
          <w:tcPr>
            <w:tcW w:w="992" w:type="dxa"/>
            <w:shd w:val="clear" w:color="000000" w:fill="D7D7D7"/>
            <w:noWrap/>
            <w:hideMark/>
          </w:tcPr>
          <w:p w14:paraId="28CAE998" w14:textId="5165714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w:t>
            </w:r>
          </w:p>
        </w:tc>
        <w:tc>
          <w:tcPr>
            <w:tcW w:w="992" w:type="dxa"/>
            <w:shd w:val="clear" w:color="000000" w:fill="D7D7D7"/>
            <w:noWrap/>
            <w:hideMark/>
          </w:tcPr>
          <w:p w14:paraId="0B7047C9" w14:textId="6B81A8C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2" w:type="dxa"/>
            <w:shd w:val="clear" w:color="000000" w:fill="D7D7D7"/>
            <w:noWrap/>
            <w:hideMark/>
          </w:tcPr>
          <w:p w14:paraId="6D7E9C2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3" w:type="dxa"/>
            <w:shd w:val="clear" w:color="000000" w:fill="D7D7D7"/>
            <w:noWrap/>
            <w:hideMark/>
          </w:tcPr>
          <w:p w14:paraId="2D39252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2" w:type="dxa"/>
            <w:shd w:val="clear" w:color="000000" w:fill="D7D7D7"/>
            <w:noWrap/>
            <w:hideMark/>
          </w:tcPr>
          <w:p w14:paraId="0452869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2551" w:type="dxa"/>
            <w:shd w:val="clear" w:color="auto" w:fill="auto"/>
            <w:hideMark/>
          </w:tcPr>
          <w:p w14:paraId="6D00E36E" w14:textId="3DC11C75"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Показатель о предоставлении земельных участков для жилищного строительства, индивидуального жилищного строительства.</w:t>
            </w:r>
          </w:p>
        </w:tc>
      </w:tr>
      <w:tr w:rsidR="00154BB3" w:rsidRPr="00403E44" w14:paraId="7CAF6162" w14:textId="77777777" w:rsidTr="00AD1204">
        <w:trPr>
          <w:trHeight w:val="900"/>
        </w:trPr>
        <w:tc>
          <w:tcPr>
            <w:tcW w:w="1418" w:type="dxa"/>
            <w:vMerge/>
            <w:vAlign w:val="center"/>
            <w:hideMark/>
          </w:tcPr>
          <w:p w14:paraId="6B5E535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CAFF6BE"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993" w:type="dxa"/>
            <w:shd w:val="clear" w:color="auto" w:fill="auto"/>
            <w:hideMark/>
          </w:tcPr>
          <w:p w14:paraId="25998B1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0E7A212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25.1.1</w:t>
            </w:r>
          </w:p>
        </w:tc>
        <w:tc>
          <w:tcPr>
            <w:tcW w:w="992" w:type="dxa"/>
            <w:shd w:val="clear" w:color="000000" w:fill="D7D7D7"/>
            <w:noWrap/>
            <w:hideMark/>
          </w:tcPr>
          <w:p w14:paraId="7E561A7F" w14:textId="06FA26F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1,8</w:t>
            </w:r>
          </w:p>
        </w:tc>
        <w:tc>
          <w:tcPr>
            <w:tcW w:w="993" w:type="dxa"/>
            <w:shd w:val="clear" w:color="000000" w:fill="D7D7D7"/>
            <w:noWrap/>
            <w:hideMark/>
          </w:tcPr>
          <w:p w14:paraId="484371B9" w14:textId="04EEA7D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w:t>
            </w:r>
          </w:p>
        </w:tc>
        <w:tc>
          <w:tcPr>
            <w:tcW w:w="992" w:type="dxa"/>
            <w:shd w:val="clear" w:color="000000" w:fill="D7D7D7"/>
            <w:noWrap/>
            <w:hideMark/>
          </w:tcPr>
          <w:p w14:paraId="5E6E9C26" w14:textId="6E2E3CC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w:t>
            </w:r>
          </w:p>
        </w:tc>
        <w:tc>
          <w:tcPr>
            <w:tcW w:w="992" w:type="dxa"/>
            <w:shd w:val="clear" w:color="000000" w:fill="D7D7D7"/>
            <w:noWrap/>
            <w:hideMark/>
          </w:tcPr>
          <w:p w14:paraId="546944C1" w14:textId="4D764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2" w:type="dxa"/>
            <w:shd w:val="clear" w:color="000000" w:fill="D7D7D7"/>
            <w:noWrap/>
            <w:hideMark/>
          </w:tcPr>
          <w:p w14:paraId="657F8FFB" w14:textId="206696F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3" w:type="dxa"/>
            <w:shd w:val="clear" w:color="000000" w:fill="D7D7D7"/>
            <w:noWrap/>
            <w:hideMark/>
          </w:tcPr>
          <w:p w14:paraId="69C3714A" w14:textId="1AB9CCB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992" w:type="dxa"/>
            <w:shd w:val="clear" w:color="000000" w:fill="D7D7D7"/>
            <w:noWrap/>
            <w:hideMark/>
          </w:tcPr>
          <w:p w14:paraId="09DE0D50" w14:textId="6C689E3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w:t>
            </w:r>
          </w:p>
        </w:tc>
        <w:tc>
          <w:tcPr>
            <w:tcW w:w="2551" w:type="dxa"/>
            <w:shd w:val="clear" w:color="auto" w:fill="auto"/>
            <w:hideMark/>
          </w:tcPr>
          <w:p w14:paraId="26B158FB" w14:textId="346D9CA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Показатель о предоставлении земельных участков для жилищного строительства, индивидуального жилищного строительства.</w:t>
            </w:r>
          </w:p>
        </w:tc>
      </w:tr>
      <w:tr w:rsidR="00154BB3" w:rsidRPr="00403E44" w14:paraId="4D896CB2" w14:textId="77777777" w:rsidTr="00AD1204">
        <w:trPr>
          <w:trHeight w:val="1500"/>
        </w:trPr>
        <w:tc>
          <w:tcPr>
            <w:tcW w:w="1418" w:type="dxa"/>
            <w:vMerge/>
            <w:vAlign w:val="center"/>
            <w:hideMark/>
          </w:tcPr>
          <w:p w14:paraId="6F37E26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DF4DE7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жилищного строительства, индивидуального строительства</w:t>
            </w:r>
          </w:p>
        </w:tc>
        <w:tc>
          <w:tcPr>
            <w:tcW w:w="993" w:type="dxa"/>
            <w:shd w:val="clear" w:color="auto" w:fill="auto"/>
            <w:hideMark/>
          </w:tcPr>
          <w:p w14:paraId="460811E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3EA31F4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25.1.1.1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2F4FE7B" w14:textId="3F3433D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8,1</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BD373EC" w14:textId="7F9A557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9,0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A130A43" w14:textId="78E9F40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77D8AE7" w14:textId="43CA8F0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10,2</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6467C3D" w14:textId="61C75E2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10,2</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2918EC1B" w14:textId="529F4EF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10,2</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C268746" w14:textId="00C3917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10,2</w:t>
            </w:r>
          </w:p>
        </w:tc>
        <w:tc>
          <w:tcPr>
            <w:tcW w:w="2551" w:type="dxa"/>
            <w:tcBorders>
              <w:top w:val="single" w:sz="4" w:space="0" w:color="auto"/>
              <w:left w:val="nil"/>
              <w:bottom w:val="single" w:sz="4" w:space="0" w:color="auto"/>
              <w:right w:val="single" w:sz="4" w:space="0" w:color="auto"/>
            </w:tcBorders>
            <w:shd w:val="clear" w:color="000000" w:fill="FFFFFF"/>
            <w:hideMark/>
          </w:tcPr>
          <w:p w14:paraId="2D205C80" w14:textId="6C1F9EF0" w:rsidR="00154BB3" w:rsidRPr="005A3A56" w:rsidRDefault="00154BB3" w:rsidP="00154BB3">
            <w:pPr>
              <w:spacing w:after="0" w:line="240" w:lineRule="auto"/>
              <w:rPr>
                <w:rFonts w:ascii="Calibri" w:eastAsia="Times New Roman" w:hAnsi="Calibri" w:cs="Calibri"/>
                <w:sz w:val="16"/>
                <w:szCs w:val="16"/>
                <w:lang w:eastAsia="ru-RU"/>
              </w:rPr>
            </w:pPr>
            <w:r w:rsidRPr="005A3A56">
              <w:rPr>
                <w:rFonts w:ascii="Times New Roman" w:eastAsia="Times New Roman" w:hAnsi="Times New Roman" w:cs="Times New Roman"/>
                <w:sz w:val="16"/>
                <w:szCs w:val="16"/>
                <w:lang w:eastAsia="ru-RU"/>
              </w:rPr>
              <w:t>Площадь земельных участков, предоставленных в аренду, собственность для жилищного строительства, индивидуального строительства, садоводства с правом возведения объектов капитального строительства на основании реестра договоров аренда земельных участков, постановлений о предоставлении в собственность СНТ.</w:t>
            </w:r>
          </w:p>
        </w:tc>
      </w:tr>
      <w:tr w:rsidR="00154BB3" w:rsidRPr="00403E44" w14:paraId="56058A66" w14:textId="77777777" w:rsidTr="00AD1204">
        <w:trPr>
          <w:trHeight w:val="900"/>
        </w:trPr>
        <w:tc>
          <w:tcPr>
            <w:tcW w:w="1418" w:type="dxa"/>
            <w:vMerge/>
            <w:vAlign w:val="center"/>
            <w:hideMark/>
          </w:tcPr>
          <w:p w14:paraId="2C1BCC7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17FEF56"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993" w:type="dxa"/>
            <w:shd w:val="clear" w:color="auto" w:fill="auto"/>
            <w:hideMark/>
          </w:tcPr>
          <w:p w14:paraId="640D849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75A57B1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25.1.2</w:t>
            </w:r>
          </w:p>
        </w:tc>
        <w:tc>
          <w:tcPr>
            <w:tcW w:w="992" w:type="dxa"/>
            <w:shd w:val="clear" w:color="000000" w:fill="D7D7D7"/>
            <w:noWrap/>
            <w:hideMark/>
          </w:tcPr>
          <w:p w14:paraId="686FE51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7B484F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35EAB6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1E1C7C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DB952A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9A520E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EEBC2A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596D211" w14:textId="2B9D59AA"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Отсутствуют земельные участки для комплексного освоения в целях жилищного строительства</w:t>
            </w:r>
          </w:p>
        </w:tc>
      </w:tr>
      <w:tr w:rsidR="00154BB3" w:rsidRPr="00403E44" w14:paraId="093225AA" w14:textId="77777777" w:rsidTr="00AD1204">
        <w:trPr>
          <w:trHeight w:val="600"/>
        </w:trPr>
        <w:tc>
          <w:tcPr>
            <w:tcW w:w="1418" w:type="dxa"/>
            <w:vMerge/>
            <w:vAlign w:val="center"/>
            <w:hideMark/>
          </w:tcPr>
          <w:p w14:paraId="46B3374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45D69A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комплексного освоения в целях жилищного строительства</w:t>
            </w:r>
          </w:p>
        </w:tc>
        <w:tc>
          <w:tcPr>
            <w:tcW w:w="993" w:type="dxa"/>
            <w:shd w:val="clear" w:color="auto" w:fill="auto"/>
            <w:hideMark/>
          </w:tcPr>
          <w:p w14:paraId="6EABF07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5535885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25.1.2.2</w:t>
            </w:r>
          </w:p>
        </w:tc>
        <w:tc>
          <w:tcPr>
            <w:tcW w:w="992" w:type="dxa"/>
            <w:shd w:val="clear" w:color="auto" w:fill="auto"/>
            <w:noWrap/>
            <w:hideMark/>
          </w:tcPr>
          <w:p w14:paraId="01BC033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24D422C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94634C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563D85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2703D6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16F1700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764099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63D1F85E" w14:textId="51FEB820"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Отсутствуют земельные участки для комплексного освоения в целях жилищного строительства</w:t>
            </w:r>
          </w:p>
        </w:tc>
      </w:tr>
      <w:tr w:rsidR="00154BB3" w:rsidRPr="00403E44" w14:paraId="668E6455" w14:textId="77777777" w:rsidTr="00AD1204">
        <w:trPr>
          <w:trHeight w:val="2700"/>
        </w:trPr>
        <w:tc>
          <w:tcPr>
            <w:tcW w:w="1418" w:type="dxa"/>
            <w:vMerge/>
            <w:vAlign w:val="center"/>
            <w:hideMark/>
          </w:tcPr>
          <w:p w14:paraId="63DB935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9B1683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строительства, всего</w:t>
            </w:r>
          </w:p>
        </w:tc>
        <w:tc>
          <w:tcPr>
            <w:tcW w:w="993" w:type="dxa"/>
            <w:shd w:val="clear" w:color="auto" w:fill="auto"/>
            <w:hideMark/>
          </w:tcPr>
          <w:p w14:paraId="25F81BD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Гектар</w:t>
            </w:r>
          </w:p>
        </w:tc>
        <w:tc>
          <w:tcPr>
            <w:tcW w:w="850" w:type="dxa"/>
            <w:shd w:val="clear" w:color="auto" w:fill="auto"/>
            <w:hideMark/>
          </w:tcPr>
          <w:p w14:paraId="3A50C55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7B0A52D" w14:textId="035983E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735,0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EBD9D1E" w14:textId="69FFBEB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786,8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B4165B6" w14:textId="4B3CE12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871,0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6E7BA7B" w14:textId="4A1CD4D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880,0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2E9BF7A" w14:textId="2D9045F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880,0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C636709" w14:textId="08D7473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880,0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C74BB8E" w14:textId="3F48EEF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880,0</w:t>
            </w:r>
          </w:p>
        </w:tc>
        <w:tc>
          <w:tcPr>
            <w:tcW w:w="2551" w:type="dxa"/>
            <w:tcBorders>
              <w:top w:val="single" w:sz="4" w:space="0" w:color="auto"/>
              <w:left w:val="nil"/>
              <w:bottom w:val="single" w:sz="4" w:space="0" w:color="auto"/>
              <w:right w:val="single" w:sz="4" w:space="0" w:color="auto"/>
            </w:tcBorders>
            <w:shd w:val="clear" w:color="000000" w:fill="FFFFFF"/>
            <w:hideMark/>
          </w:tcPr>
          <w:p w14:paraId="554C2E05" w14:textId="0A25D2F6"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Площадь земельных участков, предоставленных в аренду, собственность для строительства, для жилищного строительства, индивидуального строительства, садоводства с правом возведения объектов капитального строительства на основании реестра договоров аренда земельных участков, постановлений о предоставлении в собственность СНТ Показатель по общему строительству             6 768 404 кв. м. м– заключение договоров аренды без торгов               1 862 832 кв. м. – выдача разрешений 168 955 – площадь МКД, ИЖС, СНТ.</w:t>
            </w:r>
          </w:p>
        </w:tc>
      </w:tr>
      <w:tr w:rsidR="00154BB3" w:rsidRPr="00403E44" w14:paraId="50BF79EF" w14:textId="77777777" w:rsidTr="00AD1204">
        <w:trPr>
          <w:trHeight w:val="2400"/>
        </w:trPr>
        <w:tc>
          <w:tcPr>
            <w:tcW w:w="1418" w:type="dxa"/>
            <w:vMerge/>
            <w:vAlign w:val="center"/>
            <w:hideMark/>
          </w:tcPr>
          <w:p w14:paraId="7FAC0E0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6A2499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p w14:paraId="1AEE81E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AFB009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1A519F9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26</w:t>
            </w:r>
          </w:p>
        </w:tc>
        <w:tc>
          <w:tcPr>
            <w:tcW w:w="992" w:type="dxa"/>
            <w:shd w:val="clear" w:color="000000" w:fill="D7D7D7"/>
            <w:noWrap/>
            <w:hideMark/>
          </w:tcPr>
          <w:p w14:paraId="4864CA7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5DB8D45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6B6A03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72C2D1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4CA115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708E02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A8BD0A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60D1192B"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551963F0" w14:textId="77777777" w:rsidTr="00AD1204">
        <w:trPr>
          <w:trHeight w:val="2100"/>
        </w:trPr>
        <w:tc>
          <w:tcPr>
            <w:tcW w:w="1418" w:type="dxa"/>
            <w:vMerge/>
            <w:vAlign w:val="center"/>
            <w:hideMark/>
          </w:tcPr>
          <w:p w14:paraId="5CB5B49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1DD0A5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993" w:type="dxa"/>
            <w:shd w:val="clear" w:color="auto" w:fill="auto"/>
            <w:hideMark/>
          </w:tcPr>
          <w:p w14:paraId="57E2D2D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33BF927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26.1</w:t>
            </w:r>
          </w:p>
        </w:tc>
        <w:tc>
          <w:tcPr>
            <w:tcW w:w="992" w:type="dxa"/>
            <w:shd w:val="clear" w:color="auto" w:fill="auto"/>
            <w:noWrap/>
            <w:hideMark/>
          </w:tcPr>
          <w:p w14:paraId="5763C67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29C0884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A392AF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E3131E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0540FE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53F4135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596264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7C47446F"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6B9B1B8C" w14:textId="77777777" w:rsidTr="00AD1204">
        <w:trPr>
          <w:trHeight w:val="2100"/>
        </w:trPr>
        <w:tc>
          <w:tcPr>
            <w:tcW w:w="1418" w:type="dxa"/>
            <w:vMerge/>
            <w:vAlign w:val="center"/>
            <w:hideMark/>
          </w:tcPr>
          <w:p w14:paraId="4A1BD3B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895F20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p w14:paraId="1B734C5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p w14:paraId="31437B5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p w14:paraId="04E0AAF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p w14:paraId="3A0C0CE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7B57590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60FF1EF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26.2</w:t>
            </w:r>
          </w:p>
        </w:tc>
        <w:tc>
          <w:tcPr>
            <w:tcW w:w="992" w:type="dxa"/>
            <w:shd w:val="clear" w:color="auto" w:fill="auto"/>
            <w:noWrap/>
            <w:hideMark/>
          </w:tcPr>
          <w:p w14:paraId="3654814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62F0C24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95937A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EB95ED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878D93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3F30FA5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501287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287A0193"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45DFD514" w14:textId="77777777" w:rsidTr="00AD1204">
        <w:trPr>
          <w:trHeight w:val="1800"/>
        </w:trPr>
        <w:tc>
          <w:tcPr>
            <w:tcW w:w="1418" w:type="dxa"/>
            <w:vMerge w:val="restart"/>
            <w:shd w:val="clear" w:color="auto" w:fill="auto"/>
            <w:hideMark/>
          </w:tcPr>
          <w:p w14:paraId="0FF0632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Жилищно-коммунальное хозяйство</w:t>
            </w:r>
          </w:p>
        </w:tc>
        <w:tc>
          <w:tcPr>
            <w:tcW w:w="2268" w:type="dxa"/>
            <w:shd w:val="clear" w:color="auto" w:fill="auto"/>
            <w:hideMark/>
          </w:tcPr>
          <w:p w14:paraId="1418A3E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993" w:type="dxa"/>
            <w:shd w:val="clear" w:color="auto" w:fill="auto"/>
            <w:hideMark/>
          </w:tcPr>
          <w:p w14:paraId="10550C3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29C198E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w:t>
            </w:r>
          </w:p>
        </w:tc>
        <w:tc>
          <w:tcPr>
            <w:tcW w:w="992" w:type="dxa"/>
            <w:shd w:val="clear" w:color="000000" w:fill="D7D7D7"/>
            <w:noWrap/>
            <w:hideMark/>
          </w:tcPr>
          <w:p w14:paraId="0312CAD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02FCE23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3A801E3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601435E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0266041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1EB7C04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0A57EFB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2551" w:type="dxa"/>
            <w:shd w:val="clear" w:color="auto" w:fill="auto"/>
            <w:hideMark/>
          </w:tcPr>
          <w:p w14:paraId="6A93DF06"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Значение показателя на уровне прошлых лет.</w:t>
            </w:r>
          </w:p>
        </w:tc>
      </w:tr>
      <w:tr w:rsidR="00154BB3" w:rsidRPr="00403E44" w14:paraId="78262BB4" w14:textId="77777777" w:rsidTr="00AD1204">
        <w:trPr>
          <w:trHeight w:val="1500"/>
        </w:trPr>
        <w:tc>
          <w:tcPr>
            <w:tcW w:w="1418" w:type="dxa"/>
            <w:vMerge/>
            <w:vAlign w:val="center"/>
            <w:hideMark/>
          </w:tcPr>
          <w:p w14:paraId="36FE295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F840C7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993" w:type="dxa"/>
            <w:shd w:val="clear" w:color="auto" w:fill="auto"/>
            <w:hideMark/>
          </w:tcPr>
          <w:p w14:paraId="17DE739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4C0448B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27.1</w:t>
            </w:r>
          </w:p>
        </w:tc>
        <w:tc>
          <w:tcPr>
            <w:tcW w:w="992" w:type="dxa"/>
            <w:shd w:val="clear" w:color="000000" w:fill="D7D7D7"/>
            <w:noWrap/>
            <w:hideMark/>
          </w:tcPr>
          <w:p w14:paraId="5B662916" w14:textId="478CC71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32,1</w:t>
            </w:r>
          </w:p>
        </w:tc>
        <w:tc>
          <w:tcPr>
            <w:tcW w:w="993" w:type="dxa"/>
            <w:shd w:val="clear" w:color="000000" w:fill="D7D7D7"/>
            <w:noWrap/>
            <w:hideMark/>
          </w:tcPr>
          <w:p w14:paraId="794308F4" w14:textId="7195A10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31,4</w:t>
            </w:r>
          </w:p>
        </w:tc>
        <w:tc>
          <w:tcPr>
            <w:tcW w:w="992" w:type="dxa"/>
            <w:shd w:val="clear" w:color="000000" w:fill="D7D7D7"/>
            <w:noWrap/>
            <w:hideMark/>
          </w:tcPr>
          <w:p w14:paraId="1BBB8249" w14:textId="0B4FB5D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29,7</w:t>
            </w:r>
          </w:p>
        </w:tc>
        <w:tc>
          <w:tcPr>
            <w:tcW w:w="992" w:type="dxa"/>
            <w:shd w:val="clear" w:color="000000" w:fill="D7D7D7"/>
            <w:noWrap/>
            <w:hideMark/>
          </w:tcPr>
          <w:p w14:paraId="0381F7ED" w14:textId="780EA63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29,5</w:t>
            </w:r>
          </w:p>
        </w:tc>
        <w:tc>
          <w:tcPr>
            <w:tcW w:w="992" w:type="dxa"/>
            <w:shd w:val="clear" w:color="000000" w:fill="D7D7D7"/>
            <w:noWrap/>
            <w:hideMark/>
          </w:tcPr>
          <w:p w14:paraId="2C10E490" w14:textId="5BEFEC9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27,3</w:t>
            </w:r>
          </w:p>
        </w:tc>
        <w:tc>
          <w:tcPr>
            <w:tcW w:w="993" w:type="dxa"/>
            <w:shd w:val="clear" w:color="000000" w:fill="D7D7D7"/>
            <w:noWrap/>
            <w:hideMark/>
          </w:tcPr>
          <w:p w14:paraId="1F1D3B43" w14:textId="3A31E69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24,2</w:t>
            </w:r>
          </w:p>
        </w:tc>
        <w:tc>
          <w:tcPr>
            <w:tcW w:w="992" w:type="dxa"/>
            <w:shd w:val="clear" w:color="000000" w:fill="D7D7D7"/>
            <w:noWrap/>
            <w:hideMark/>
          </w:tcPr>
          <w:p w14:paraId="3F772FBD" w14:textId="1EA83F8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22,8</w:t>
            </w:r>
          </w:p>
        </w:tc>
        <w:tc>
          <w:tcPr>
            <w:tcW w:w="2551" w:type="dxa"/>
            <w:shd w:val="clear" w:color="auto" w:fill="auto"/>
            <w:hideMark/>
          </w:tcPr>
          <w:p w14:paraId="5A6F3A8D" w14:textId="295F5A5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Значение показателя изменилось, в связи с соотношением </w:t>
            </w:r>
            <w:proofErr w:type="gramStart"/>
            <w:r w:rsidRPr="005A3A56">
              <w:rPr>
                <w:rFonts w:ascii="Times New Roman" w:eastAsia="Times New Roman" w:hAnsi="Times New Roman" w:cs="Times New Roman"/>
                <w:sz w:val="16"/>
                <w:szCs w:val="16"/>
                <w:lang w:eastAsia="ru-RU"/>
              </w:rPr>
              <w:t>числа МКД</w:t>
            </w:r>
            <w:proofErr w:type="gramEnd"/>
            <w:r w:rsidRPr="005A3A56">
              <w:rPr>
                <w:rFonts w:ascii="Times New Roman" w:eastAsia="Times New Roman" w:hAnsi="Times New Roman" w:cs="Times New Roman"/>
                <w:sz w:val="16"/>
                <w:szCs w:val="16"/>
                <w:lang w:eastAsia="ru-RU"/>
              </w:rPr>
              <w:t xml:space="preserve"> в которых собственники выбрали способ управления к общему числу МКД.</w:t>
            </w:r>
          </w:p>
        </w:tc>
      </w:tr>
      <w:tr w:rsidR="00154BB3" w:rsidRPr="00403E44" w14:paraId="714BEE64" w14:textId="77777777" w:rsidTr="00AD1204">
        <w:trPr>
          <w:trHeight w:val="347"/>
        </w:trPr>
        <w:tc>
          <w:tcPr>
            <w:tcW w:w="1418" w:type="dxa"/>
            <w:vMerge/>
            <w:vAlign w:val="center"/>
            <w:hideMark/>
          </w:tcPr>
          <w:p w14:paraId="6B679B9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0C8CBC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w:t>
            </w:r>
            <w:r w:rsidRPr="00600B72">
              <w:rPr>
                <w:rFonts w:ascii="Times New Roman" w:eastAsia="Times New Roman" w:hAnsi="Times New Roman" w:cs="Times New Roman"/>
                <w:sz w:val="16"/>
                <w:szCs w:val="16"/>
                <w:lang w:eastAsia="ru-RU"/>
              </w:rPr>
              <w:lastRenderedPageBreak/>
              <w:t>помещений в многоквартирном доме</w:t>
            </w:r>
          </w:p>
        </w:tc>
        <w:tc>
          <w:tcPr>
            <w:tcW w:w="993" w:type="dxa"/>
            <w:shd w:val="clear" w:color="auto" w:fill="auto"/>
            <w:hideMark/>
          </w:tcPr>
          <w:p w14:paraId="323EFFC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Единица</w:t>
            </w:r>
          </w:p>
        </w:tc>
        <w:tc>
          <w:tcPr>
            <w:tcW w:w="850" w:type="dxa"/>
            <w:shd w:val="clear" w:color="auto" w:fill="auto"/>
            <w:hideMark/>
          </w:tcPr>
          <w:p w14:paraId="35E7C87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27.2</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8017726" w14:textId="27B305A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271</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B44B1BE" w14:textId="44B413B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260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65637DB1" w14:textId="266E628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235</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34D9EDEE" w14:textId="17A2E46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27899C41" w14:textId="108F6B2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202</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653C2674" w14:textId="5788982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169</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4F9C1CDC" w14:textId="1BF29B4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155</w:t>
            </w:r>
          </w:p>
        </w:tc>
        <w:tc>
          <w:tcPr>
            <w:tcW w:w="2551" w:type="dxa"/>
            <w:tcBorders>
              <w:top w:val="single" w:sz="4" w:space="0" w:color="auto"/>
              <w:left w:val="nil"/>
              <w:bottom w:val="single" w:sz="4" w:space="0" w:color="auto"/>
              <w:right w:val="single" w:sz="4" w:space="0" w:color="auto"/>
            </w:tcBorders>
            <w:shd w:val="clear" w:color="auto" w:fill="auto"/>
            <w:hideMark/>
          </w:tcPr>
          <w:p w14:paraId="330C1344" w14:textId="2CE4799E"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Уменьшение показателя связано со сносом ветхих и аварийных многоквартирных домов, находящихся в непосредственном управлении.                                                                                                                               </w:t>
            </w:r>
          </w:p>
        </w:tc>
      </w:tr>
      <w:tr w:rsidR="00154BB3" w:rsidRPr="00403E44" w14:paraId="57FE9FD3" w14:textId="77777777" w:rsidTr="00AD1204">
        <w:trPr>
          <w:trHeight w:val="1800"/>
        </w:trPr>
        <w:tc>
          <w:tcPr>
            <w:tcW w:w="1418" w:type="dxa"/>
            <w:vMerge/>
            <w:vAlign w:val="center"/>
            <w:hideMark/>
          </w:tcPr>
          <w:p w14:paraId="0905789A"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1F0729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993" w:type="dxa"/>
            <w:shd w:val="clear" w:color="auto" w:fill="auto"/>
            <w:hideMark/>
          </w:tcPr>
          <w:p w14:paraId="706962C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160018A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27.3</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CBFACB2" w14:textId="259F16E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4,7</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050E835" w14:textId="4CA2C7F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4,8</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3AE8EDEE" w14:textId="30AE09E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14FC918A" w14:textId="05BDBC7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38682756" w14:textId="3B41575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5,4</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EB9DDAB" w14:textId="5755027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5,7</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0B79B148" w14:textId="3F124A7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5,9</w:t>
            </w:r>
          </w:p>
        </w:tc>
        <w:tc>
          <w:tcPr>
            <w:tcW w:w="2551" w:type="dxa"/>
            <w:tcBorders>
              <w:top w:val="single" w:sz="4" w:space="0" w:color="auto"/>
              <w:left w:val="nil"/>
              <w:bottom w:val="single" w:sz="4" w:space="0" w:color="auto"/>
              <w:right w:val="single" w:sz="4" w:space="0" w:color="auto"/>
            </w:tcBorders>
            <w:shd w:val="clear" w:color="auto" w:fill="auto"/>
            <w:hideMark/>
          </w:tcPr>
          <w:p w14:paraId="5692C78F" w14:textId="495F73C6" w:rsidR="00154BB3" w:rsidRPr="005A3A56" w:rsidRDefault="00B133A9" w:rsidP="00154BB3">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Значение показателя сохраняется на уровне 2022 года. Значение прогнозных показателей изменилось, в связи с соотношением числа МКД, в которых собственники выбрали способ управления к общему числу МКД.</w:t>
            </w:r>
          </w:p>
        </w:tc>
      </w:tr>
      <w:tr w:rsidR="00154BB3" w:rsidRPr="00403E44" w14:paraId="62AAC4B3" w14:textId="77777777" w:rsidTr="00AD1204">
        <w:trPr>
          <w:trHeight w:val="1800"/>
        </w:trPr>
        <w:tc>
          <w:tcPr>
            <w:tcW w:w="1418" w:type="dxa"/>
            <w:vMerge/>
            <w:vAlign w:val="center"/>
            <w:hideMark/>
          </w:tcPr>
          <w:p w14:paraId="5E464A8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9A6E87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993" w:type="dxa"/>
            <w:shd w:val="clear" w:color="auto" w:fill="auto"/>
            <w:hideMark/>
          </w:tcPr>
          <w:p w14:paraId="23306CD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13CBCDD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27.4</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0CA3ABBD" w14:textId="3BFEB95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7E0018D8" w14:textId="2A8FE47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64C61698" w14:textId="264EA25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1E5DB670" w14:textId="57C8B7B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0C2CABC6" w14:textId="3CDF0DB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28C6908A" w14:textId="72B4EF5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64A3CE28" w14:textId="33859D4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40,0</w:t>
            </w:r>
          </w:p>
        </w:tc>
        <w:tc>
          <w:tcPr>
            <w:tcW w:w="2551" w:type="dxa"/>
            <w:tcBorders>
              <w:top w:val="single" w:sz="4" w:space="0" w:color="auto"/>
              <w:left w:val="nil"/>
              <w:bottom w:val="single" w:sz="4" w:space="0" w:color="auto"/>
              <w:right w:val="single" w:sz="4" w:space="0" w:color="auto"/>
            </w:tcBorders>
            <w:shd w:val="clear" w:color="auto" w:fill="auto"/>
            <w:hideMark/>
          </w:tcPr>
          <w:p w14:paraId="7B28AE11" w14:textId="076DBCE0"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Значения показателя сохраняются на одном уровне, в связи с тем, что собственники помещений МКД не выбирают способ управления ТСЖ.</w:t>
            </w:r>
          </w:p>
        </w:tc>
      </w:tr>
      <w:tr w:rsidR="00154BB3" w:rsidRPr="00403E44" w14:paraId="0C1C7C28" w14:textId="77777777" w:rsidTr="00AD1204">
        <w:trPr>
          <w:trHeight w:val="1500"/>
        </w:trPr>
        <w:tc>
          <w:tcPr>
            <w:tcW w:w="1418" w:type="dxa"/>
            <w:vMerge/>
            <w:vAlign w:val="center"/>
            <w:hideMark/>
          </w:tcPr>
          <w:p w14:paraId="4C48F10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5545A6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shd w:val="clear" w:color="auto" w:fill="auto"/>
            <w:hideMark/>
          </w:tcPr>
          <w:p w14:paraId="301C599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4AA4BBB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27.5</w:t>
            </w:r>
          </w:p>
        </w:tc>
        <w:tc>
          <w:tcPr>
            <w:tcW w:w="992" w:type="dxa"/>
            <w:shd w:val="clear" w:color="000000" w:fill="D7D7D7"/>
            <w:noWrap/>
            <w:hideMark/>
          </w:tcPr>
          <w:p w14:paraId="2CC2EDA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D239E5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A7D7F4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B89090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32B646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2B677D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D20391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783B0ADB"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Нефтеюганском районе муниципальные (государственные) учреждения (предприятия) не осуществляют деятельность в сфере управления многоквартирных домов.</w:t>
            </w:r>
          </w:p>
        </w:tc>
      </w:tr>
      <w:tr w:rsidR="00154BB3" w:rsidRPr="00403E44" w14:paraId="5D1B23EB" w14:textId="77777777" w:rsidTr="00AD1204">
        <w:trPr>
          <w:trHeight w:val="1500"/>
        </w:trPr>
        <w:tc>
          <w:tcPr>
            <w:tcW w:w="1418" w:type="dxa"/>
            <w:vMerge/>
            <w:vAlign w:val="center"/>
            <w:hideMark/>
          </w:tcPr>
          <w:p w14:paraId="3BD3C31A"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5F09B9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shd w:val="clear" w:color="auto" w:fill="auto"/>
            <w:hideMark/>
          </w:tcPr>
          <w:p w14:paraId="3A8E570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01ACCF6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27.6</w:t>
            </w:r>
          </w:p>
        </w:tc>
        <w:tc>
          <w:tcPr>
            <w:tcW w:w="992" w:type="dxa"/>
            <w:shd w:val="clear" w:color="000000" w:fill="D7D7D7"/>
            <w:noWrap/>
            <w:hideMark/>
          </w:tcPr>
          <w:p w14:paraId="5D9E716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2721A8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E6F57F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08DC8A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A56FA5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35CFCA3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F8E0A5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0730257F"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Нефтеюганском районе муниципальные (государственные) учреждения (предприятия) не осуществляют деятельность в сфере управления многоквартирных домов.</w:t>
            </w:r>
          </w:p>
        </w:tc>
      </w:tr>
      <w:tr w:rsidR="00154BB3" w:rsidRPr="00403E44" w14:paraId="7EC87AB1" w14:textId="77777777" w:rsidTr="00AD1204">
        <w:trPr>
          <w:trHeight w:val="1500"/>
        </w:trPr>
        <w:tc>
          <w:tcPr>
            <w:tcW w:w="1418" w:type="dxa"/>
            <w:vMerge/>
            <w:vAlign w:val="center"/>
            <w:hideMark/>
          </w:tcPr>
          <w:p w14:paraId="4C854D4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0F18B9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shd w:val="clear" w:color="auto" w:fill="auto"/>
            <w:hideMark/>
          </w:tcPr>
          <w:p w14:paraId="3D84AC3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25CFB91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27.7</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2CFB50B0" w14:textId="68342A6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63,2</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40533A6B" w14:textId="41216D5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63,8</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53F4E37A" w14:textId="5A29225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65,2</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74C79988" w14:textId="4FFF22B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65,3</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2859EAEC" w14:textId="73B1215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67,3</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1C962499" w14:textId="318E8D7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70,1</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4706B249" w14:textId="0C12F06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71,3</w:t>
            </w:r>
          </w:p>
        </w:tc>
        <w:tc>
          <w:tcPr>
            <w:tcW w:w="2551" w:type="dxa"/>
            <w:tcBorders>
              <w:top w:val="single" w:sz="4" w:space="0" w:color="auto"/>
              <w:left w:val="nil"/>
              <w:bottom w:val="single" w:sz="4" w:space="0" w:color="auto"/>
              <w:right w:val="single" w:sz="4" w:space="0" w:color="auto"/>
            </w:tcBorders>
            <w:shd w:val="clear" w:color="auto" w:fill="auto"/>
            <w:hideMark/>
          </w:tcPr>
          <w:p w14:paraId="66F276E7" w14:textId="66F456B5"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Значения показателя изменилось в связи с соотношением числа МКД, в которых собственники выбрали способ управления к общему числу МКД. </w:t>
            </w:r>
          </w:p>
        </w:tc>
      </w:tr>
      <w:tr w:rsidR="00154BB3" w:rsidRPr="00403E44" w14:paraId="030AC0E8" w14:textId="77777777" w:rsidTr="00AD1204">
        <w:trPr>
          <w:trHeight w:val="1800"/>
        </w:trPr>
        <w:tc>
          <w:tcPr>
            <w:tcW w:w="1418" w:type="dxa"/>
            <w:vMerge/>
            <w:vAlign w:val="center"/>
            <w:hideMark/>
          </w:tcPr>
          <w:p w14:paraId="6C17E56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BC8085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shd w:val="clear" w:color="auto" w:fill="auto"/>
            <w:hideMark/>
          </w:tcPr>
          <w:p w14:paraId="73F5CC4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37AB6AD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27.8</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462E4485" w14:textId="4D43F8D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533,0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780785AB" w14:textId="19643B2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528,0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539FEBC7" w14:textId="065D675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515,0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39251878" w14:textId="156AC1B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509,0</w:t>
            </w:r>
          </w:p>
        </w:tc>
        <w:tc>
          <w:tcPr>
            <w:tcW w:w="992" w:type="dxa"/>
            <w:tcBorders>
              <w:top w:val="single" w:sz="4" w:space="0" w:color="auto"/>
              <w:left w:val="nil"/>
              <w:bottom w:val="single" w:sz="4" w:space="0" w:color="auto"/>
              <w:right w:val="single" w:sz="4" w:space="0" w:color="auto"/>
            </w:tcBorders>
            <w:shd w:val="clear" w:color="auto" w:fill="auto"/>
            <w:noWrap/>
            <w:hideMark/>
          </w:tcPr>
          <w:p w14:paraId="5F289200" w14:textId="67AB2A7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497,0</w:t>
            </w:r>
          </w:p>
        </w:tc>
        <w:tc>
          <w:tcPr>
            <w:tcW w:w="993" w:type="dxa"/>
            <w:tcBorders>
              <w:top w:val="single" w:sz="4" w:space="0" w:color="auto"/>
              <w:left w:val="nil"/>
              <w:bottom w:val="single" w:sz="4" w:space="0" w:color="auto"/>
              <w:right w:val="single" w:sz="4" w:space="0" w:color="auto"/>
            </w:tcBorders>
            <w:shd w:val="clear" w:color="auto" w:fill="auto"/>
            <w:noWrap/>
            <w:hideMark/>
          </w:tcPr>
          <w:p w14:paraId="3276051C" w14:textId="7D9A560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490,0</w:t>
            </w:r>
          </w:p>
        </w:tc>
        <w:tc>
          <w:tcPr>
            <w:tcW w:w="992" w:type="dxa"/>
            <w:tcBorders>
              <w:top w:val="single" w:sz="4" w:space="0" w:color="auto"/>
              <w:left w:val="nil"/>
              <w:bottom w:val="single" w:sz="4" w:space="0" w:color="auto"/>
              <w:right w:val="single" w:sz="4" w:space="0" w:color="auto"/>
            </w:tcBorders>
            <w:shd w:val="clear" w:color="auto" w:fill="auto"/>
            <w:noWrap/>
            <w:hideMark/>
          </w:tcPr>
          <w:p w14:paraId="74AEC75B" w14:textId="2F91A1A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485,0</w:t>
            </w:r>
          </w:p>
        </w:tc>
        <w:tc>
          <w:tcPr>
            <w:tcW w:w="2551" w:type="dxa"/>
            <w:tcBorders>
              <w:top w:val="single" w:sz="4" w:space="0" w:color="auto"/>
              <w:left w:val="nil"/>
              <w:bottom w:val="single" w:sz="4" w:space="0" w:color="auto"/>
              <w:right w:val="single" w:sz="4" w:space="0" w:color="auto"/>
            </w:tcBorders>
            <w:shd w:val="clear" w:color="auto" w:fill="auto"/>
            <w:hideMark/>
          </w:tcPr>
          <w:p w14:paraId="7022D322" w14:textId="2BDA1B95"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Значения показателя уменьшилось, в связи со сносом МКД</w:t>
            </w:r>
          </w:p>
        </w:tc>
      </w:tr>
      <w:tr w:rsidR="00154BB3" w:rsidRPr="00403E44" w14:paraId="544BB057" w14:textId="77777777" w:rsidTr="00AD1204">
        <w:trPr>
          <w:trHeight w:val="2100"/>
        </w:trPr>
        <w:tc>
          <w:tcPr>
            <w:tcW w:w="1418" w:type="dxa"/>
            <w:vMerge/>
            <w:vAlign w:val="center"/>
            <w:hideMark/>
          </w:tcPr>
          <w:p w14:paraId="4E973A0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A991B46"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shd w:val="clear" w:color="auto" w:fill="auto"/>
            <w:hideMark/>
          </w:tcPr>
          <w:p w14:paraId="7EB80DE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75FAC0C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27.9</w:t>
            </w:r>
          </w:p>
        </w:tc>
        <w:tc>
          <w:tcPr>
            <w:tcW w:w="992" w:type="dxa"/>
            <w:shd w:val="clear" w:color="000000" w:fill="D7D7D7"/>
            <w:noWrap/>
            <w:hideMark/>
          </w:tcPr>
          <w:p w14:paraId="2FC21BA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4ABF0F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3492ED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997D86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51550A5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67B2E7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EB3145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71FA6B8"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Нефтеюганском районе хозяйственные общества с долей участия в уставном капитале субъекта РФ и (или) муниципального района не более 25% не осуществляют деятельность в сфере управления МКД.</w:t>
            </w:r>
          </w:p>
        </w:tc>
      </w:tr>
      <w:tr w:rsidR="00154BB3" w:rsidRPr="00403E44" w14:paraId="3F07B875" w14:textId="77777777" w:rsidTr="00AD1204">
        <w:trPr>
          <w:trHeight w:val="2100"/>
        </w:trPr>
        <w:tc>
          <w:tcPr>
            <w:tcW w:w="1418" w:type="dxa"/>
            <w:vMerge/>
            <w:vAlign w:val="center"/>
            <w:hideMark/>
          </w:tcPr>
          <w:p w14:paraId="76B8EF1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FB93E5E"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shd w:val="clear" w:color="auto" w:fill="auto"/>
            <w:hideMark/>
          </w:tcPr>
          <w:p w14:paraId="709A5D1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6CF2E78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27.10</w:t>
            </w:r>
          </w:p>
        </w:tc>
        <w:tc>
          <w:tcPr>
            <w:tcW w:w="992" w:type="dxa"/>
            <w:shd w:val="clear" w:color="000000" w:fill="D7D7D7"/>
            <w:noWrap/>
            <w:hideMark/>
          </w:tcPr>
          <w:p w14:paraId="3DA8A5F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9F3EE0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DFFD26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A37419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4DBE9B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3A0E8B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F0D98C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57AA6594"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Нефтеюганском районе хозяйственные общества с долей участия в уставном капитале субъекта РФ и (или) муниципального района не более 25% не осуществляют деятельность в сфере управления МКД.</w:t>
            </w:r>
          </w:p>
        </w:tc>
      </w:tr>
      <w:tr w:rsidR="00154BB3" w:rsidRPr="00403E44" w14:paraId="61743800" w14:textId="77777777" w:rsidTr="00AD1204">
        <w:trPr>
          <w:trHeight w:val="1800"/>
        </w:trPr>
        <w:tc>
          <w:tcPr>
            <w:tcW w:w="1418" w:type="dxa"/>
            <w:vMerge/>
            <w:vAlign w:val="center"/>
            <w:hideMark/>
          </w:tcPr>
          <w:p w14:paraId="263C243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C4719C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993" w:type="dxa"/>
            <w:shd w:val="clear" w:color="auto" w:fill="auto"/>
            <w:hideMark/>
          </w:tcPr>
          <w:p w14:paraId="7EB54E3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0C86B3A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27.11</w:t>
            </w:r>
          </w:p>
        </w:tc>
        <w:tc>
          <w:tcPr>
            <w:tcW w:w="992" w:type="dxa"/>
            <w:shd w:val="clear" w:color="000000" w:fill="D7D7D7"/>
            <w:noWrap/>
            <w:hideMark/>
          </w:tcPr>
          <w:p w14:paraId="26A6EA82" w14:textId="0908DD8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844</w:t>
            </w:r>
          </w:p>
        </w:tc>
        <w:tc>
          <w:tcPr>
            <w:tcW w:w="993" w:type="dxa"/>
            <w:shd w:val="clear" w:color="000000" w:fill="D7D7D7"/>
            <w:noWrap/>
            <w:hideMark/>
          </w:tcPr>
          <w:p w14:paraId="6C7F32B9" w14:textId="0CA4937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828</w:t>
            </w:r>
          </w:p>
        </w:tc>
        <w:tc>
          <w:tcPr>
            <w:tcW w:w="992" w:type="dxa"/>
            <w:shd w:val="clear" w:color="000000" w:fill="D7D7D7"/>
            <w:noWrap/>
            <w:hideMark/>
          </w:tcPr>
          <w:p w14:paraId="66C9D792" w14:textId="3D66B7B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790</w:t>
            </w:r>
          </w:p>
        </w:tc>
        <w:tc>
          <w:tcPr>
            <w:tcW w:w="992" w:type="dxa"/>
            <w:shd w:val="clear" w:color="000000" w:fill="D7D7D7"/>
            <w:noWrap/>
            <w:hideMark/>
          </w:tcPr>
          <w:p w14:paraId="685FD953" w14:textId="1BC22E6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779</w:t>
            </w:r>
          </w:p>
        </w:tc>
        <w:tc>
          <w:tcPr>
            <w:tcW w:w="992" w:type="dxa"/>
            <w:shd w:val="clear" w:color="auto" w:fill="auto"/>
            <w:noWrap/>
            <w:hideMark/>
          </w:tcPr>
          <w:p w14:paraId="40212476" w14:textId="3F5DB68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739</w:t>
            </w:r>
          </w:p>
        </w:tc>
        <w:tc>
          <w:tcPr>
            <w:tcW w:w="993" w:type="dxa"/>
            <w:shd w:val="clear" w:color="auto" w:fill="auto"/>
            <w:noWrap/>
            <w:hideMark/>
          </w:tcPr>
          <w:p w14:paraId="52809E81" w14:textId="004252F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699</w:t>
            </w:r>
          </w:p>
        </w:tc>
        <w:tc>
          <w:tcPr>
            <w:tcW w:w="992" w:type="dxa"/>
            <w:shd w:val="clear" w:color="auto" w:fill="auto"/>
            <w:noWrap/>
            <w:hideMark/>
          </w:tcPr>
          <w:p w14:paraId="2B4D9A53" w14:textId="31C68F7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680</w:t>
            </w:r>
          </w:p>
        </w:tc>
        <w:tc>
          <w:tcPr>
            <w:tcW w:w="2551" w:type="dxa"/>
            <w:shd w:val="clear" w:color="auto" w:fill="auto"/>
            <w:hideMark/>
          </w:tcPr>
          <w:p w14:paraId="5B26255D" w14:textId="66BD6CB2"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2023 году произошло уменьшение количества многоквартирных домов в связи со сносом и вводом МКД. В прогнозном периоде также ожидается уменьшение количества многоквартирных домов в связи со сносом и вводом в эксплуатацию новых многоквартирных домов в период 2024-2026 годах.</w:t>
            </w:r>
          </w:p>
        </w:tc>
      </w:tr>
      <w:tr w:rsidR="00154BB3" w:rsidRPr="00403E44" w14:paraId="507DF35A" w14:textId="77777777" w:rsidTr="00AD1204">
        <w:trPr>
          <w:trHeight w:val="1800"/>
        </w:trPr>
        <w:tc>
          <w:tcPr>
            <w:tcW w:w="1418" w:type="dxa"/>
            <w:vMerge/>
            <w:vAlign w:val="center"/>
            <w:hideMark/>
          </w:tcPr>
          <w:p w14:paraId="4295425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31E3A5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многоквартирных домов, в которых собственники помещений выбрали и реализуют способ управления многоквартирными домами</w:t>
            </w:r>
          </w:p>
        </w:tc>
        <w:tc>
          <w:tcPr>
            <w:tcW w:w="993" w:type="dxa"/>
            <w:shd w:val="clear" w:color="auto" w:fill="auto"/>
            <w:hideMark/>
          </w:tcPr>
          <w:p w14:paraId="69B069A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2FD1197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27.12</w:t>
            </w:r>
          </w:p>
        </w:tc>
        <w:tc>
          <w:tcPr>
            <w:tcW w:w="992" w:type="dxa"/>
            <w:shd w:val="clear" w:color="000000" w:fill="D7D7D7"/>
            <w:noWrap/>
            <w:hideMark/>
          </w:tcPr>
          <w:p w14:paraId="03CB7547" w14:textId="603CD0A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844</w:t>
            </w:r>
          </w:p>
        </w:tc>
        <w:tc>
          <w:tcPr>
            <w:tcW w:w="993" w:type="dxa"/>
            <w:shd w:val="clear" w:color="000000" w:fill="D7D7D7"/>
            <w:noWrap/>
            <w:hideMark/>
          </w:tcPr>
          <w:p w14:paraId="2F5EE65B" w14:textId="4AA6394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828</w:t>
            </w:r>
          </w:p>
        </w:tc>
        <w:tc>
          <w:tcPr>
            <w:tcW w:w="992" w:type="dxa"/>
            <w:shd w:val="clear" w:color="000000" w:fill="D7D7D7"/>
            <w:noWrap/>
            <w:hideMark/>
          </w:tcPr>
          <w:p w14:paraId="66B8086C" w14:textId="6DE44EA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790</w:t>
            </w:r>
          </w:p>
        </w:tc>
        <w:tc>
          <w:tcPr>
            <w:tcW w:w="992" w:type="dxa"/>
            <w:shd w:val="clear" w:color="000000" w:fill="D7D7D7"/>
            <w:noWrap/>
            <w:hideMark/>
          </w:tcPr>
          <w:p w14:paraId="3D280F7F" w14:textId="0AE9320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779</w:t>
            </w:r>
          </w:p>
        </w:tc>
        <w:tc>
          <w:tcPr>
            <w:tcW w:w="992" w:type="dxa"/>
            <w:shd w:val="clear" w:color="auto" w:fill="auto"/>
            <w:noWrap/>
            <w:hideMark/>
          </w:tcPr>
          <w:p w14:paraId="44E74311" w14:textId="658801C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739</w:t>
            </w:r>
          </w:p>
        </w:tc>
        <w:tc>
          <w:tcPr>
            <w:tcW w:w="993" w:type="dxa"/>
            <w:shd w:val="clear" w:color="auto" w:fill="auto"/>
            <w:noWrap/>
            <w:hideMark/>
          </w:tcPr>
          <w:p w14:paraId="7704CB66" w14:textId="497ED98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699</w:t>
            </w:r>
          </w:p>
        </w:tc>
        <w:tc>
          <w:tcPr>
            <w:tcW w:w="992" w:type="dxa"/>
            <w:shd w:val="clear" w:color="auto" w:fill="auto"/>
            <w:noWrap/>
            <w:hideMark/>
          </w:tcPr>
          <w:p w14:paraId="0DFBFB4C" w14:textId="3D4CAE7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680</w:t>
            </w:r>
          </w:p>
        </w:tc>
        <w:tc>
          <w:tcPr>
            <w:tcW w:w="2551" w:type="dxa"/>
            <w:shd w:val="clear" w:color="auto" w:fill="auto"/>
            <w:hideMark/>
          </w:tcPr>
          <w:p w14:paraId="16E4542D" w14:textId="2F61CC9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2023 году произошло уменьшение количества многоквартирных домов в связи со сносом и вводом МКД. В прогнозном периоде также ожидается уменьшение количества многоквартирных домов в связи со сносом и вводом в эксплуатацию новых многоквартирных домов в период 2024-2026 годах.</w:t>
            </w:r>
          </w:p>
        </w:tc>
      </w:tr>
      <w:tr w:rsidR="00154BB3" w:rsidRPr="00403E44" w14:paraId="41B5C419" w14:textId="77777777" w:rsidTr="00AD1204">
        <w:trPr>
          <w:trHeight w:val="3900"/>
        </w:trPr>
        <w:tc>
          <w:tcPr>
            <w:tcW w:w="1418" w:type="dxa"/>
            <w:vMerge/>
            <w:vAlign w:val="center"/>
            <w:hideMark/>
          </w:tcPr>
          <w:p w14:paraId="599DD16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67886B0"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w:t>
            </w:r>
            <w:r w:rsidRPr="00600B72">
              <w:rPr>
                <w:rFonts w:ascii="Times New Roman" w:eastAsia="Times New Roman" w:hAnsi="Times New Roman" w:cs="Times New Roman"/>
                <w:sz w:val="16"/>
                <w:szCs w:val="16"/>
                <w:lang w:eastAsia="ru-RU"/>
              </w:rPr>
              <w:lastRenderedPageBreak/>
              <w:t>округа (муниципального района)</w:t>
            </w:r>
          </w:p>
          <w:p w14:paraId="28D3CEF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0B819C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Процент</w:t>
            </w:r>
          </w:p>
        </w:tc>
        <w:tc>
          <w:tcPr>
            <w:tcW w:w="850" w:type="dxa"/>
            <w:shd w:val="clear" w:color="auto" w:fill="auto"/>
            <w:hideMark/>
          </w:tcPr>
          <w:p w14:paraId="11C1895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28</w:t>
            </w:r>
          </w:p>
        </w:tc>
        <w:tc>
          <w:tcPr>
            <w:tcW w:w="992" w:type="dxa"/>
            <w:shd w:val="clear" w:color="000000" w:fill="D7D7D7"/>
            <w:noWrap/>
            <w:hideMark/>
          </w:tcPr>
          <w:p w14:paraId="48BD875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71,4</w:t>
            </w:r>
          </w:p>
        </w:tc>
        <w:tc>
          <w:tcPr>
            <w:tcW w:w="993" w:type="dxa"/>
            <w:shd w:val="clear" w:color="000000" w:fill="D7D7D7"/>
            <w:noWrap/>
            <w:hideMark/>
          </w:tcPr>
          <w:p w14:paraId="29FF2207" w14:textId="6A5E4F7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60,0</w:t>
            </w:r>
          </w:p>
        </w:tc>
        <w:tc>
          <w:tcPr>
            <w:tcW w:w="992" w:type="dxa"/>
            <w:shd w:val="clear" w:color="000000" w:fill="D7D7D7"/>
            <w:noWrap/>
            <w:hideMark/>
          </w:tcPr>
          <w:p w14:paraId="3BC92A34" w14:textId="21AB882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66,7</w:t>
            </w:r>
          </w:p>
        </w:tc>
        <w:tc>
          <w:tcPr>
            <w:tcW w:w="992" w:type="dxa"/>
            <w:shd w:val="clear" w:color="000000" w:fill="D7D7D7"/>
            <w:noWrap/>
            <w:hideMark/>
          </w:tcPr>
          <w:p w14:paraId="2F64E78E" w14:textId="2B813F7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80,0</w:t>
            </w:r>
          </w:p>
        </w:tc>
        <w:tc>
          <w:tcPr>
            <w:tcW w:w="992" w:type="dxa"/>
            <w:shd w:val="clear" w:color="000000" w:fill="D7D7D7"/>
            <w:noWrap/>
            <w:hideMark/>
          </w:tcPr>
          <w:p w14:paraId="4D14042F" w14:textId="5EDFE2F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80,0</w:t>
            </w:r>
          </w:p>
        </w:tc>
        <w:tc>
          <w:tcPr>
            <w:tcW w:w="993" w:type="dxa"/>
            <w:shd w:val="clear" w:color="000000" w:fill="D7D7D7"/>
            <w:noWrap/>
            <w:hideMark/>
          </w:tcPr>
          <w:p w14:paraId="13F15180" w14:textId="14BF4C8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80,0</w:t>
            </w:r>
          </w:p>
        </w:tc>
        <w:tc>
          <w:tcPr>
            <w:tcW w:w="992" w:type="dxa"/>
            <w:shd w:val="clear" w:color="000000" w:fill="D7D7D7"/>
            <w:noWrap/>
            <w:hideMark/>
          </w:tcPr>
          <w:p w14:paraId="2BD0477C" w14:textId="5C3897C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80,0</w:t>
            </w:r>
          </w:p>
        </w:tc>
        <w:tc>
          <w:tcPr>
            <w:tcW w:w="2551" w:type="dxa"/>
            <w:shd w:val="clear" w:color="auto" w:fill="auto"/>
            <w:hideMark/>
          </w:tcPr>
          <w:p w14:paraId="70532B6C" w14:textId="35AD68AC"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Увеличение показателя связано с реорганизацией МУП сп.Сингапай "УЖКО" путем присоединения к ПМУП "УТВС" (уменьшилось количество муниципальных предприятий).</w:t>
            </w:r>
          </w:p>
        </w:tc>
      </w:tr>
      <w:tr w:rsidR="00154BB3" w:rsidRPr="00403E44" w14:paraId="1BBC05BA" w14:textId="77777777" w:rsidTr="00AD1204">
        <w:trPr>
          <w:trHeight w:val="438"/>
        </w:trPr>
        <w:tc>
          <w:tcPr>
            <w:tcW w:w="1418" w:type="dxa"/>
            <w:vMerge/>
            <w:vAlign w:val="center"/>
            <w:hideMark/>
          </w:tcPr>
          <w:p w14:paraId="7530C24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A9A1DC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p w14:paraId="3574F1B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62691F6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75E718F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28.1</w:t>
            </w:r>
          </w:p>
        </w:tc>
        <w:tc>
          <w:tcPr>
            <w:tcW w:w="992" w:type="dxa"/>
            <w:shd w:val="clear" w:color="000000" w:fill="D7D7D7"/>
            <w:noWrap/>
            <w:hideMark/>
          </w:tcPr>
          <w:p w14:paraId="3DB5DEC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993" w:type="dxa"/>
            <w:shd w:val="clear" w:color="000000" w:fill="D7D7D7"/>
            <w:noWrap/>
            <w:hideMark/>
          </w:tcPr>
          <w:p w14:paraId="0530355D" w14:textId="77CCFE7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3,0</w:t>
            </w:r>
          </w:p>
        </w:tc>
        <w:tc>
          <w:tcPr>
            <w:tcW w:w="992" w:type="dxa"/>
            <w:shd w:val="clear" w:color="000000" w:fill="D7D7D7"/>
            <w:noWrap/>
            <w:hideMark/>
          </w:tcPr>
          <w:p w14:paraId="257BE5B0" w14:textId="4D3DAF2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w:t>
            </w:r>
          </w:p>
        </w:tc>
        <w:tc>
          <w:tcPr>
            <w:tcW w:w="992" w:type="dxa"/>
            <w:shd w:val="clear" w:color="000000" w:fill="D7D7D7"/>
            <w:noWrap/>
            <w:hideMark/>
          </w:tcPr>
          <w:p w14:paraId="1D274D8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w:t>
            </w:r>
          </w:p>
        </w:tc>
        <w:tc>
          <w:tcPr>
            <w:tcW w:w="992" w:type="dxa"/>
            <w:shd w:val="clear" w:color="auto" w:fill="auto"/>
            <w:noWrap/>
            <w:hideMark/>
          </w:tcPr>
          <w:p w14:paraId="07D7186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w:t>
            </w:r>
          </w:p>
        </w:tc>
        <w:tc>
          <w:tcPr>
            <w:tcW w:w="993" w:type="dxa"/>
            <w:shd w:val="clear" w:color="auto" w:fill="auto"/>
            <w:noWrap/>
            <w:hideMark/>
          </w:tcPr>
          <w:p w14:paraId="61CFFCC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w:t>
            </w:r>
          </w:p>
        </w:tc>
        <w:tc>
          <w:tcPr>
            <w:tcW w:w="992" w:type="dxa"/>
            <w:shd w:val="clear" w:color="auto" w:fill="auto"/>
            <w:noWrap/>
            <w:hideMark/>
          </w:tcPr>
          <w:p w14:paraId="03209A6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4,0</w:t>
            </w:r>
          </w:p>
        </w:tc>
        <w:tc>
          <w:tcPr>
            <w:tcW w:w="2551" w:type="dxa"/>
            <w:shd w:val="clear" w:color="auto" w:fill="auto"/>
            <w:hideMark/>
          </w:tcPr>
          <w:p w14:paraId="14D07242" w14:textId="59EF084A"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Показатель сохраняется на уровне 2022 года.</w:t>
            </w:r>
          </w:p>
        </w:tc>
      </w:tr>
      <w:tr w:rsidR="00154BB3" w:rsidRPr="00403E44" w14:paraId="172170DF" w14:textId="77777777" w:rsidTr="00AD1204">
        <w:trPr>
          <w:trHeight w:val="1200"/>
        </w:trPr>
        <w:tc>
          <w:tcPr>
            <w:tcW w:w="1418" w:type="dxa"/>
            <w:vMerge/>
            <w:vAlign w:val="center"/>
            <w:hideMark/>
          </w:tcPr>
          <w:p w14:paraId="1734807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430610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число организаций коммунального комплекса</w:t>
            </w:r>
          </w:p>
        </w:tc>
        <w:tc>
          <w:tcPr>
            <w:tcW w:w="993" w:type="dxa"/>
            <w:shd w:val="clear" w:color="auto" w:fill="auto"/>
            <w:hideMark/>
          </w:tcPr>
          <w:p w14:paraId="5F06BAD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203B4CA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28.2</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1DF9A959" w14:textId="5C7CEB7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DE271A9" w14:textId="5DE5E6C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432F07F5" w14:textId="0ECEE31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7E51183E" w14:textId="41141A3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992" w:type="dxa"/>
            <w:tcBorders>
              <w:top w:val="single" w:sz="4" w:space="0" w:color="auto"/>
              <w:left w:val="nil"/>
              <w:bottom w:val="single" w:sz="4" w:space="0" w:color="auto"/>
              <w:right w:val="single" w:sz="4" w:space="0" w:color="auto"/>
            </w:tcBorders>
            <w:shd w:val="clear" w:color="auto" w:fill="auto"/>
            <w:noWrap/>
            <w:hideMark/>
          </w:tcPr>
          <w:p w14:paraId="081C055A" w14:textId="04ED6FE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993" w:type="dxa"/>
            <w:tcBorders>
              <w:top w:val="single" w:sz="4" w:space="0" w:color="auto"/>
              <w:left w:val="nil"/>
              <w:bottom w:val="single" w:sz="4" w:space="0" w:color="auto"/>
              <w:right w:val="single" w:sz="4" w:space="0" w:color="auto"/>
            </w:tcBorders>
            <w:shd w:val="clear" w:color="auto" w:fill="auto"/>
            <w:noWrap/>
            <w:hideMark/>
          </w:tcPr>
          <w:p w14:paraId="360606DE" w14:textId="1290E0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992" w:type="dxa"/>
            <w:tcBorders>
              <w:top w:val="single" w:sz="4" w:space="0" w:color="auto"/>
              <w:left w:val="nil"/>
              <w:bottom w:val="single" w:sz="4" w:space="0" w:color="auto"/>
              <w:right w:val="single" w:sz="4" w:space="0" w:color="auto"/>
            </w:tcBorders>
            <w:shd w:val="clear" w:color="auto" w:fill="auto"/>
            <w:noWrap/>
            <w:hideMark/>
          </w:tcPr>
          <w:p w14:paraId="20423CD4" w14:textId="53AA869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5,0</w:t>
            </w:r>
          </w:p>
        </w:tc>
        <w:tc>
          <w:tcPr>
            <w:tcW w:w="2551" w:type="dxa"/>
            <w:tcBorders>
              <w:top w:val="single" w:sz="4" w:space="0" w:color="auto"/>
              <w:left w:val="nil"/>
              <w:bottom w:val="single" w:sz="4" w:space="0" w:color="auto"/>
              <w:right w:val="single" w:sz="4" w:space="0" w:color="auto"/>
            </w:tcBorders>
            <w:shd w:val="clear" w:color="auto" w:fill="auto"/>
            <w:hideMark/>
          </w:tcPr>
          <w:p w14:paraId="2824641D" w14:textId="4607C422"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Уменьшение показателя связано с реорганизацией МУП сп.Сингапай "УЖКО" путем присоединения к ПМУП "УТВС" (уменьшилось количество муниципальных предприятий), организации: ПМУП "УТВС", ООО "НефтеюганскГаз", ООО "ПЭС", ООО "Монтажстройсервис", ООО "Газпром Межрегионгаз Север" </w:t>
            </w:r>
          </w:p>
        </w:tc>
      </w:tr>
      <w:tr w:rsidR="00154BB3" w:rsidRPr="00403E44" w14:paraId="12042C70" w14:textId="77777777" w:rsidTr="00AD1204">
        <w:trPr>
          <w:trHeight w:val="1500"/>
        </w:trPr>
        <w:tc>
          <w:tcPr>
            <w:tcW w:w="1418" w:type="dxa"/>
            <w:vMerge/>
            <w:vAlign w:val="center"/>
            <w:hideMark/>
          </w:tcPr>
          <w:p w14:paraId="78F3E7A9"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00B37A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993" w:type="dxa"/>
            <w:shd w:val="clear" w:color="auto" w:fill="auto"/>
            <w:hideMark/>
          </w:tcPr>
          <w:p w14:paraId="0961F16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0D77EFE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29</w:t>
            </w:r>
          </w:p>
        </w:tc>
        <w:tc>
          <w:tcPr>
            <w:tcW w:w="992" w:type="dxa"/>
            <w:shd w:val="clear" w:color="000000" w:fill="D7D7D7"/>
            <w:noWrap/>
            <w:hideMark/>
          </w:tcPr>
          <w:p w14:paraId="4D3BAD8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057C5BB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0ED6A51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5B882CA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1225356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3" w:type="dxa"/>
            <w:shd w:val="clear" w:color="000000" w:fill="D7D7D7"/>
            <w:noWrap/>
            <w:hideMark/>
          </w:tcPr>
          <w:p w14:paraId="387F194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992" w:type="dxa"/>
            <w:shd w:val="clear" w:color="000000" w:fill="D7D7D7"/>
            <w:noWrap/>
            <w:hideMark/>
          </w:tcPr>
          <w:p w14:paraId="7EFA40C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100,0</w:t>
            </w:r>
          </w:p>
        </w:tc>
        <w:tc>
          <w:tcPr>
            <w:tcW w:w="2551" w:type="dxa"/>
            <w:shd w:val="clear" w:color="auto" w:fill="auto"/>
            <w:hideMark/>
          </w:tcPr>
          <w:p w14:paraId="2FEF7FBC" w14:textId="6EA09F8C" w:rsidR="00154BB3" w:rsidRPr="000200E0" w:rsidRDefault="00154BB3" w:rsidP="00154BB3">
            <w:pPr>
              <w:spacing w:after="0" w:line="240" w:lineRule="auto"/>
              <w:rPr>
                <w:rFonts w:ascii="Times New Roman" w:eastAsia="Times New Roman" w:hAnsi="Times New Roman" w:cs="Times New Roman"/>
                <w:sz w:val="16"/>
                <w:szCs w:val="16"/>
                <w:lang w:eastAsia="ru-RU"/>
              </w:rPr>
            </w:pPr>
            <w:r w:rsidRPr="000200E0">
              <w:rPr>
                <w:rFonts w:ascii="Times New Roman" w:eastAsia="Times New Roman" w:hAnsi="Times New Roman" w:cs="Times New Roman"/>
                <w:sz w:val="16"/>
                <w:szCs w:val="16"/>
                <w:lang w:eastAsia="ru-RU"/>
              </w:rPr>
              <w:t xml:space="preserve">По сведениям о жилищном фонде, расположенном на территории Нефтеюганского района по состоянию на 31.12.2022 года число многоквартирных домов насчитывалось 764 единиц. В 2024 году планируется к сносу   24 МКД и будет введено </w:t>
            </w:r>
            <w:r w:rsidR="00653183">
              <w:rPr>
                <w:rFonts w:ascii="Times New Roman" w:eastAsia="Times New Roman" w:hAnsi="Times New Roman" w:cs="Times New Roman"/>
                <w:sz w:val="16"/>
                <w:szCs w:val="16"/>
                <w:lang w:eastAsia="ru-RU"/>
              </w:rPr>
              <w:t>5</w:t>
            </w:r>
            <w:r w:rsidRPr="000200E0">
              <w:rPr>
                <w:rFonts w:ascii="Times New Roman" w:eastAsia="Times New Roman" w:hAnsi="Times New Roman" w:cs="Times New Roman"/>
                <w:sz w:val="16"/>
                <w:szCs w:val="16"/>
                <w:lang w:eastAsia="ru-RU"/>
              </w:rPr>
              <w:t xml:space="preserve"> МКД.</w:t>
            </w:r>
          </w:p>
        </w:tc>
      </w:tr>
      <w:tr w:rsidR="00154BB3" w:rsidRPr="00403E44" w14:paraId="18FD6AC4" w14:textId="77777777" w:rsidTr="000200E0">
        <w:trPr>
          <w:trHeight w:val="1613"/>
        </w:trPr>
        <w:tc>
          <w:tcPr>
            <w:tcW w:w="1418" w:type="dxa"/>
            <w:vMerge/>
            <w:vAlign w:val="center"/>
            <w:hideMark/>
          </w:tcPr>
          <w:p w14:paraId="45296FB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1AEE38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993" w:type="dxa"/>
            <w:shd w:val="clear" w:color="auto" w:fill="auto"/>
            <w:hideMark/>
          </w:tcPr>
          <w:p w14:paraId="0D5C2A3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23CBFD8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C93E4A" w14:textId="7A79B91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828,0</w:t>
            </w:r>
          </w:p>
        </w:tc>
        <w:tc>
          <w:tcPr>
            <w:tcW w:w="993" w:type="dxa"/>
            <w:tcBorders>
              <w:top w:val="single" w:sz="4" w:space="0" w:color="auto"/>
              <w:left w:val="nil"/>
              <w:bottom w:val="single" w:sz="4" w:space="0" w:color="auto"/>
              <w:right w:val="single" w:sz="4" w:space="0" w:color="auto"/>
            </w:tcBorders>
            <w:shd w:val="clear" w:color="auto" w:fill="auto"/>
            <w:noWrap/>
            <w:hideMark/>
          </w:tcPr>
          <w:p w14:paraId="3A678376" w14:textId="4FCCB41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790,0</w:t>
            </w:r>
          </w:p>
        </w:tc>
        <w:tc>
          <w:tcPr>
            <w:tcW w:w="992" w:type="dxa"/>
            <w:tcBorders>
              <w:top w:val="single" w:sz="4" w:space="0" w:color="auto"/>
              <w:left w:val="nil"/>
              <w:bottom w:val="single" w:sz="4" w:space="0" w:color="auto"/>
              <w:right w:val="single" w:sz="4" w:space="0" w:color="auto"/>
            </w:tcBorders>
            <w:shd w:val="clear" w:color="auto" w:fill="auto"/>
            <w:noWrap/>
            <w:hideMark/>
          </w:tcPr>
          <w:p w14:paraId="302B12E5" w14:textId="6B7B92A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779,0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F80AA89" w14:textId="30A27CD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764,0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61B57B0" w14:textId="4D39AF0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744,0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61FFAF9C" w14:textId="47AA033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00E81D" w14:textId="0BE6D63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828,0</w:t>
            </w:r>
          </w:p>
        </w:tc>
        <w:tc>
          <w:tcPr>
            <w:tcW w:w="2551" w:type="dxa"/>
            <w:shd w:val="clear" w:color="auto" w:fill="auto"/>
            <w:hideMark/>
          </w:tcPr>
          <w:p w14:paraId="579673B7" w14:textId="12C7AD65" w:rsidR="00154BB3" w:rsidRPr="000200E0" w:rsidRDefault="00154BB3" w:rsidP="00154BB3">
            <w:pPr>
              <w:spacing w:after="0" w:line="240" w:lineRule="auto"/>
              <w:rPr>
                <w:rFonts w:ascii="Times New Roman" w:eastAsia="Times New Roman" w:hAnsi="Times New Roman" w:cs="Times New Roman"/>
                <w:sz w:val="16"/>
                <w:szCs w:val="16"/>
                <w:lang w:eastAsia="ru-RU"/>
              </w:rPr>
            </w:pPr>
            <w:r w:rsidRPr="000200E0">
              <w:rPr>
                <w:rFonts w:ascii="Times New Roman" w:eastAsia="Times New Roman" w:hAnsi="Times New Roman" w:cs="Times New Roman"/>
                <w:sz w:val="16"/>
                <w:szCs w:val="16"/>
                <w:lang w:eastAsia="ru-RU"/>
              </w:rPr>
              <w:t xml:space="preserve">По сведениям о жилищном фонде, расположенном на территории Нефтеюганского района по состоянию на 31.12.2022 года число многоквартирных домов насчитывалось 764 единиц. В 2024 году планируется к сносу   24 МКД и будет введено </w:t>
            </w:r>
            <w:r w:rsidR="00653183">
              <w:rPr>
                <w:rFonts w:ascii="Times New Roman" w:eastAsia="Times New Roman" w:hAnsi="Times New Roman" w:cs="Times New Roman"/>
                <w:sz w:val="16"/>
                <w:szCs w:val="16"/>
                <w:lang w:eastAsia="ru-RU"/>
              </w:rPr>
              <w:t>5</w:t>
            </w:r>
            <w:r w:rsidRPr="000200E0">
              <w:rPr>
                <w:rFonts w:ascii="Times New Roman" w:eastAsia="Times New Roman" w:hAnsi="Times New Roman" w:cs="Times New Roman"/>
                <w:sz w:val="16"/>
                <w:szCs w:val="16"/>
                <w:lang w:eastAsia="ru-RU"/>
              </w:rPr>
              <w:t xml:space="preserve"> МКД.</w:t>
            </w:r>
          </w:p>
          <w:p w14:paraId="41E212F0" w14:textId="77777777" w:rsidR="00154BB3" w:rsidRPr="000200E0" w:rsidRDefault="00154BB3" w:rsidP="00154BB3">
            <w:pPr>
              <w:spacing w:after="0" w:line="240" w:lineRule="auto"/>
              <w:rPr>
                <w:rFonts w:ascii="Times New Roman" w:eastAsia="Times New Roman" w:hAnsi="Times New Roman" w:cs="Times New Roman"/>
                <w:sz w:val="16"/>
                <w:szCs w:val="16"/>
                <w:lang w:eastAsia="ru-RU"/>
              </w:rPr>
            </w:pPr>
          </w:p>
        </w:tc>
      </w:tr>
      <w:tr w:rsidR="00154BB3" w:rsidRPr="00403E44" w14:paraId="76FF7A18" w14:textId="77777777" w:rsidTr="00AD1204">
        <w:trPr>
          <w:trHeight w:val="1500"/>
        </w:trPr>
        <w:tc>
          <w:tcPr>
            <w:tcW w:w="1418" w:type="dxa"/>
            <w:vMerge/>
            <w:vAlign w:val="center"/>
            <w:hideMark/>
          </w:tcPr>
          <w:p w14:paraId="42F8E66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1ABA857"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Общее количество многоквартирных домов</w:t>
            </w:r>
          </w:p>
        </w:tc>
        <w:tc>
          <w:tcPr>
            <w:tcW w:w="993" w:type="dxa"/>
            <w:shd w:val="clear" w:color="auto" w:fill="auto"/>
            <w:hideMark/>
          </w:tcPr>
          <w:p w14:paraId="1166059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Единица</w:t>
            </w:r>
          </w:p>
        </w:tc>
        <w:tc>
          <w:tcPr>
            <w:tcW w:w="850" w:type="dxa"/>
            <w:shd w:val="clear" w:color="auto" w:fill="auto"/>
            <w:hideMark/>
          </w:tcPr>
          <w:p w14:paraId="11F178F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B9EF38" w14:textId="3FF48A5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828,0</w:t>
            </w:r>
          </w:p>
        </w:tc>
        <w:tc>
          <w:tcPr>
            <w:tcW w:w="993" w:type="dxa"/>
            <w:tcBorders>
              <w:top w:val="single" w:sz="4" w:space="0" w:color="auto"/>
              <w:left w:val="nil"/>
              <w:bottom w:val="single" w:sz="4" w:space="0" w:color="auto"/>
              <w:right w:val="single" w:sz="4" w:space="0" w:color="auto"/>
            </w:tcBorders>
            <w:shd w:val="clear" w:color="auto" w:fill="auto"/>
            <w:noWrap/>
            <w:hideMark/>
          </w:tcPr>
          <w:p w14:paraId="331B3B98" w14:textId="69E16F0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790,0</w:t>
            </w:r>
          </w:p>
        </w:tc>
        <w:tc>
          <w:tcPr>
            <w:tcW w:w="992" w:type="dxa"/>
            <w:tcBorders>
              <w:top w:val="single" w:sz="4" w:space="0" w:color="auto"/>
              <w:left w:val="nil"/>
              <w:bottom w:val="single" w:sz="4" w:space="0" w:color="auto"/>
              <w:right w:val="single" w:sz="4" w:space="0" w:color="auto"/>
            </w:tcBorders>
            <w:shd w:val="clear" w:color="auto" w:fill="auto"/>
            <w:noWrap/>
            <w:hideMark/>
          </w:tcPr>
          <w:p w14:paraId="36CA00A0" w14:textId="7680A17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779,0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E86BBC2" w14:textId="1C36FA8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764,0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1DE062D" w14:textId="7BF39E6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744,0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0D9FBA34" w14:textId="3AC67E9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B705CD" w14:textId="16B409C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828,0</w:t>
            </w:r>
          </w:p>
        </w:tc>
        <w:tc>
          <w:tcPr>
            <w:tcW w:w="2551" w:type="dxa"/>
            <w:shd w:val="clear" w:color="auto" w:fill="auto"/>
            <w:hideMark/>
          </w:tcPr>
          <w:p w14:paraId="5F666A0E" w14:textId="539BE8F9" w:rsidR="00154BB3" w:rsidRPr="000200E0" w:rsidRDefault="00154BB3" w:rsidP="00154BB3">
            <w:pPr>
              <w:spacing w:after="0" w:line="240" w:lineRule="auto"/>
              <w:rPr>
                <w:rFonts w:ascii="Times New Roman" w:eastAsia="Times New Roman" w:hAnsi="Times New Roman" w:cs="Times New Roman"/>
                <w:sz w:val="16"/>
                <w:szCs w:val="16"/>
                <w:lang w:eastAsia="ru-RU"/>
              </w:rPr>
            </w:pPr>
            <w:r w:rsidRPr="000200E0">
              <w:rPr>
                <w:rFonts w:ascii="Times New Roman" w:eastAsia="Times New Roman" w:hAnsi="Times New Roman" w:cs="Times New Roman"/>
                <w:sz w:val="16"/>
                <w:szCs w:val="16"/>
                <w:lang w:eastAsia="ru-RU"/>
              </w:rPr>
              <w:t xml:space="preserve">По сведениям о жилищном фонде, расположенном на территории Нефтеюганского района по состоянию на 31.12.2022 года число многоквартирных домов насчитывалось 764 единиц. В 2024 году планируется к </w:t>
            </w:r>
            <w:proofErr w:type="gramStart"/>
            <w:r w:rsidRPr="000200E0">
              <w:rPr>
                <w:rFonts w:ascii="Times New Roman" w:eastAsia="Times New Roman" w:hAnsi="Times New Roman" w:cs="Times New Roman"/>
                <w:sz w:val="16"/>
                <w:szCs w:val="16"/>
                <w:lang w:eastAsia="ru-RU"/>
              </w:rPr>
              <w:t>сносу  24</w:t>
            </w:r>
            <w:proofErr w:type="gramEnd"/>
            <w:r w:rsidRPr="000200E0">
              <w:rPr>
                <w:rFonts w:ascii="Times New Roman" w:eastAsia="Times New Roman" w:hAnsi="Times New Roman" w:cs="Times New Roman"/>
                <w:sz w:val="16"/>
                <w:szCs w:val="16"/>
                <w:lang w:eastAsia="ru-RU"/>
              </w:rPr>
              <w:t xml:space="preserve"> МКД и будет введено </w:t>
            </w:r>
            <w:r w:rsidR="00653183">
              <w:rPr>
                <w:rFonts w:ascii="Times New Roman" w:eastAsia="Times New Roman" w:hAnsi="Times New Roman" w:cs="Times New Roman"/>
                <w:sz w:val="16"/>
                <w:szCs w:val="16"/>
                <w:lang w:eastAsia="ru-RU"/>
              </w:rPr>
              <w:t>5</w:t>
            </w:r>
            <w:r w:rsidRPr="000200E0">
              <w:rPr>
                <w:rFonts w:ascii="Times New Roman" w:eastAsia="Times New Roman" w:hAnsi="Times New Roman" w:cs="Times New Roman"/>
                <w:sz w:val="16"/>
                <w:szCs w:val="16"/>
                <w:lang w:eastAsia="ru-RU"/>
              </w:rPr>
              <w:t xml:space="preserve"> МКД.</w:t>
            </w:r>
          </w:p>
        </w:tc>
      </w:tr>
      <w:tr w:rsidR="00917D22" w:rsidRPr="00403E44" w14:paraId="183FAF11" w14:textId="77777777" w:rsidTr="00AD1204">
        <w:trPr>
          <w:trHeight w:val="1500"/>
        </w:trPr>
        <w:tc>
          <w:tcPr>
            <w:tcW w:w="1418" w:type="dxa"/>
            <w:vMerge/>
            <w:vAlign w:val="center"/>
          </w:tcPr>
          <w:p w14:paraId="2B11FBE1" w14:textId="77777777" w:rsidR="00917D22" w:rsidRPr="00FA0EA7" w:rsidRDefault="00917D22" w:rsidP="00917D22">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tcPr>
          <w:p w14:paraId="6BF8AB85" w14:textId="6EC363CB" w:rsidR="00917D22" w:rsidRPr="00600B72" w:rsidRDefault="00917D22" w:rsidP="00917D22">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993" w:type="dxa"/>
            <w:shd w:val="clear" w:color="auto" w:fill="auto"/>
          </w:tcPr>
          <w:p w14:paraId="3DD903C7" w14:textId="58D8680B" w:rsidR="00917D22" w:rsidRPr="00600B72" w:rsidRDefault="00917D22" w:rsidP="00917D22">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tcPr>
          <w:p w14:paraId="4972C9E0" w14:textId="011C4D3C" w:rsidR="00917D22" w:rsidRPr="00600B72" w:rsidRDefault="00917D22" w:rsidP="00917D22">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B77562" w14:textId="35CBA51A" w:rsidR="00917D22" w:rsidRPr="00600B72" w:rsidRDefault="00917D22" w:rsidP="00917D22">
            <w:pPr>
              <w:spacing w:after="0" w:line="240" w:lineRule="auto"/>
              <w:jc w:val="right"/>
              <w:rPr>
                <w:rFonts w:ascii="Times New Roman" w:hAnsi="Times New Roman" w:cs="Times New Roman"/>
                <w:sz w:val="16"/>
                <w:szCs w:val="16"/>
              </w:rPr>
            </w:pPr>
            <w:r w:rsidRPr="00600B72">
              <w:rPr>
                <w:rFonts w:ascii="Times New Roman" w:hAnsi="Times New Roman" w:cs="Times New Roman"/>
                <w:sz w:val="16"/>
                <w:szCs w:val="16"/>
              </w:rPr>
              <w:t xml:space="preserve">    25,0</w:t>
            </w:r>
          </w:p>
        </w:tc>
        <w:tc>
          <w:tcPr>
            <w:tcW w:w="993" w:type="dxa"/>
            <w:tcBorders>
              <w:top w:val="single" w:sz="4" w:space="0" w:color="auto"/>
              <w:left w:val="nil"/>
              <w:bottom w:val="single" w:sz="4" w:space="0" w:color="auto"/>
              <w:right w:val="single" w:sz="4" w:space="0" w:color="auto"/>
            </w:tcBorders>
            <w:shd w:val="clear" w:color="auto" w:fill="auto"/>
            <w:noWrap/>
          </w:tcPr>
          <w:p w14:paraId="401F16BB" w14:textId="6089BA06" w:rsidR="00917D22" w:rsidRPr="00600B72" w:rsidRDefault="00917D22" w:rsidP="00917D22">
            <w:pPr>
              <w:spacing w:after="0" w:line="240" w:lineRule="auto"/>
              <w:jc w:val="right"/>
              <w:rPr>
                <w:rFonts w:ascii="Times New Roman" w:hAnsi="Times New Roman" w:cs="Times New Roman"/>
                <w:sz w:val="16"/>
                <w:szCs w:val="16"/>
              </w:rPr>
            </w:pPr>
            <w:r w:rsidRPr="00600B72">
              <w:rPr>
                <w:rFonts w:ascii="Times New Roman" w:hAnsi="Times New Roman" w:cs="Times New Roman"/>
                <w:sz w:val="16"/>
                <w:szCs w:val="16"/>
              </w:rPr>
              <w:t xml:space="preserve">    25,0</w:t>
            </w:r>
          </w:p>
        </w:tc>
        <w:tc>
          <w:tcPr>
            <w:tcW w:w="992" w:type="dxa"/>
            <w:tcBorders>
              <w:top w:val="single" w:sz="4" w:space="0" w:color="auto"/>
              <w:left w:val="nil"/>
              <w:bottom w:val="single" w:sz="4" w:space="0" w:color="auto"/>
              <w:right w:val="single" w:sz="4" w:space="0" w:color="auto"/>
            </w:tcBorders>
            <w:shd w:val="clear" w:color="auto" w:fill="auto"/>
            <w:noWrap/>
          </w:tcPr>
          <w:p w14:paraId="03B7CD84" w14:textId="1EB26CD8" w:rsidR="00917D22" w:rsidRPr="00600B72" w:rsidRDefault="00917D22" w:rsidP="00917D22">
            <w:pPr>
              <w:spacing w:after="0" w:line="240" w:lineRule="auto"/>
              <w:jc w:val="right"/>
              <w:rPr>
                <w:rFonts w:ascii="Times New Roman" w:hAnsi="Times New Roman" w:cs="Times New Roman"/>
                <w:sz w:val="16"/>
                <w:szCs w:val="16"/>
              </w:rPr>
            </w:pPr>
            <w:r w:rsidRPr="00600B72">
              <w:rPr>
                <w:rFonts w:ascii="Times New Roman" w:hAnsi="Times New Roman" w:cs="Times New Roman"/>
                <w:sz w:val="16"/>
                <w:szCs w:val="16"/>
              </w:rPr>
              <w:t xml:space="preserve">    5,8</w:t>
            </w:r>
          </w:p>
        </w:tc>
        <w:tc>
          <w:tcPr>
            <w:tcW w:w="992" w:type="dxa"/>
            <w:tcBorders>
              <w:top w:val="single" w:sz="4" w:space="0" w:color="auto"/>
              <w:left w:val="nil"/>
              <w:bottom w:val="single" w:sz="4" w:space="0" w:color="auto"/>
              <w:right w:val="single" w:sz="4" w:space="0" w:color="auto"/>
            </w:tcBorders>
            <w:shd w:val="clear" w:color="000000" w:fill="FFFFFF"/>
            <w:noWrap/>
          </w:tcPr>
          <w:p w14:paraId="3D5402AA" w14:textId="39F27F52" w:rsidR="00917D22" w:rsidRPr="00917D22" w:rsidRDefault="00917D22" w:rsidP="00917D22">
            <w:pPr>
              <w:spacing w:after="0" w:line="240" w:lineRule="auto"/>
              <w:jc w:val="right"/>
              <w:rPr>
                <w:rFonts w:ascii="Times New Roman" w:hAnsi="Times New Roman" w:cs="Times New Roman"/>
                <w:sz w:val="16"/>
                <w:szCs w:val="16"/>
              </w:rPr>
            </w:pPr>
            <w:r w:rsidRPr="00917D22">
              <w:rPr>
                <w:rFonts w:ascii="Times New Roman" w:hAnsi="Times New Roman" w:cs="Times New Roman"/>
                <w:sz w:val="16"/>
                <w:szCs w:val="16"/>
              </w:rPr>
              <w:t xml:space="preserve">    29,8</w:t>
            </w:r>
          </w:p>
        </w:tc>
        <w:tc>
          <w:tcPr>
            <w:tcW w:w="992" w:type="dxa"/>
            <w:tcBorders>
              <w:top w:val="single" w:sz="4" w:space="0" w:color="auto"/>
              <w:left w:val="nil"/>
              <w:bottom w:val="single" w:sz="4" w:space="0" w:color="auto"/>
              <w:right w:val="single" w:sz="4" w:space="0" w:color="auto"/>
            </w:tcBorders>
            <w:shd w:val="clear" w:color="000000" w:fill="FFFFFF"/>
            <w:noWrap/>
          </w:tcPr>
          <w:p w14:paraId="5AF7190F" w14:textId="74233CDE" w:rsidR="00917D22" w:rsidRPr="00917D22" w:rsidRDefault="00917D22" w:rsidP="00917D22">
            <w:pPr>
              <w:spacing w:after="0" w:line="240" w:lineRule="auto"/>
              <w:jc w:val="right"/>
              <w:rPr>
                <w:rFonts w:ascii="Times New Roman" w:hAnsi="Times New Roman" w:cs="Times New Roman"/>
                <w:sz w:val="16"/>
                <w:szCs w:val="16"/>
              </w:rPr>
            </w:pPr>
            <w:r w:rsidRPr="00917D22">
              <w:rPr>
                <w:rFonts w:ascii="Times New Roman" w:hAnsi="Times New Roman" w:cs="Times New Roman"/>
                <w:sz w:val="16"/>
                <w:szCs w:val="16"/>
              </w:rPr>
              <w:t>9,3</w:t>
            </w:r>
          </w:p>
        </w:tc>
        <w:tc>
          <w:tcPr>
            <w:tcW w:w="993" w:type="dxa"/>
            <w:tcBorders>
              <w:top w:val="single" w:sz="4" w:space="0" w:color="auto"/>
              <w:left w:val="nil"/>
              <w:bottom w:val="single" w:sz="4" w:space="0" w:color="auto"/>
              <w:right w:val="single" w:sz="4" w:space="0" w:color="auto"/>
            </w:tcBorders>
            <w:shd w:val="clear" w:color="000000" w:fill="FFFFFF"/>
            <w:noWrap/>
          </w:tcPr>
          <w:p w14:paraId="54894477" w14:textId="4F18D7CE" w:rsidR="00917D22" w:rsidRPr="00917D22" w:rsidRDefault="00917D22" w:rsidP="00917D22">
            <w:pPr>
              <w:spacing w:after="0" w:line="240" w:lineRule="auto"/>
              <w:jc w:val="right"/>
              <w:rPr>
                <w:rFonts w:ascii="Times New Roman" w:hAnsi="Times New Roman" w:cs="Times New Roman"/>
                <w:sz w:val="16"/>
                <w:szCs w:val="16"/>
              </w:rPr>
            </w:pPr>
            <w:r w:rsidRPr="00917D22">
              <w:rPr>
                <w:rFonts w:ascii="Times New Roman" w:hAnsi="Times New Roman" w:cs="Times New Roman"/>
                <w:sz w:val="16"/>
                <w:szCs w:val="16"/>
              </w:rPr>
              <w:t>9,4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147847" w14:textId="52B0F8B7" w:rsidR="00917D22" w:rsidRPr="00917D22" w:rsidRDefault="00917D22" w:rsidP="00917D22">
            <w:pPr>
              <w:spacing w:after="0" w:line="240" w:lineRule="auto"/>
              <w:jc w:val="right"/>
              <w:rPr>
                <w:rFonts w:ascii="Times New Roman" w:hAnsi="Times New Roman" w:cs="Times New Roman"/>
                <w:sz w:val="16"/>
                <w:szCs w:val="16"/>
              </w:rPr>
            </w:pPr>
            <w:r w:rsidRPr="00917D22">
              <w:rPr>
                <w:rFonts w:ascii="Times New Roman" w:hAnsi="Times New Roman" w:cs="Times New Roman"/>
                <w:sz w:val="16"/>
                <w:szCs w:val="16"/>
              </w:rPr>
              <w:t xml:space="preserve">    9,5</w:t>
            </w:r>
          </w:p>
        </w:tc>
        <w:tc>
          <w:tcPr>
            <w:tcW w:w="2551" w:type="dxa"/>
            <w:shd w:val="clear" w:color="auto" w:fill="auto"/>
          </w:tcPr>
          <w:p w14:paraId="11318A0E" w14:textId="77777777" w:rsidR="00917D22" w:rsidRPr="00917D22" w:rsidRDefault="00917D22" w:rsidP="00917D22">
            <w:pPr>
              <w:spacing w:after="0" w:line="240" w:lineRule="auto"/>
              <w:rPr>
                <w:rFonts w:ascii="Times New Roman" w:eastAsia="Times New Roman" w:hAnsi="Times New Roman" w:cs="Times New Roman"/>
                <w:sz w:val="16"/>
                <w:szCs w:val="16"/>
                <w:lang w:eastAsia="ru-RU"/>
              </w:rPr>
            </w:pPr>
            <w:r w:rsidRPr="00917D22">
              <w:rPr>
                <w:rFonts w:ascii="Times New Roman" w:eastAsia="Times New Roman" w:hAnsi="Times New Roman" w:cs="Times New Roman"/>
                <w:sz w:val="16"/>
                <w:szCs w:val="16"/>
                <w:lang w:eastAsia="ru-RU"/>
              </w:rPr>
              <w:t>Данный показатель рассчитывается исходя из соотношения численности населения, получившего жилые помещения и улучшившего жилищные условия в отчетном году (человек) и общей численности населения, состоящего на учете в качестве нуждающегося в жилых помещениях на конец прошлого года (человек).</w:t>
            </w:r>
          </w:p>
          <w:p w14:paraId="7956F69C" w14:textId="69927B36" w:rsidR="00917D22" w:rsidRPr="00917D22" w:rsidRDefault="00917D22" w:rsidP="00917D22">
            <w:pPr>
              <w:spacing w:after="0" w:line="240" w:lineRule="auto"/>
              <w:rPr>
                <w:rFonts w:ascii="Times New Roman" w:eastAsia="Times New Roman" w:hAnsi="Times New Roman" w:cs="Times New Roman"/>
                <w:color w:val="00B050"/>
                <w:sz w:val="16"/>
                <w:szCs w:val="16"/>
                <w:lang w:eastAsia="ru-RU"/>
              </w:rPr>
            </w:pPr>
            <w:r w:rsidRPr="00917D22">
              <w:rPr>
                <w:rFonts w:ascii="Times New Roman" w:eastAsia="Times New Roman" w:hAnsi="Times New Roman" w:cs="Times New Roman"/>
                <w:sz w:val="16"/>
                <w:szCs w:val="16"/>
                <w:lang w:eastAsia="ru-RU"/>
              </w:rPr>
              <w:t>Согласно информации, предоставленной администрациями поселений, количество семей, состоящих на учете в качестве нуждающихся на 31.12.2023 составляет 3 638 человек, количество человек, улучшивших жилищные условия составляет 1</w:t>
            </w:r>
            <w:r>
              <w:rPr>
                <w:rFonts w:ascii="Times New Roman" w:eastAsia="Times New Roman" w:hAnsi="Times New Roman" w:cs="Times New Roman"/>
                <w:sz w:val="16"/>
                <w:szCs w:val="16"/>
                <w:lang w:eastAsia="ru-RU"/>
              </w:rPr>
              <w:t xml:space="preserve"> </w:t>
            </w:r>
            <w:r w:rsidRPr="00917D22">
              <w:rPr>
                <w:rFonts w:ascii="Times New Roman" w:eastAsia="Times New Roman" w:hAnsi="Times New Roman" w:cs="Times New Roman"/>
                <w:sz w:val="16"/>
                <w:szCs w:val="16"/>
                <w:lang w:eastAsia="ru-RU"/>
              </w:rPr>
              <w:t>087 человек</w:t>
            </w:r>
          </w:p>
        </w:tc>
      </w:tr>
      <w:tr w:rsidR="00154BB3" w:rsidRPr="00403E44" w14:paraId="33D4D322" w14:textId="77777777" w:rsidTr="00AD1204">
        <w:trPr>
          <w:trHeight w:val="1958"/>
        </w:trPr>
        <w:tc>
          <w:tcPr>
            <w:tcW w:w="1418" w:type="dxa"/>
            <w:vMerge w:val="restart"/>
            <w:shd w:val="clear" w:color="auto" w:fill="auto"/>
            <w:hideMark/>
          </w:tcPr>
          <w:p w14:paraId="3640283D" w14:textId="77777777" w:rsidR="00154BB3" w:rsidRPr="00AD1204" w:rsidRDefault="00154BB3" w:rsidP="00154BB3">
            <w:pPr>
              <w:spacing w:after="0" w:line="240" w:lineRule="auto"/>
              <w:rPr>
                <w:rFonts w:ascii="Times New Roman" w:eastAsia="Times New Roman" w:hAnsi="Times New Roman" w:cs="Times New Roman"/>
                <w:color w:val="00B050"/>
                <w:sz w:val="16"/>
                <w:szCs w:val="16"/>
                <w:lang w:eastAsia="ru-RU"/>
              </w:rPr>
            </w:pPr>
            <w:r w:rsidRPr="007828BB">
              <w:rPr>
                <w:rFonts w:ascii="Times New Roman" w:eastAsia="Times New Roman" w:hAnsi="Times New Roman" w:cs="Times New Roman"/>
                <w:sz w:val="16"/>
                <w:szCs w:val="16"/>
                <w:lang w:eastAsia="ru-RU"/>
              </w:rPr>
              <w:lastRenderedPageBreak/>
              <w:t>Организация муниципального управления</w:t>
            </w:r>
          </w:p>
        </w:tc>
        <w:tc>
          <w:tcPr>
            <w:tcW w:w="2268" w:type="dxa"/>
            <w:shd w:val="clear" w:color="auto" w:fill="auto"/>
            <w:hideMark/>
          </w:tcPr>
          <w:p w14:paraId="5654718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993" w:type="dxa"/>
            <w:shd w:val="clear" w:color="auto" w:fill="auto"/>
            <w:hideMark/>
          </w:tcPr>
          <w:p w14:paraId="0094C2F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6608D6B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31</w:t>
            </w:r>
          </w:p>
        </w:tc>
        <w:tc>
          <w:tcPr>
            <w:tcW w:w="992" w:type="dxa"/>
            <w:shd w:val="clear" w:color="000000" w:fill="D7D7D7"/>
            <w:noWrap/>
            <w:hideMark/>
          </w:tcPr>
          <w:p w14:paraId="7C22523E" w14:textId="32E63E6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48,8</w:t>
            </w:r>
          </w:p>
        </w:tc>
        <w:tc>
          <w:tcPr>
            <w:tcW w:w="993" w:type="dxa"/>
            <w:shd w:val="clear" w:color="000000" w:fill="D7D7D7"/>
            <w:noWrap/>
            <w:hideMark/>
          </w:tcPr>
          <w:p w14:paraId="4BBA146D" w14:textId="48E5A1C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59,3</w:t>
            </w:r>
          </w:p>
        </w:tc>
        <w:tc>
          <w:tcPr>
            <w:tcW w:w="992" w:type="dxa"/>
            <w:shd w:val="clear" w:color="000000" w:fill="D7D7D7"/>
            <w:noWrap/>
            <w:hideMark/>
          </w:tcPr>
          <w:p w14:paraId="3CAE75D6" w14:textId="3FC4D37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54,3</w:t>
            </w:r>
          </w:p>
        </w:tc>
        <w:tc>
          <w:tcPr>
            <w:tcW w:w="992" w:type="dxa"/>
            <w:shd w:val="clear" w:color="000000" w:fill="D7D7D7"/>
            <w:noWrap/>
            <w:hideMark/>
          </w:tcPr>
          <w:p w14:paraId="0BEB5D39" w14:textId="11CCB5A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59,9</w:t>
            </w:r>
          </w:p>
        </w:tc>
        <w:tc>
          <w:tcPr>
            <w:tcW w:w="992" w:type="dxa"/>
            <w:shd w:val="clear" w:color="000000" w:fill="D7D7D7"/>
            <w:noWrap/>
            <w:hideMark/>
          </w:tcPr>
          <w:p w14:paraId="5F641C50" w14:textId="606340F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70,3</w:t>
            </w:r>
          </w:p>
        </w:tc>
        <w:tc>
          <w:tcPr>
            <w:tcW w:w="993" w:type="dxa"/>
            <w:shd w:val="clear" w:color="000000" w:fill="D7D7D7"/>
            <w:noWrap/>
            <w:hideMark/>
          </w:tcPr>
          <w:p w14:paraId="1E9F0347" w14:textId="36EA6E8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80,1</w:t>
            </w:r>
          </w:p>
        </w:tc>
        <w:tc>
          <w:tcPr>
            <w:tcW w:w="992" w:type="dxa"/>
            <w:shd w:val="clear" w:color="000000" w:fill="D7D7D7"/>
            <w:noWrap/>
            <w:hideMark/>
          </w:tcPr>
          <w:p w14:paraId="554D88F1" w14:textId="1C5E923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83,4</w:t>
            </w:r>
          </w:p>
        </w:tc>
        <w:tc>
          <w:tcPr>
            <w:tcW w:w="2551" w:type="dxa"/>
            <w:shd w:val="clear" w:color="auto" w:fill="auto"/>
            <w:hideMark/>
          </w:tcPr>
          <w:p w14:paraId="726F531F" w14:textId="3308BEEF"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202</w:t>
            </w:r>
            <w:r>
              <w:rPr>
                <w:rFonts w:ascii="Times New Roman" w:eastAsia="Times New Roman" w:hAnsi="Times New Roman" w:cs="Times New Roman"/>
                <w:sz w:val="16"/>
                <w:szCs w:val="16"/>
                <w:lang w:eastAsia="ru-RU"/>
              </w:rPr>
              <w:t>3</w:t>
            </w:r>
            <w:r w:rsidRPr="005A3A56">
              <w:rPr>
                <w:rFonts w:ascii="Times New Roman" w:eastAsia="Times New Roman" w:hAnsi="Times New Roman" w:cs="Times New Roman"/>
                <w:sz w:val="16"/>
                <w:szCs w:val="16"/>
                <w:lang w:eastAsia="ru-RU"/>
              </w:rPr>
              <w:t xml:space="preserve"> году по сравнению с 202</w:t>
            </w:r>
            <w:r>
              <w:rPr>
                <w:rFonts w:ascii="Times New Roman" w:eastAsia="Times New Roman" w:hAnsi="Times New Roman" w:cs="Times New Roman"/>
                <w:sz w:val="16"/>
                <w:szCs w:val="16"/>
                <w:lang w:eastAsia="ru-RU"/>
              </w:rPr>
              <w:t>2</w:t>
            </w:r>
            <w:r w:rsidRPr="005A3A56">
              <w:rPr>
                <w:rFonts w:ascii="Times New Roman" w:eastAsia="Times New Roman" w:hAnsi="Times New Roman" w:cs="Times New Roman"/>
                <w:sz w:val="16"/>
                <w:szCs w:val="16"/>
                <w:lang w:eastAsia="ru-RU"/>
              </w:rPr>
              <w:t xml:space="preserve"> годом значение показателя увеличилось на</w:t>
            </w:r>
            <w:r w:rsidR="00E44DD3">
              <w:rPr>
                <w:rFonts w:ascii="Times New Roman" w:eastAsia="Times New Roman" w:hAnsi="Times New Roman" w:cs="Times New Roman"/>
                <w:sz w:val="16"/>
                <w:szCs w:val="16"/>
                <w:lang w:eastAsia="ru-RU"/>
              </w:rPr>
              <w:t xml:space="preserve"> 5,6</w:t>
            </w:r>
            <w:r w:rsidRPr="005A3A56">
              <w:rPr>
                <w:rFonts w:ascii="Times New Roman" w:eastAsia="Times New Roman" w:hAnsi="Times New Roman" w:cs="Times New Roman"/>
                <w:sz w:val="16"/>
                <w:szCs w:val="16"/>
                <w:lang w:eastAsia="ru-RU"/>
              </w:rPr>
              <w:t xml:space="preserve">%. </w:t>
            </w:r>
          </w:p>
        </w:tc>
      </w:tr>
      <w:tr w:rsidR="00154BB3" w:rsidRPr="00403E44" w14:paraId="6425AC9B" w14:textId="77777777" w:rsidTr="007828BB">
        <w:trPr>
          <w:trHeight w:val="506"/>
        </w:trPr>
        <w:tc>
          <w:tcPr>
            <w:tcW w:w="1418" w:type="dxa"/>
            <w:vMerge/>
            <w:vAlign w:val="center"/>
            <w:hideMark/>
          </w:tcPr>
          <w:p w14:paraId="06B4976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920C19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993" w:type="dxa"/>
            <w:shd w:val="clear" w:color="auto" w:fill="auto"/>
            <w:hideMark/>
          </w:tcPr>
          <w:p w14:paraId="58AF13F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4F9DFCB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31.1</w:t>
            </w:r>
          </w:p>
        </w:tc>
        <w:tc>
          <w:tcPr>
            <w:tcW w:w="992" w:type="dxa"/>
            <w:shd w:val="clear" w:color="auto" w:fill="auto"/>
            <w:noWrap/>
            <w:hideMark/>
          </w:tcPr>
          <w:p w14:paraId="7AF3E5D8" w14:textId="40417F28" w:rsidR="00154BB3" w:rsidRPr="00600B72" w:rsidRDefault="00154BB3" w:rsidP="00154BB3">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2 307 412,4</w:t>
            </w:r>
          </w:p>
        </w:tc>
        <w:tc>
          <w:tcPr>
            <w:tcW w:w="993" w:type="dxa"/>
            <w:shd w:val="clear" w:color="auto" w:fill="auto"/>
            <w:noWrap/>
            <w:hideMark/>
          </w:tcPr>
          <w:p w14:paraId="79C57D9C" w14:textId="4ACBED59" w:rsidR="00154BB3" w:rsidRPr="00600B72" w:rsidRDefault="00154BB3" w:rsidP="00154BB3">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2 876 624,4</w:t>
            </w:r>
          </w:p>
        </w:tc>
        <w:tc>
          <w:tcPr>
            <w:tcW w:w="992" w:type="dxa"/>
            <w:shd w:val="clear" w:color="auto" w:fill="auto"/>
            <w:noWrap/>
            <w:hideMark/>
          </w:tcPr>
          <w:p w14:paraId="2870CA7A" w14:textId="20F64D51"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2 239 006,5</w:t>
            </w:r>
          </w:p>
        </w:tc>
        <w:tc>
          <w:tcPr>
            <w:tcW w:w="992" w:type="dxa"/>
            <w:shd w:val="clear" w:color="auto" w:fill="auto"/>
            <w:noWrap/>
            <w:hideMark/>
          </w:tcPr>
          <w:p w14:paraId="0A146717" w14:textId="60C63F32" w:rsidR="00154BB3" w:rsidRPr="00600B72" w:rsidRDefault="00154BB3" w:rsidP="00154BB3">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4 004 410,1</w:t>
            </w:r>
          </w:p>
        </w:tc>
        <w:tc>
          <w:tcPr>
            <w:tcW w:w="992" w:type="dxa"/>
            <w:shd w:val="clear" w:color="auto" w:fill="auto"/>
            <w:noWrap/>
            <w:hideMark/>
          </w:tcPr>
          <w:p w14:paraId="4BC39CBF" w14:textId="47D7E6EF" w:rsidR="00154BB3" w:rsidRPr="00600B72" w:rsidRDefault="00154BB3" w:rsidP="00154BB3">
            <w:pPr>
              <w:spacing w:after="0" w:line="240" w:lineRule="auto"/>
              <w:ind w:left="-10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2 395 485,2</w:t>
            </w:r>
          </w:p>
        </w:tc>
        <w:tc>
          <w:tcPr>
            <w:tcW w:w="993" w:type="dxa"/>
            <w:shd w:val="clear" w:color="auto" w:fill="auto"/>
            <w:noWrap/>
            <w:hideMark/>
          </w:tcPr>
          <w:p w14:paraId="2A61187D" w14:textId="42043436" w:rsidR="00154BB3" w:rsidRPr="00600B72" w:rsidRDefault="00154BB3" w:rsidP="00154BB3">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2 445 498,2</w:t>
            </w:r>
          </w:p>
        </w:tc>
        <w:tc>
          <w:tcPr>
            <w:tcW w:w="992" w:type="dxa"/>
            <w:shd w:val="clear" w:color="auto" w:fill="auto"/>
            <w:noWrap/>
            <w:hideMark/>
          </w:tcPr>
          <w:p w14:paraId="69F549BA" w14:textId="7C340790" w:rsidR="00154BB3" w:rsidRPr="00600B72" w:rsidRDefault="00154BB3" w:rsidP="00154BB3">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2 505 616,6</w:t>
            </w:r>
          </w:p>
        </w:tc>
        <w:tc>
          <w:tcPr>
            <w:tcW w:w="2551" w:type="dxa"/>
            <w:shd w:val="clear" w:color="auto" w:fill="auto"/>
            <w:hideMark/>
          </w:tcPr>
          <w:p w14:paraId="45490343" w14:textId="565AF8AD"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В 2023 году по сравнению с 2022 годом, величина налоговых и неналоговых доходов увеличилась на 78,8 %. Основными причинами увеличения являются фактические поступления платежей по искам о возмещении вреда, причиненного окружающей среде, которые имеют разовый и непостоянный характер, а также платы за негативное воздействие на окружающую среду, в части увеличения поступлений платы за выбросы загрязняющих веществ, образующихся при сжигании на факельных установках и (или) рассеивании попутного нефтяного газа.</w:t>
            </w:r>
          </w:p>
          <w:p w14:paraId="1D0F0453"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p>
        </w:tc>
      </w:tr>
      <w:tr w:rsidR="00154BB3" w:rsidRPr="00403E44" w14:paraId="600B37CA" w14:textId="77777777" w:rsidTr="00DB6397">
        <w:trPr>
          <w:trHeight w:val="1357"/>
        </w:trPr>
        <w:tc>
          <w:tcPr>
            <w:tcW w:w="1418" w:type="dxa"/>
            <w:vMerge/>
            <w:vAlign w:val="center"/>
            <w:hideMark/>
          </w:tcPr>
          <w:p w14:paraId="4148D550"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22C428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Общий объем собственных доходов бюджета муниципального образования (без учета субвенций)</w:t>
            </w:r>
          </w:p>
        </w:tc>
        <w:tc>
          <w:tcPr>
            <w:tcW w:w="993" w:type="dxa"/>
            <w:shd w:val="clear" w:color="auto" w:fill="auto"/>
            <w:hideMark/>
          </w:tcPr>
          <w:p w14:paraId="1701983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3339B8B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31.2</w:t>
            </w:r>
          </w:p>
        </w:tc>
        <w:tc>
          <w:tcPr>
            <w:tcW w:w="992" w:type="dxa"/>
            <w:shd w:val="clear" w:color="auto" w:fill="auto"/>
            <w:noWrap/>
            <w:hideMark/>
          </w:tcPr>
          <w:p w14:paraId="487047E8" w14:textId="0F7016CE" w:rsidR="00154BB3" w:rsidRPr="00600B72" w:rsidRDefault="00154BB3" w:rsidP="00154BB3">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4 729 199,7</w:t>
            </w:r>
          </w:p>
        </w:tc>
        <w:tc>
          <w:tcPr>
            <w:tcW w:w="993" w:type="dxa"/>
            <w:shd w:val="clear" w:color="auto" w:fill="auto"/>
            <w:noWrap/>
            <w:hideMark/>
          </w:tcPr>
          <w:p w14:paraId="168359B0" w14:textId="3B4559D2" w:rsidR="00154BB3" w:rsidRPr="00600B72" w:rsidRDefault="00154BB3" w:rsidP="00154BB3">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4 852 014,1</w:t>
            </w:r>
          </w:p>
        </w:tc>
        <w:tc>
          <w:tcPr>
            <w:tcW w:w="992" w:type="dxa"/>
            <w:shd w:val="clear" w:color="auto" w:fill="auto"/>
            <w:noWrap/>
            <w:hideMark/>
          </w:tcPr>
          <w:p w14:paraId="48147693" w14:textId="1D8DABCF"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4 121 755,5</w:t>
            </w:r>
          </w:p>
        </w:tc>
        <w:tc>
          <w:tcPr>
            <w:tcW w:w="992" w:type="dxa"/>
            <w:shd w:val="clear" w:color="auto" w:fill="auto"/>
            <w:noWrap/>
            <w:hideMark/>
          </w:tcPr>
          <w:p w14:paraId="5415C3BC" w14:textId="32C2B87F" w:rsidR="00154BB3" w:rsidRPr="00600B72" w:rsidRDefault="00154BB3" w:rsidP="00154BB3">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6 689 966,8</w:t>
            </w:r>
          </w:p>
        </w:tc>
        <w:tc>
          <w:tcPr>
            <w:tcW w:w="992" w:type="dxa"/>
            <w:shd w:val="clear" w:color="auto" w:fill="auto"/>
            <w:noWrap/>
            <w:hideMark/>
          </w:tcPr>
          <w:p w14:paraId="6202F76F" w14:textId="445548D4" w:rsidR="00154BB3" w:rsidRPr="00600B72" w:rsidRDefault="00154BB3" w:rsidP="00154BB3">
            <w:pPr>
              <w:spacing w:after="0" w:line="240" w:lineRule="auto"/>
              <w:ind w:hanging="10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3 406 955,5</w:t>
            </w:r>
          </w:p>
        </w:tc>
        <w:tc>
          <w:tcPr>
            <w:tcW w:w="993" w:type="dxa"/>
            <w:shd w:val="clear" w:color="auto" w:fill="auto"/>
            <w:noWrap/>
            <w:hideMark/>
          </w:tcPr>
          <w:p w14:paraId="26DB4BFF" w14:textId="281E9012" w:rsidR="00154BB3" w:rsidRPr="00600B72" w:rsidRDefault="00154BB3" w:rsidP="00154BB3">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3 051 213,9</w:t>
            </w:r>
          </w:p>
        </w:tc>
        <w:tc>
          <w:tcPr>
            <w:tcW w:w="992" w:type="dxa"/>
            <w:shd w:val="clear" w:color="auto" w:fill="auto"/>
            <w:noWrap/>
            <w:hideMark/>
          </w:tcPr>
          <w:p w14:paraId="45FF33FA" w14:textId="0D161FF1" w:rsidR="00154BB3" w:rsidRPr="00600B72" w:rsidRDefault="00154BB3" w:rsidP="00154BB3">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3 002 757,6</w:t>
            </w:r>
          </w:p>
        </w:tc>
        <w:tc>
          <w:tcPr>
            <w:tcW w:w="2551" w:type="dxa"/>
            <w:shd w:val="clear" w:color="auto" w:fill="auto"/>
            <w:hideMark/>
          </w:tcPr>
          <w:p w14:paraId="6A79DC74" w14:textId="24AD50D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Общий объем собственных доходов бюджета Нефтеюганского района в 2023 году по сравнению с 2022 годом увеличился на 62,3% в связи с фактическим поступлением платежей по искам о возмещении вреда, причиненного окружающей среде и за счет увеличения объема субсидий на реализацию полномочий в области строительства и жилищных отношений в соответствии с Законом о бюджете автономного округа. А также увеличением прочих безвозмездных поступлений (благотворительность) в рамках </w:t>
            </w:r>
            <w:r w:rsidRPr="005A3A56">
              <w:rPr>
                <w:rFonts w:ascii="Times New Roman" w:eastAsia="Times New Roman" w:hAnsi="Times New Roman" w:cs="Times New Roman"/>
                <w:sz w:val="16"/>
                <w:szCs w:val="16"/>
                <w:lang w:eastAsia="ru-RU"/>
              </w:rPr>
              <w:lastRenderedPageBreak/>
              <w:t>взаимодействия с налогоплательщиками – предприятиями-недропользователями, осуществляющими деятельность на территории Нефтеюганского района.</w:t>
            </w:r>
          </w:p>
        </w:tc>
      </w:tr>
      <w:tr w:rsidR="00154BB3" w:rsidRPr="00403E44" w14:paraId="7F193C29" w14:textId="77777777" w:rsidTr="0060052C">
        <w:trPr>
          <w:trHeight w:val="1500"/>
        </w:trPr>
        <w:tc>
          <w:tcPr>
            <w:tcW w:w="1418" w:type="dxa"/>
            <w:vMerge/>
            <w:vAlign w:val="center"/>
            <w:hideMark/>
          </w:tcPr>
          <w:p w14:paraId="29681E9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A6986E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993" w:type="dxa"/>
            <w:shd w:val="clear" w:color="auto" w:fill="auto"/>
            <w:hideMark/>
          </w:tcPr>
          <w:p w14:paraId="5D68364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01F7727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32</w:t>
            </w:r>
          </w:p>
        </w:tc>
        <w:tc>
          <w:tcPr>
            <w:tcW w:w="992" w:type="dxa"/>
            <w:shd w:val="clear" w:color="000000" w:fill="D7D7D7"/>
            <w:noWrap/>
            <w:hideMark/>
          </w:tcPr>
          <w:p w14:paraId="0CEF71A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58E7405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3A9C87C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21134E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92785C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C448A9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C85DED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6C35824" w14:textId="7EBF0F70"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Организации муниципальной формы собственности в стадии банкротства отсутствуют</w:t>
            </w:r>
            <w:r>
              <w:rPr>
                <w:rFonts w:ascii="Times New Roman" w:eastAsia="Times New Roman" w:hAnsi="Times New Roman" w:cs="Times New Roman"/>
                <w:sz w:val="16"/>
                <w:szCs w:val="16"/>
                <w:lang w:eastAsia="ru-RU"/>
              </w:rPr>
              <w:t>.</w:t>
            </w:r>
          </w:p>
        </w:tc>
      </w:tr>
      <w:tr w:rsidR="00154BB3" w:rsidRPr="00403E44" w14:paraId="6DE32A16" w14:textId="77777777" w:rsidTr="00A92E2B">
        <w:trPr>
          <w:trHeight w:val="900"/>
        </w:trPr>
        <w:tc>
          <w:tcPr>
            <w:tcW w:w="1418" w:type="dxa"/>
            <w:vMerge/>
            <w:vAlign w:val="center"/>
            <w:hideMark/>
          </w:tcPr>
          <w:p w14:paraId="0625DDF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5C21EB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993" w:type="dxa"/>
            <w:shd w:val="clear" w:color="auto" w:fill="auto"/>
            <w:hideMark/>
          </w:tcPr>
          <w:p w14:paraId="3321D46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33DD958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32.1</w:t>
            </w:r>
          </w:p>
        </w:tc>
        <w:tc>
          <w:tcPr>
            <w:tcW w:w="992" w:type="dxa"/>
            <w:shd w:val="clear" w:color="auto" w:fill="auto"/>
            <w:noWrap/>
            <w:hideMark/>
          </w:tcPr>
          <w:p w14:paraId="56BE6BC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6238B3C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4561CB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6981AC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4491C8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33D7B8F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5DF9A7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E34E287" w14:textId="02C033E0"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Организации муниципальной формы собственности в стадии банкротства отсутствуют</w:t>
            </w:r>
            <w:r>
              <w:rPr>
                <w:rFonts w:ascii="Times New Roman" w:eastAsia="Times New Roman" w:hAnsi="Times New Roman" w:cs="Times New Roman"/>
                <w:sz w:val="16"/>
                <w:szCs w:val="16"/>
                <w:lang w:eastAsia="ru-RU"/>
              </w:rPr>
              <w:t>.</w:t>
            </w:r>
          </w:p>
        </w:tc>
      </w:tr>
      <w:tr w:rsidR="00154BB3" w:rsidRPr="00403E44" w14:paraId="06C80898" w14:textId="77777777" w:rsidTr="00A92E2B">
        <w:trPr>
          <w:trHeight w:val="600"/>
        </w:trPr>
        <w:tc>
          <w:tcPr>
            <w:tcW w:w="1418" w:type="dxa"/>
            <w:vMerge/>
            <w:vAlign w:val="center"/>
            <w:hideMark/>
          </w:tcPr>
          <w:p w14:paraId="3ED26E0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9D4BD7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Полная учетная стоимость основных фондов организаций муниципальной формы собственности</w:t>
            </w:r>
          </w:p>
        </w:tc>
        <w:tc>
          <w:tcPr>
            <w:tcW w:w="993" w:type="dxa"/>
            <w:shd w:val="clear" w:color="auto" w:fill="auto"/>
            <w:hideMark/>
          </w:tcPr>
          <w:p w14:paraId="617568C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70417F5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32.2</w:t>
            </w:r>
          </w:p>
        </w:tc>
        <w:tc>
          <w:tcPr>
            <w:tcW w:w="992" w:type="dxa"/>
            <w:shd w:val="clear" w:color="000000" w:fill="D7D7D7"/>
            <w:noWrap/>
            <w:hideMark/>
          </w:tcPr>
          <w:p w14:paraId="1BC03AA1" w14:textId="24CFB535" w:rsidR="00154BB3" w:rsidRPr="00600B72" w:rsidRDefault="00154BB3" w:rsidP="00154BB3">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10 483 061,0</w:t>
            </w:r>
          </w:p>
        </w:tc>
        <w:tc>
          <w:tcPr>
            <w:tcW w:w="993" w:type="dxa"/>
            <w:shd w:val="clear" w:color="000000" w:fill="D7D7D7"/>
            <w:noWrap/>
            <w:hideMark/>
          </w:tcPr>
          <w:p w14:paraId="3895E12B" w14:textId="50C9F9A9" w:rsidR="00154BB3" w:rsidRPr="00600B72" w:rsidRDefault="00154BB3" w:rsidP="00154BB3">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10 978 434,0</w:t>
            </w:r>
          </w:p>
        </w:tc>
        <w:tc>
          <w:tcPr>
            <w:tcW w:w="992" w:type="dxa"/>
            <w:shd w:val="clear" w:color="000000" w:fill="D7D7D7"/>
            <w:noWrap/>
            <w:hideMark/>
          </w:tcPr>
          <w:p w14:paraId="68EC0EAD" w14:textId="750309DB"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11 847 076,0</w:t>
            </w:r>
          </w:p>
        </w:tc>
        <w:tc>
          <w:tcPr>
            <w:tcW w:w="992" w:type="dxa"/>
            <w:shd w:val="clear" w:color="000000" w:fill="D7D7D7"/>
            <w:noWrap/>
            <w:hideMark/>
          </w:tcPr>
          <w:p w14:paraId="42FBFDCE" w14:textId="3CB9B814" w:rsidR="00154BB3" w:rsidRPr="00600B72" w:rsidRDefault="00154BB3" w:rsidP="00154BB3">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12 528 688,0</w:t>
            </w:r>
          </w:p>
        </w:tc>
        <w:tc>
          <w:tcPr>
            <w:tcW w:w="992" w:type="dxa"/>
            <w:shd w:val="clear" w:color="auto" w:fill="auto"/>
            <w:noWrap/>
          </w:tcPr>
          <w:p w14:paraId="5844A472" w14:textId="5BDF5FB4" w:rsidR="00154BB3" w:rsidRPr="00600B72" w:rsidRDefault="00154BB3" w:rsidP="00154BB3">
            <w:pPr>
              <w:spacing w:after="0" w:line="240" w:lineRule="auto"/>
              <w:ind w:left="-10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14 380 276,0</w:t>
            </w:r>
          </w:p>
        </w:tc>
        <w:tc>
          <w:tcPr>
            <w:tcW w:w="993" w:type="dxa"/>
            <w:shd w:val="clear" w:color="auto" w:fill="auto"/>
            <w:noWrap/>
          </w:tcPr>
          <w:p w14:paraId="5C6596BC" w14:textId="71265B00" w:rsidR="00154BB3" w:rsidRPr="00600B72" w:rsidRDefault="00154BB3" w:rsidP="00154BB3">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14 380 276,0</w:t>
            </w:r>
          </w:p>
        </w:tc>
        <w:tc>
          <w:tcPr>
            <w:tcW w:w="992" w:type="dxa"/>
            <w:shd w:val="clear" w:color="auto" w:fill="auto"/>
            <w:noWrap/>
          </w:tcPr>
          <w:p w14:paraId="405484A9" w14:textId="16DDC91A" w:rsidR="00154BB3" w:rsidRPr="00600B72" w:rsidRDefault="00154BB3" w:rsidP="00154BB3">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14 380 276,0</w:t>
            </w:r>
          </w:p>
        </w:tc>
        <w:tc>
          <w:tcPr>
            <w:tcW w:w="2551" w:type="dxa"/>
            <w:shd w:val="clear" w:color="auto" w:fill="auto"/>
            <w:hideMark/>
          </w:tcPr>
          <w:p w14:paraId="0572237C"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469B1AE3" w14:textId="77777777" w:rsidTr="00A92E2B">
        <w:trPr>
          <w:trHeight w:val="900"/>
        </w:trPr>
        <w:tc>
          <w:tcPr>
            <w:tcW w:w="1418" w:type="dxa"/>
            <w:vMerge/>
            <w:vAlign w:val="center"/>
            <w:hideMark/>
          </w:tcPr>
          <w:p w14:paraId="42FE59B4"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2C427D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993" w:type="dxa"/>
            <w:shd w:val="clear" w:color="auto" w:fill="auto"/>
            <w:hideMark/>
          </w:tcPr>
          <w:p w14:paraId="2A39D1C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0730A0C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33</w:t>
            </w:r>
          </w:p>
        </w:tc>
        <w:tc>
          <w:tcPr>
            <w:tcW w:w="992" w:type="dxa"/>
            <w:shd w:val="clear" w:color="auto" w:fill="auto"/>
            <w:noWrap/>
            <w:hideMark/>
          </w:tcPr>
          <w:p w14:paraId="6F938BB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A64AF0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39B393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4EFE4F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230226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BA4FCF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5388B1D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E1BABD0"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1D24C2BB" w14:textId="77777777" w:rsidTr="00A92E2B">
        <w:trPr>
          <w:trHeight w:val="1500"/>
        </w:trPr>
        <w:tc>
          <w:tcPr>
            <w:tcW w:w="1418" w:type="dxa"/>
            <w:vMerge/>
            <w:vAlign w:val="center"/>
            <w:hideMark/>
          </w:tcPr>
          <w:p w14:paraId="47634584"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66EA4A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993" w:type="dxa"/>
            <w:shd w:val="clear" w:color="auto" w:fill="auto"/>
            <w:hideMark/>
          </w:tcPr>
          <w:p w14:paraId="1DAE9FD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w:t>
            </w:r>
          </w:p>
        </w:tc>
        <w:tc>
          <w:tcPr>
            <w:tcW w:w="850" w:type="dxa"/>
            <w:shd w:val="clear" w:color="auto" w:fill="auto"/>
            <w:hideMark/>
          </w:tcPr>
          <w:p w14:paraId="4F379FE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34</w:t>
            </w:r>
          </w:p>
        </w:tc>
        <w:tc>
          <w:tcPr>
            <w:tcW w:w="992" w:type="dxa"/>
            <w:shd w:val="clear" w:color="000000" w:fill="D7D7D7"/>
            <w:noWrap/>
            <w:hideMark/>
          </w:tcPr>
          <w:p w14:paraId="23FF1B3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CC4F2B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A9F299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70C90E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81ED29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6181D64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D0733F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28609AF0" w14:textId="71D3EEA3" w:rsidR="008F0E1E" w:rsidRPr="008F0E1E" w:rsidRDefault="008F0E1E" w:rsidP="008F0E1E">
            <w:pPr>
              <w:spacing w:after="0" w:line="240" w:lineRule="auto"/>
              <w:rPr>
                <w:rFonts w:ascii="Times New Roman" w:eastAsia="Times New Roman" w:hAnsi="Times New Roman" w:cs="Times New Roman"/>
                <w:sz w:val="16"/>
                <w:szCs w:val="16"/>
                <w:lang w:eastAsia="ru-RU"/>
              </w:rPr>
            </w:pPr>
            <w:r w:rsidRPr="008F0E1E">
              <w:rPr>
                <w:rFonts w:ascii="Times New Roman" w:eastAsia="Times New Roman" w:hAnsi="Times New Roman" w:cs="Times New Roman"/>
                <w:sz w:val="16"/>
                <w:szCs w:val="16"/>
                <w:lang w:eastAsia="ru-RU"/>
              </w:rPr>
              <w:t>Объем просроченной кредиторской задолженности по оплате труда (включая начисления на оплату труда) муниципальных учреждений на конец года отсутствует, соответственно показатель по итогам года равен ноль.</w:t>
            </w:r>
          </w:p>
        </w:tc>
      </w:tr>
      <w:tr w:rsidR="00154BB3" w:rsidRPr="00403E44" w14:paraId="16665BDE" w14:textId="77777777" w:rsidTr="008F0E1E">
        <w:trPr>
          <w:trHeight w:val="507"/>
        </w:trPr>
        <w:tc>
          <w:tcPr>
            <w:tcW w:w="1418" w:type="dxa"/>
            <w:vMerge/>
            <w:vAlign w:val="center"/>
            <w:hideMark/>
          </w:tcPr>
          <w:p w14:paraId="264F35B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7CD30C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Величина просроченной кредиторской задолженности по оплате труда (включая начисления на оплату труда) </w:t>
            </w:r>
            <w:r w:rsidRPr="00600B72">
              <w:rPr>
                <w:rFonts w:ascii="Times New Roman" w:eastAsia="Times New Roman" w:hAnsi="Times New Roman" w:cs="Times New Roman"/>
                <w:sz w:val="16"/>
                <w:szCs w:val="16"/>
                <w:lang w:eastAsia="ru-RU"/>
              </w:rPr>
              <w:lastRenderedPageBreak/>
              <w:t>муниципальных учреждений (на конец года)</w:t>
            </w:r>
          </w:p>
        </w:tc>
        <w:tc>
          <w:tcPr>
            <w:tcW w:w="993" w:type="dxa"/>
            <w:shd w:val="clear" w:color="auto" w:fill="auto"/>
            <w:hideMark/>
          </w:tcPr>
          <w:p w14:paraId="25D641E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Тысяча рублей</w:t>
            </w:r>
          </w:p>
        </w:tc>
        <w:tc>
          <w:tcPr>
            <w:tcW w:w="850" w:type="dxa"/>
            <w:shd w:val="clear" w:color="auto" w:fill="auto"/>
            <w:hideMark/>
          </w:tcPr>
          <w:p w14:paraId="27ABFAF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34.1</w:t>
            </w:r>
          </w:p>
        </w:tc>
        <w:tc>
          <w:tcPr>
            <w:tcW w:w="992" w:type="dxa"/>
            <w:shd w:val="clear" w:color="auto" w:fill="auto"/>
            <w:noWrap/>
            <w:hideMark/>
          </w:tcPr>
          <w:p w14:paraId="0BC69AD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5D2FC34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C64A24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BB2BCA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2FB853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663189A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57BD31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tcPr>
          <w:p w14:paraId="4A5E155D" w14:textId="4F82CA6C" w:rsidR="00154BB3" w:rsidRPr="005A3A56" w:rsidRDefault="00154BB3" w:rsidP="00154BB3">
            <w:pPr>
              <w:spacing w:after="0" w:line="240" w:lineRule="auto"/>
              <w:rPr>
                <w:rFonts w:ascii="Times New Roman" w:eastAsia="Times New Roman" w:hAnsi="Times New Roman" w:cs="Times New Roman"/>
                <w:sz w:val="16"/>
                <w:szCs w:val="16"/>
                <w:lang w:eastAsia="ru-RU"/>
              </w:rPr>
            </w:pPr>
          </w:p>
        </w:tc>
      </w:tr>
      <w:tr w:rsidR="00154BB3" w:rsidRPr="00403E44" w14:paraId="4D1332CA" w14:textId="77777777" w:rsidTr="00A92E2B">
        <w:trPr>
          <w:trHeight w:val="900"/>
        </w:trPr>
        <w:tc>
          <w:tcPr>
            <w:tcW w:w="1418" w:type="dxa"/>
            <w:vMerge/>
            <w:vAlign w:val="center"/>
            <w:hideMark/>
          </w:tcPr>
          <w:p w14:paraId="6FDF074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A26E80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Общий объем расходов муниципального образования на оплату труда (включая начисления на оплату труда) муниципальных учреждений</w:t>
            </w:r>
          </w:p>
        </w:tc>
        <w:tc>
          <w:tcPr>
            <w:tcW w:w="993" w:type="dxa"/>
            <w:shd w:val="clear" w:color="auto" w:fill="auto"/>
            <w:hideMark/>
          </w:tcPr>
          <w:p w14:paraId="21A098C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2911FFA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34.2</w:t>
            </w:r>
          </w:p>
        </w:tc>
        <w:tc>
          <w:tcPr>
            <w:tcW w:w="992" w:type="dxa"/>
            <w:shd w:val="clear" w:color="auto" w:fill="auto"/>
            <w:noWrap/>
            <w:hideMark/>
          </w:tcPr>
          <w:p w14:paraId="3288AE90" w14:textId="7E0489F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2 674 006,2</w:t>
            </w:r>
          </w:p>
        </w:tc>
        <w:tc>
          <w:tcPr>
            <w:tcW w:w="993" w:type="dxa"/>
            <w:shd w:val="clear" w:color="auto" w:fill="auto"/>
            <w:noWrap/>
            <w:hideMark/>
          </w:tcPr>
          <w:p w14:paraId="409D9371" w14:textId="7338E63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2 680 002,1</w:t>
            </w:r>
          </w:p>
        </w:tc>
        <w:tc>
          <w:tcPr>
            <w:tcW w:w="992" w:type="dxa"/>
            <w:shd w:val="clear" w:color="auto" w:fill="auto"/>
            <w:noWrap/>
            <w:hideMark/>
          </w:tcPr>
          <w:p w14:paraId="782E3AAD" w14:textId="2FD7469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2 879 495,9</w:t>
            </w:r>
          </w:p>
        </w:tc>
        <w:tc>
          <w:tcPr>
            <w:tcW w:w="992" w:type="dxa"/>
            <w:shd w:val="clear" w:color="auto" w:fill="auto"/>
            <w:noWrap/>
          </w:tcPr>
          <w:p w14:paraId="208DFCE1" w14:textId="1138E2A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3 080 470,9</w:t>
            </w:r>
          </w:p>
        </w:tc>
        <w:tc>
          <w:tcPr>
            <w:tcW w:w="992" w:type="dxa"/>
            <w:shd w:val="clear" w:color="auto" w:fill="auto"/>
            <w:noWrap/>
          </w:tcPr>
          <w:p w14:paraId="022B0B4D" w14:textId="2CC93DF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3 135 126,7</w:t>
            </w:r>
          </w:p>
        </w:tc>
        <w:tc>
          <w:tcPr>
            <w:tcW w:w="993" w:type="dxa"/>
            <w:shd w:val="clear" w:color="auto" w:fill="auto"/>
            <w:noWrap/>
          </w:tcPr>
          <w:p w14:paraId="485D27FE" w14:textId="2EF642A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3 241 721,0</w:t>
            </w:r>
          </w:p>
        </w:tc>
        <w:tc>
          <w:tcPr>
            <w:tcW w:w="992" w:type="dxa"/>
            <w:shd w:val="clear" w:color="auto" w:fill="auto"/>
            <w:noWrap/>
          </w:tcPr>
          <w:p w14:paraId="38D41CC2" w14:textId="17CE402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3 241 721,0</w:t>
            </w:r>
          </w:p>
        </w:tc>
        <w:tc>
          <w:tcPr>
            <w:tcW w:w="2551" w:type="dxa"/>
            <w:shd w:val="clear" w:color="auto" w:fill="auto"/>
            <w:hideMark/>
          </w:tcPr>
          <w:p w14:paraId="3C601505" w14:textId="52B142D4" w:rsidR="00154BB3" w:rsidRPr="005A3A56" w:rsidRDefault="008F0E1E" w:rsidP="00154BB3">
            <w:pPr>
              <w:spacing w:after="0" w:line="240" w:lineRule="auto"/>
              <w:rPr>
                <w:rFonts w:ascii="Times New Roman" w:eastAsia="Times New Roman" w:hAnsi="Times New Roman" w:cs="Times New Roman"/>
                <w:sz w:val="16"/>
                <w:szCs w:val="16"/>
                <w:lang w:eastAsia="ru-RU"/>
              </w:rPr>
            </w:pPr>
            <w:r w:rsidRPr="008F0E1E">
              <w:rPr>
                <w:rFonts w:ascii="Times New Roman" w:eastAsia="Times New Roman" w:hAnsi="Times New Roman" w:cs="Times New Roman"/>
                <w:sz w:val="16"/>
                <w:szCs w:val="16"/>
                <w:lang w:eastAsia="ru-RU"/>
              </w:rPr>
              <w:t>В 2023 году общий объем расходов на оплату труда (включая начисления на оплату труда) муниципальных учреждений составил 3 млрд. 080 млн. 470 тыс. руб</w:t>
            </w:r>
            <w:r>
              <w:rPr>
                <w:rFonts w:ascii="Times New Roman" w:eastAsia="Times New Roman" w:hAnsi="Times New Roman" w:cs="Times New Roman"/>
                <w:sz w:val="16"/>
                <w:szCs w:val="16"/>
                <w:lang w:eastAsia="ru-RU"/>
              </w:rPr>
              <w:t>лей</w:t>
            </w:r>
            <w:r w:rsidRPr="008F0E1E">
              <w:rPr>
                <w:rFonts w:ascii="Times New Roman" w:eastAsia="Times New Roman" w:hAnsi="Times New Roman" w:cs="Times New Roman"/>
                <w:sz w:val="16"/>
                <w:szCs w:val="16"/>
                <w:lang w:eastAsia="ru-RU"/>
              </w:rPr>
              <w:t>. По сравнению с исполнением 2022 года больше на 6,9% в связи с увеличением МРОТ с 01.01.2023 на 6,3%, увеличением фондов оплаты труда с 01.10.2023 на 5,5%, а также увеличением целевых значений показателей по среднемесячной заработной плате работников, попадающих по Указы президента (педагогические работники и работники учреждений культуры, спорта).</w:t>
            </w:r>
          </w:p>
        </w:tc>
      </w:tr>
      <w:tr w:rsidR="00154BB3" w:rsidRPr="00403E44" w14:paraId="34EFBD7D" w14:textId="77777777" w:rsidTr="00A92E2B">
        <w:trPr>
          <w:trHeight w:val="1200"/>
        </w:trPr>
        <w:tc>
          <w:tcPr>
            <w:tcW w:w="1418" w:type="dxa"/>
            <w:vMerge/>
            <w:vAlign w:val="center"/>
            <w:hideMark/>
          </w:tcPr>
          <w:p w14:paraId="74903E4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CB2344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993" w:type="dxa"/>
            <w:shd w:val="clear" w:color="auto" w:fill="auto"/>
            <w:hideMark/>
          </w:tcPr>
          <w:p w14:paraId="3B8BBB9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Рубль</w:t>
            </w:r>
          </w:p>
        </w:tc>
        <w:tc>
          <w:tcPr>
            <w:tcW w:w="850" w:type="dxa"/>
            <w:shd w:val="clear" w:color="auto" w:fill="auto"/>
            <w:hideMark/>
          </w:tcPr>
          <w:p w14:paraId="7AA8741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35</w:t>
            </w:r>
          </w:p>
        </w:tc>
        <w:tc>
          <w:tcPr>
            <w:tcW w:w="992" w:type="dxa"/>
            <w:tcBorders>
              <w:top w:val="nil"/>
              <w:left w:val="single" w:sz="4" w:space="0" w:color="000000"/>
              <w:bottom w:val="nil"/>
              <w:right w:val="single" w:sz="4" w:space="0" w:color="000000"/>
            </w:tcBorders>
            <w:shd w:val="clear" w:color="auto" w:fill="auto"/>
            <w:noWrap/>
            <w:hideMark/>
          </w:tcPr>
          <w:p w14:paraId="2B7B315C" w14:textId="4DD3A73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7 311,7</w:t>
            </w:r>
          </w:p>
        </w:tc>
        <w:tc>
          <w:tcPr>
            <w:tcW w:w="993" w:type="dxa"/>
            <w:tcBorders>
              <w:top w:val="nil"/>
              <w:left w:val="nil"/>
              <w:bottom w:val="nil"/>
              <w:right w:val="single" w:sz="4" w:space="0" w:color="000000"/>
            </w:tcBorders>
            <w:shd w:val="clear" w:color="auto" w:fill="auto"/>
            <w:noWrap/>
            <w:hideMark/>
          </w:tcPr>
          <w:p w14:paraId="30217283" w14:textId="7E61869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8 015,8</w:t>
            </w:r>
          </w:p>
        </w:tc>
        <w:tc>
          <w:tcPr>
            <w:tcW w:w="992" w:type="dxa"/>
            <w:tcBorders>
              <w:top w:val="nil"/>
              <w:left w:val="nil"/>
              <w:bottom w:val="nil"/>
              <w:right w:val="single" w:sz="4" w:space="0" w:color="000000"/>
            </w:tcBorders>
            <w:shd w:val="clear" w:color="auto" w:fill="auto"/>
            <w:noWrap/>
            <w:hideMark/>
          </w:tcPr>
          <w:p w14:paraId="0E32C823" w14:textId="6130ACF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7 713,5</w:t>
            </w:r>
          </w:p>
        </w:tc>
        <w:tc>
          <w:tcPr>
            <w:tcW w:w="992" w:type="dxa"/>
            <w:tcBorders>
              <w:top w:val="nil"/>
              <w:left w:val="nil"/>
              <w:bottom w:val="nil"/>
              <w:right w:val="single" w:sz="4" w:space="0" w:color="000000"/>
            </w:tcBorders>
            <w:shd w:val="clear" w:color="auto" w:fill="auto"/>
            <w:noWrap/>
            <w:hideMark/>
          </w:tcPr>
          <w:p w14:paraId="4D349133" w14:textId="0F4DDBA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7 676,8</w:t>
            </w:r>
          </w:p>
        </w:tc>
        <w:tc>
          <w:tcPr>
            <w:tcW w:w="992" w:type="dxa"/>
            <w:tcBorders>
              <w:top w:val="nil"/>
              <w:left w:val="nil"/>
              <w:bottom w:val="nil"/>
              <w:right w:val="single" w:sz="4" w:space="0" w:color="000000"/>
            </w:tcBorders>
            <w:shd w:val="clear" w:color="auto" w:fill="auto"/>
            <w:noWrap/>
            <w:hideMark/>
          </w:tcPr>
          <w:p w14:paraId="74B32AFD" w14:textId="1C1DE1D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9 178,5</w:t>
            </w:r>
          </w:p>
        </w:tc>
        <w:tc>
          <w:tcPr>
            <w:tcW w:w="993" w:type="dxa"/>
            <w:tcBorders>
              <w:top w:val="nil"/>
              <w:left w:val="nil"/>
              <w:bottom w:val="nil"/>
              <w:right w:val="single" w:sz="4" w:space="0" w:color="000000"/>
            </w:tcBorders>
            <w:shd w:val="clear" w:color="auto" w:fill="auto"/>
            <w:noWrap/>
            <w:hideMark/>
          </w:tcPr>
          <w:p w14:paraId="18852778" w14:textId="58B8701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9 490,5</w:t>
            </w:r>
          </w:p>
        </w:tc>
        <w:tc>
          <w:tcPr>
            <w:tcW w:w="992" w:type="dxa"/>
            <w:tcBorders>
              <w:top w:val="nil"/>
              <w:left w:val="nil"/>
              <w:bottom w:val="nil"/>
              <w:right w:val="single" w:sz="4" w:space="0" w:color="000000"/>
            </w:tcBorders>
            <w:shd w:val="clear" w:color="auto" w:fill="auto"/>
            <w:noWrap/>
            <w:hideMark/>
          </w:tcPr>
          <w:p w14:paraId="4747EE4D" w14:textId="5E32B1F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9 490,5</w:t>
            </w:r>
          </w:p>
        </w:tc>
        <w:tc>
          <w:tcPr>
            <w:tcW w:w="2551" w:type="dxa"/>
            <w:shd w:val="clear" w:color="auto" w:fill="auto"/>
            <w:hideMark/>
          </w:tcPr>
          <w:p w14:paraId="2D8DD34B" w14:textId="19837188" w:rsidR="00154BB3" w:rsidRPr="005A3A56" w:rsidRDefault="008F0E1E" w:rsidP="00154BB3">
            <w:pPr>
              <w:spacing w:after="0" w:line="240" w:lineRule="auto"/>
              <w:rPr>
                <w:rFonts w:ascii="Times New Roman" w:eastAsia="Times New Roman" w:hAnsi="Times New Roman" w:cs="Times New Roman"/>
                <w:sz w:val="16"/>
                <w:szCs w:val="16"/>
                <w:lang w:eastAsia="ru-RU"/>
              </w:rPr>
            </w:pPr>
            <w:r w:rsidRPr="008F0E1E">
              <w:rPr>
                <w:rFonts w:ascii="Times New Roman" w:eastAsia="Times New Roman" w:hAnsi="Times New Roman" w:cs="Times New Roman"/>
                <w:sz w:val="16"/>
                <w:szCs w:val="16"/>
                <w:lang w:eastAsia="ru-RU"/>
              </w:rPr>
              <w:t>По итогам 2023 года фиксируется снижение расходов на содержание работников органов местного самоуправления в расчете на 1 жителя на 36,7 руб</w:t>
            </w:r>
            <w:r>
              <w:rPr>
                <w:rFonts w:ascii="Times New Roman" w:eastAsia="Times New Roman" w:hAnsi="Times New Roman" w:cs="Times New Roman"/>
                <w:sz w:val="16"/>
                <w:szCs w:val="16"/>
                <w:lang w:eastAsia="ru-RU"/>
              </w:rPr>
              <w:t>лей</w:t>
            </w:r>
            <w:r w:rsidRPr="008F0E1E">
              <w:rPr>
                <w:rFonts w:ascii="Times New Roman" w:eastAsia="Times New Roman" w:hAnsi="Times New Roman" w:cs="Times New Roman"/>
                <w:sz w:val="16"/>
                <w:szCs w:val="16"/>
                <w:lang w:eastAsia="ru-RU"/>
              </w:rPr>
              <w:t>. На снижение показателя повлияло увеличение численности населения (в 2023 году 47,</w:t>
            </w:r>
            <w:r w:rsidR="009B62A3">
              <w:rPr>
                <w:rFonts w:ascii="Times New Roman" w:eastAsia="Times New Roman" w:hAnsi="Times New Roman" w:cs="Times New Roman"/>
                <w:sz w:val="16"/>
                <w:szCs w:val="16"/>
                <w:lang w:eastAsia="ru-RU"/>
              </w:rPr>
              <w:t>250</w:t>
            </w:r>
            <w:r w:rsidRPr="008F0E1E">
              <w:rPr>
                <w:rFonts w:ascii="Times New Roman" w:eastAsia="Times New Roman" w:hAnsi="Times New Roman" w:cs="Times New Roman"/>
                <w:sz w:val="16"/>
                <w:szCs w:val="16"/>
                <w:lang w:eastAsia="ru-RU"/>
              </w:rPr>
              <w:t xml:space="preserve"> тыс. чел</w:t>
            </w:r>
            <w:r>
              <w:rPr>
                <w:rFonts w:ascii="Times New Roman" w:eastAsia="Times New Roman" w:hAnsi="Times New Roman" w:cs="Times New Roman"/>
                <w:sz w:val="16"/>
                <w:szCs w:val="16"/>
                <w:lang w:eastAsia="ru-RU"/>
              </w:rPr>
              <w:t>овек</w:t>
            </w:r>
            <w:r w:rsidRPr="008F0E1E">
              <w:rPr>
                <w:rFonts w:ascii="Times New Roman" w:eastAsia="Times New Roman" w:hAnsi="Times New Roman" w:cs="Times New Roman"/>
                <w:sz w:val="16"/>
                <w:szCs w:val="16"/>
                <w:lang w:eastAsia="ru-RU"/>
              </w:rPr>
              <w:t>, в 2022 году 46,861 тыс. чел</w:t>
            </w:r>
            <w:r>
              <w:rPr>
                <w:rFonts w:ascii="Times New Roman" w:eastAsia="Times New Roman" w:hAnsi="Times New Roman" w:cs="Times New Roman"/>
                <w:sz w:val="16"/>
                <w:szCs w:val="16"/>
                <w:lang w:eastAsia="ru-RU"/>
              </w:rPr>
              <w:t>овек</w:t>
            </w:r>
            <w:r w:rsidRPr="008F0E1E">
              <w:rPr>
                <w:rFonts w:ascii="Times New Roman" w:eastAsia="Times New Roman" w:hAnsi="Times New Roman" w:cs="Times New Roman"/>
                <w:sz w:val="16"/>
                <w:szCs w:val="16"/>
                <w:lang w:eastAsia="ru-RU"/>
              </w:rPr>
              <w:t>).</w:t>
            </w:r>
          </w:p>
        </w:tc>
      </w:tr>
      <w:tr w:rsidR="00154BB3" w:rsidRPr="00403E44" w14:paraId="5F851E57" w14:textId="77777777" w:rsidTr="00A92E2B">
        <w:trPr>
          <w:trHeight w:val="900"/>
        </w:trPr>
        <w:tc>
          <w:tcPr>
            <w:tcW w:w="1418" w:type="dxa"/>
            <w:vMerge/>
            <w:vAlign w:val="center"/>
            <w:hideMark/>
          </w:tcPr>
          <w:p w14:paraId="3425D5B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bookmarkStart w:id="14" w:name="_Hlk164935519"/>
          </w:p>
        </w:tc>
        <w:tc>
          <w:tcPr>
            <w:tcW w:w="2268" w:type="dxa"/>
            <w:shd w:val="clear" w:color="auto" w:fill="auto"/>
            <w:hideMark/>
          </w:tcPr>
          <w:p w14:paraId="2A8546E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Общий объем расходов бюджета муниципального образования на содержание работников органов местного самоуправления, всего</w:t>
            </w:r>
          </w:p>
        </w:tc>
        <w:tc>
          <w:tcPr>
            <w:tcW w:w="993" w:type="dxa"/>
            <w:shd w:val="clear" w:color="auto" w:fill="auto"/>
            <w:hideMark/>
          </w:tcPr>
          <w:p w14:paraId="55FE72F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рублей</w:t>
            </w:r>
          </w:p>
        </w:tc>
        <w:tc>
          <w:tcPr>
            <w:tcW w:w="850" w:type="dxa"/>
            <w:shd w:val="clear" w:color="auto" w:fill="auto"/>
            <w:hideMark/>
          </w:tcPr>
          <w:p w14:paraId="1D8E815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35.1</w:t>
            </w:r>
          </w:p>
        </w:tc>
        <w:tc>
          <w:tcPr>
            <w:tcW w:w="992" w:type="dxa"/>
            <w:shd w:val="clear" w:color="auto" w:fill="auto"/>
            <w:noWrap/>
            <w:hideMark/>
          </w:tcPr>
          <w:p w14:paraId="7F05E017" w14:textId="40E0416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328 032,3</w:t>
            </w:r>
          </w:p>
        </w:tc>
        <w:tc>
          <w:tcPr>
            <w:tcW w:w="993" w:type="dxa"/>
            <w:shd w:val="clear" w:color="auto" w:fill="auto"/>
            <w:noWrap/>
            <w:hideMark/>
          </w:tcPr>
          <w:p w14:paraId="1F72D69B" w14:textId="3A8EE9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361 294,7</w:t>
            </w:r>
          </w:p>
        </w:tc>
        <w:tc>
          <w:tcPr>
            <w:tcW w:w="992" w:type="dxa"/>
            <w:shd w:val="clear" w:color="auto" w:fill="auto"/>
            <w:noWrap/>
            <w:hideMark/>
          </w:tcPr>
          <w:p w14:paraId="139FC2B7" w14:textId="020BC65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361 464,4</w:t>
            </w:r>
          </w:p>
        </w:tc>
        <w:tc>
          <w:tcPr>
            <w:tcW w:w="992" w:type="dxa"/>
            <w:shd w:val="clear" w:color="auto" w:fill="auto"/>
            <w:noWrap/>
            <w:hideMark/>
          </w:tcPr>
          <w:p w14:paraId="72FDA81D" w14:textId="259E7A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362 726,6</w:t>
            </w:r>
          </w:p>
        </w:tc>
        <w:tc>
          <w:tcPr>
            <w:tcW w:w="992" w:type="dxa"/>
            <w:shd w:val="clear" w:color="auto" w:fill="auto"/>
            <w:noWrap/>
            <w:hideMark/>
          </w:tcPr>
          <w:p w14:paraId="0827653D" w14:textId="01A5D2A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433 682,5</w:t>
            </w:r>
          </w:p>
        </w:tc>
        <w:tc>
          <w:tcPr>
            <w:tcW w:w="993" w:type="dxa"/>
            <w:shd w:val="clear" w:color="auto" w:fill="auto"/>
            <w:noWrap/>
            <w:hideMark/>
          </w:tcPr>
          <w:p w14:paraId="6A637CA5" w14:textId="7CE4FAD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448 427,7</w:t>
            </w:r>
          </w:p>
        </w:tc>
        <w:tc>
          <w:tcPr>
            <w:tcW w:w="992" w:type="dxa"/>
            <w:shd w:val="clear" w:color="auto" w:fill="auto"/>
            <w:noWrap/>
            <w:hideMark/>
          </w:tcPr>
          <w:p w14:paraId="05B1BB95" w14:textId="5817766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448 427,7</w:t>
            </w:r>
          </w:p>
        </w:tc>
        <w:tc>
          <w:tcPr>
            <w:tcW w:w="2551" w:type="dxa"/>
            <w:shd w:val="clear" w:color="auto" w:fill="auto"/>
            <w:hideMark/>
          </w:tcPr>
          <w:p w14:paraId="0E75FD5A" w14:textId="05379D7B" w:rsidR="00154BB3" w:rsidRPr="005A3A56" w:rsidRDefault="00554727" w:rsidP="00154BB3">
            <w:pPr>
              <w:spacing w:after="0" w:line="240" w:lineRule="auto"/>
              <w:rPr>
                <w:rFonts w:ascii="Times New Roman" w:eastAsia="Times New Roman" w:hAnsi="Times New Roman" w:cs="Times New Roman"/>
                <w:sz w:val="16"/>
                <w:szCs w:val="16"/>
                <w:lang w:eastAsia="ru-RU"/>
              </w:rPr>
            </w:pPr>
            <w:r w:rsidRPr="00554727">
              <w:rPr>
                <w:rFonts w:ascii="Times New Roman" w:eastAsia="Times New Roman" w:hAnsi="Times New Roman" w:cs="Times New Roman"/>
                <w:sz w:val="16"/>
                <w:szCs w:val="16"/>
                <w:lang w:eastAsia="ru-RU"/>
              </w:rPr>
              <w:t>Общий объем расходов в 2023 году выше</w:t>
            </w:r>
            <w:r w:rsidR="009C0CFF">
              <w:rPr>
                <w:rFonts w:ascii="Times New Roman" w:eastAsia="Times New Roman" w:hAnsi="Times New Roman" w:cs="Times New Roman"/>
                <w:sz w:val="16"/>
                <w:szCs w:val="16"/>
                <w:lang w:eastAsia="ru-RU"/>
              </w:rPr>
              <w:t xml:space="preserve"> уровня</w:t>
            </w:r>
            <w:r w:rsidRPr="00554727">
              <w:rPr>
                <w:rFonts w:ascii="Times New Roman" w:eastAsia="Times New Roman" w:hAnsi="Times New Roman" w:cs="Times New Roman"/>
                <w:sz w:val="16"/>
                <w:szCs w:val="16"/>
                <w:lang w:eastAsia="ru-RU"/>
              </w:rPr>
              <w:t xml:space="preserve"> 2022 год</w:t>
            </w:r>
            <w:r w:rsidR="009C0CFF">
              <w:rPr>
                <w:rFonts w:ascii="Times New Roman" w:eastAsia="Times New Roman" w:hAnsi="Times New Roman" w:cs="Times New Roman"/>
                <w:sz w:val="16"/>
                <w:szCs w:val="16"/>
                <w:lang w:eastAsia="ru-RU"/>
              </w:rPr>
              <w:t xml:space="preserve">а, в связи с </w:t>
            </w:r>
            <w:r w:rsidRPr="00554727">
              <w:rPr>
                <w:rFonts w:ascii="Times New Roman" w:eastAsia="Times New Roman" w:hAnsi="Times New Roman" w:cs="Times New Roman"/>
                <w:sz w:val="16"/>
                <w:szCs w:val="16"/>
                <w:lang w:eastAsia="ru-RU"/>
              </w:rPr>
              <w:t xml:space="preserve">увеличением с 01.01.2023 норматива </w:t>
            </w:r>
            <w:r w:rsidR="009C0CFF">
              <w:rPr>
                <w:rFonts w:ascii="Times New Roman" w:eastAsia="Times New Roman" w:hAnsi="Times New Roman" w:cs="Times New Roman"/>
                <w:sz w:val="16"/>
                <w:szCs w:val="16"/>
                <w:lang w:eastAsia="ru-RU"/>
              </w:rPr>
              <w:t>на содержание</w:t>
            </w:r>
            <w:r w:rsidRPr="00554727">
              <w:rPr>
                <w:rFonts w:ascii="Times New Roman" w:eastAsia="Times New Roman" w:hAnsi="Times New Roman" w:cs="Times New Roman"/>
                <w:sz w:val="16"/>
                <w:szCs w:val="16"/>
                <w:lang w:eastAsia="ru-RU"/>
              </w:rPr>
              <w:t xml:space="preserve"> </w:t>
            </w:r>
            <w:r w:rsidR="009C0CFF">
              <w:rPr>
                <w:rFonts w:ascii="Times New Roman" w:eastAsia="Times New Roman" w:hAnsi="Times New Roman" w:cs="Times New Roman"/>
                <w:sz w:val="16"/>
                <w:szCs w:val="16"/>
                <w:lang w:eastAsia="ru-RU"/>
              </w:rPr>
              <w:t>органов местного самоуправления</w:t>
            </w:r>
            <w:r w:rsidRPr="00554727">
              <w:rPr>
                <w:rFonts w:ascii="Times New Roman" w:eastAsia="Times New Roman" w:hAnsi="Times New Roman" w:cs="Times New Roman"/>
                <w:sz w:val="16"/>
                <w:szCs w:val="16"/>
                <w:lang w:eastAsia="ru-RU"/>
              </w:rPr>
              <w:t xml:space="preserve">, </w:t>
            </w:r>
            <w:r w:rsidR="009C0CFF">
              <w:rPr>
                <w:rFonts w:ascii="Times New Roman" w:eastAsia="Times New Roman" w:hAnsi="Times New Roman" w:cs="Times New Roman"/>
                <w:sz w:val="16"/>
                <w:szCs w:val="16"/>
                <w:lang w:eastAsia="ru-RU"/>
              </w:rPr>
              <w:t xml:space="preserve">в соответствии с </w:t>
            </w:r>
            <w:r w:rsidR="008A63E2">
              <w:rPr>
                <w:rFonts w:ascii="Times New Roman" w:eastAsia="Times New Roman" w:hAnsi="Times New Roman" w:cs="Times New Roman"/>
                <w:sz w:val="16"/>
                <w:szCs w:val="16"/>
                <w:lang w:eastAsia="ru-RU"/>
              </w:rPr>
              <w:t>нормативно-правовым акт</w:t>
            </w:r>
            <w:r w:rsidR="009C0CFF">
              <w:rPr>
                <w:rFonts w:ascii="Times New Roman" w:eastAsia="Times New Roman" w:hAnsi="Times New Roman" w:cs="Times New Roman"/>
                <w:sz w:val="16"/>
                <w:szCs w:val="16"/>
                <w:lang w:eastAsia="ru-RU"/>
              </w:rPr>
              <w:t>ом Правительства</w:t>
            </w:r>
            <w:r w:rsidR="008A63E2">
              <w:rPr>
                <w:rFonts w:ascii="Times New Roman" w:eastAsia="Times New Roman" w:hAnsi="Times New Roman" w:cs="Times New Roman"/>
                <w:sz w:val="16"/>
                <w:szCs w:val="16"/>
                <w:lang w:eastAsia="ru-RU"/>
              </w:rPr>
              <w:t xml:space="preserve"> Ханты-Мансийского автономного округа – Югры</w:t>
            </w:r>
          </w:p>
        </w:tc>
      </w:tr>
      <w:bookmarkEnd w:id="14"/>
      <w:tr w:rsidR="00154BB3" w:rsidRPr="00403E44" w14:paraId="43DDC30A" w14:textId="77777777" w:rsidTr="00A92E2B">
        <w:trPr>
          <w:trHeight w:val="1200"/>
        </w:trPr>
        <w:tc>
          <w:tcPr>
            <w:tcW w:w="1418" w:type="dxa"/>
            <w:vMerge/>
            <w:vAlign w:val="center"/>
            <w:hideMark/>
          </w:tcPr>
          <w:p w14:paraId="10E9D5B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5B956E0"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993" w:type="dxa"/>
            <w:shd w:val="clear" w:color="auto" w:fill="auto"/>
            <w:hideMark/>
          </w:tcPr>
          <w:p w14:paraId="6246B77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Условная единица</w:t>
            </w:r>
          </w:p>
        </w:tc>
        <w:tc>
          <w:tcPr>
            <w:tcW w:w="850" w:type="dxa"/>
            <w:shd w:val="clear" w:color="auto" w:fill="auto"/>
            <w:hideMark/>
          </w:tcPr>
          <w:p w14:paraId="4DF89C2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36</w:t>
            </w:r>
          </w:p>
        </w:tc>
        <w:tc>
          <w:tcPr>
            <w:tcW w:w="992" w:type="dxa"/>
            <w:shd w:val="clear" w:color="auto" w:fill="auto"/>
            <w:noWrap/>
            <w:hideMark/>
          </w:tcPr>
          <w:p w14:paraId="558B7B2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3" w:type="dxa"/>
            <w:shd w:val="clear" w:color="auto" w:fill="auto"/>
            <w:noWrap/>
            <w:hideMark/>
          </w:tcPr>
          <w:p w14:paraId="6300721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2" w:type="dxa"/>
            <w:shd w:val="clear" w:color="auto" w:fill="auto"/>
            <w:noWrap/>
            <w:hideMark/>
          </w:tcPr>
          <w:p w14:paraId="2325BDE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2" w:type="dxa"/>
            <w:shd w:val="clear" w:color="auto" w:fill="auto"/>
            <w:noWrap/>
            <w:hideMark/>
          </w:tcPr>
          <w:p w14:paraId="79F3808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2" w:type="dxa"/>
            <w:shd w:val="clear" w:color="auto" w:fill="auto"/>
            <w:noWrap/>
            <w:hideMark/>
          </w:tcPr>
          <w:p w14:paraId="0D961EE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3" w:type="dxa"/>
            <w:shd w:val="clear" w:color="auto" w:fill="auto"/>
            <w:noWrap/>
            <w:hideMark/>
          </w:tcPr>
          <w:p w14:paraId="532B1F76"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992" w:type="dxa"/>
            <w:shd w:val="clear" w:color="auto" w:fill="auto"/>
            <w:noWrap/>
            <w:hideMark/>
          </w:tcPr>
          <w:p w14:paraId="3862D28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1,0</w:t>
            </w:r>
          </w:p>
        </w:tc>
        <w:tc>
          <w:tcPr>
            <w:tcW w:w="2551" w:type="dxa"/>
            <w:shd w:val="clear" w:color="auto" w:fill="auto"/>
            <w:hideMark/>
          </w:tcPr>
          <w:p w14:paraId="423344A8"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274751D6" w14:textId="77777777" w:rsidTr="00285FF8">
        <w:trPr>
          <w:trHeight w:val="900"/>
        </w:trPr>
        <w:tc>
          <w:tcPr>
            <w:tcW w:w="1418" w:type="dxa"/>
            <w:vMerge/>
            <w:vAlign w:val="center"/>
            <w:hideMark/>
          </w:tcPr>
          <w:p w14:paraId="2D90209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D3EFF0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Удовлетворенность населения деятельностью местного самоуправления городского округа (муниципального района)</w:t>
            </w:r>
          </w:p>
        </w:tc>
        <w:tc>
          <w:tcPr>
            <w:tcW w:w="993" w:type="dxa"/>
            <w:shd w:val="clear" w:color="auto" w:fill="auto"/>
            <w:hideMark/>
          </w:tcPr>
          <w:p w14:paraId="44CB400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Процент от числа опрошенных</w:t>
            </w:r>
          </w:p>
        </w:tc>
        <w:tc>
          <w:tcPr>
            <w:tcW w:w="850" w:type="dxa"/>
            <w:shd w:val="clear" w:color="auto" w:fill="auto"/>
            <w:hideMark/>
          </w:tcPr>
          <w:p w14:paraId="44654AF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37</w:t>
            </w:r>
          </w:p>
        </w:tc>
        <w:tc>
          <w:tcPr>
            <w:tcW w:w="992" w:type="dxa"/>
            <w:tcBorders>
              <w:top w:val="nil"/>
              <w:left w:val="single" w:sz="4" w:space="0" w:color="000000"/>
              <w:bottom w:val="nil"/>
              <w:right w:val="single" w:sz="4" w:space="0" w:color="000000"/>
            </w:tcBorders>
            <w:shd w:val="clear" w:color="000000" w:fill="D7D7D7"/>
            <w:noWrap/>
            <w:hideMark/>
          </w:tcPr>
          <w:p w14:paraId="7CFA3641" w14:textId="209473C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65,0</w:t>
            </w:r>
          </w:p>
        </w:tc>
        <w:tc>
          <w:tcPr>
            <w:tcW w:w="993" w:type="dxa"/>
            <w:tcBorders>
              <w:top w:val="nil"/>
              <w:left w:val="nil"/>
              <w:bottom w:val="nil"/>
              <w:right w:val="single" w:sz="4" w:space="0" w:color="000000"/>
            </w:tcBorders>
            <w:shd w:val="clear" w:color="000000" w:fill="D7D7D7"/>
            <w:noWrap/>
            <w:hideMark/>
          </w:tcPr>
          <w:p w14:paraId="260048DC" w14:textId="314348E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45,4</w:t>
            </w:r>
          </w:p>
        </w:tc>
        <w:tc>
          <w:tcPr>
            <w:tcW w:w="992" w:type="dxa"/>
            <w:tcBorders>
              <w:top w:val="nil"/>
              <w:left w:val="nil"/>
              <w:bottom w:val="nil"/>
              <w:right w:val="single" w:sz="4" w:space="0" w:color="000000"/>
            </w:tcBorders>
            <w:shd w:val="clear" w:color="000000" w:fill="D7D7D7"/>
            <w:noWrap/>
            <w:hideMark/>
          </w:tcPr>
          <w:p w14:paraId="73F7F377" w14:textId="7EE9D43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60,1</w:t>
            </w:r>
          </w:p>
        </w:tc>
        <w:tc>
          <w:tcPr>
            <w:tcW w:w="992" w:type="dxa"/>
            <w:tcBorders>
              <w:top w:val="nil"/>
              <w:left w:val="nil"/>
              <w:bottom w:val="nil"/>
              <w:right w:val="single" w:sz="4" w:space="0" w:color="000000"/>
            </w:tcBorders>
            <w:shd w:val="clear" w:color="000000" w:fill="D7D7D7"/>
            <w:noWrap/>
            <w:hideMark/>
          </w:tcPr>
          <w:p w14:paraId="0A440A61" w14:textId="0C82522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70,2</w:t>
            </w:r>
          </w:p>
        </w:tc>
        <w:tc>
          <w:tcPr>
            <w:tcW w:w="992" w:type="dxa"/>
            <w:tcBorders>
              <w:top w:val="nil"/>
              <w:left w:val="nil"/>
              <w:bottom w:val="nil"/>
              <w:right w:val="single" w:sz="4" w:space="0" w:color="000000"/>
            </w:tcBorders>
            <w:shd w:val="clear" w:color="000000" w:fill="D7D7D7"/>
            <w:noWrap/>
            <w:hideMark/>
          </w:tcPr>
          <w:p w14:paraId="6F4EDF50" w14:textId="011FCF9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0</w:t>
            </w:r>
          </w:p>
        </w:tc>
        <w:tc>
          <w:tcPr>
            <w:tcW w:w="993" w:type="dxa"/>
            <w:tcBorders>
              <w:top w:val="nil"/>
              <w:left w:val="nil"/>
              <w:bottom w:val="nil"/>
              <w:right w:val="single" w:sz="4" w:space="0" w:color="000000"/>
            </w:tcBorders>
            <w:shd w:val="clear" w:color="000000" w:fill="D7D7D7"/>
            <w:noWrap/>
            <w:hideMark/>
          </w:tcPr>
          <w:p w14:paraId="3FD9E31E" w14:textId="7A0D0E7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0</w:t>
            </w:r>
          </w:p>
        </w:tc>
        <w:tc>
          <w:tcPr>
            <w:tcW w:w="992" w:type="dxa"/>
            <w:tcBorders>
              <w:top w:val="nil"/>
              <w:left w:val="nil"/>
              <w:bottom w:val="nil"/>
              <w:right w:val="single" w:sz="4" w:space="0" w:color="000000"/>
            </w:tcBorders>
            <w:shd w:val="clear" w:color="000000" w:fill="D7D7D7"/>
            <w:noWrap/>
            <w:hideMark/>
          </w:tcPr>
          <w:p w14:paraId="24EAD4D6" w14:textId="694CDD5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0</w:t>
            </w:r>
          </w:p>
        </w:tc>
        <w:tc>
          <w:tcPr>
            <w:tcW w:w="2551" w:type="dxa"/>
            <w:shd w:val="clear" w:color="auto" w:fill="auto"/>
            <w:hideMark/>
          </w:tcPr>
          <w:p w14:paraId="5FF3CE89"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4DBC081A" w14:textId="77777777" w:rsidTr="008F0E1E">
        <w:trPr>
          <w:trHeight w:val="435"/>
        </w:trPr>
        <w:tc>
          <w:tcPr>
            <w:tcW w:w="1418" w:type="dxa"/>
            <w:vMerge/>
            <w:vAlign w:val="center"/>
            <w:hideMark/>
          </w:tcPr>
          <w:p w14:paraId="761B4014"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E76281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Среднегодовая численность постоянного населения</w:t>
            </w:r>
          </w:p>
        </w:tc>
        <w:tc>
          <w:tcPr>
            <w:tcW w:w="993" w:type="dxa"/>
            <w:shd w:val="clear" w:color="auto" w:fill="auto"/>
            <w:hideMark/>
          </w:tcPr>
          <w:p w14:paraId="65ECD8B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Тысяча человек</w:t>
            </w:r>
          </w:p>
        </w:tc>
        <w:tc>
          <w:tcPr>
            <w:tcW w:w="850" w:type="dxa"/>
            <w:shd w:val="clear" w:color="auto" w:fill="auto"/>
            <w:hideMark/>
          </w:tcPr>
          <w:p w14:paraId="4A41CC1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38</w:t>
            </w:r>
          </w:p>
        </w:tc>
        <w:tc>
          <w:tcPr>
            <w:tcW w:w="992" w:type="dxa"/>
            <w:shd w:val="clear" w:color="000000" w:fill="D7D7D7"/>
            <w:noWrap/>
            <w:hideMark/>
          </w:tcPr>
          <w:p w14:paraId="593EE392" w14:textId="4B21A85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44,825</w:t>
            </w:r>
          </w:p>
        </w:tc>
        <w:tc>
          <w:tcPr>
            <w:tcW w:w="993" w:type="dxa"/>
            <w:shd w:val="clear" w:color="000000" w:fill="D7D7D7"/>
            <w:noWrap/>
            <w:hideMark/>
          </w:tcPr>
          <w:p w14:paraId="5CAD3CBE" w14:textId="245D1A6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45,073</w:t>
            </w:r>
          </w:p>
        </w:tc>
        <w:tc>
          <w:tcPr>
            <w:tcW w:w="992" w:type="dxa"/>
            <w:shd w:val="clear" w:color="000000" w:fill="D7D7D7"/>
            <w:noWrap/>
            <w:hideMark/>
          </w:tcPr>
          <w:p w14:paraId="7D0023A8" w14:textId="42C707B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46,861</w:t>
            </w:r>
          </w:p>
        </w:tc>
        <w:tc>
          <w:tcPr>
            <w:tcW w:w="992" w:type="dxa"/>
            <w:shd w:val="clear" w:color="000000" w:fill="D7D7D7"/>
            <w:noWrap/>
            <w:hideMark/>
          </w:tcPr>
          <w:p w14:paraId="0964CDAF" w14:textId="7417A16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47,250</w:t>
            </w:r>
          </w:p>
        </w:tc>
        <w:tc>
          <w:tcPr>
            <w:tcW w:w="992" w:type="dxa"/>
            <w:shd w:val="clear" w:color="auto" w:fill="auto"/>
            <w:noWrap/>
          </w:tcPr>
          <w:p w14:paraId="7B336A8B" w14:textId="7584662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47,250</w:t>
            </w:r>
          </w:p>
        </w:tc>
        <w:tc>
          <w:tcPr>
            <w:tcW w:w="993" w:type="dxa"/>
            <w:shd w:val="clear" w:color="auto" w:fill="auto"/>
            <w:noWrap/>
          </w:tcPr>
          <w:p w14:paraId="7E8B4AA2" w14:textId="7278E7B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47,250</w:t>
            </w:r>
          </w:p>
        </w:tc>
        <w:tc>
          <w:tcPr>
            <w:tcW w:w="992" w:type="dxa"/>
            <w:shd w:val="clear" w:color="auto" w:fill="auto"/>
            <w:noWrap/>
          </w:tcPr>
          <w:p w14:paraId="40BB17AC" w14:textId="2F92CE4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47,250</w:t>
            </w:r>
          </w:p>
        </w:tc>
        <w:tc>
          <w:tcPr>
            <w:tcW w:w="2551" w:type="dxa"/>
            <w:shd w:val="clear" w:color="auto" w:fill="auto"/>
            <w:hideMark/>
          </w:tcPr>
          <w:p w14:paraId="6487EDD6" w14:textId="3F25B6B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Статистические данные Тюменьстата за 2023 год.</w:t>
            </w:r>
          </w:p>
        </w:tc>
      </w:tr>
      <w:tr w:rsidR="00154BB3" w:rsidRPr="00403E44" w14:paraId="5348A240" w14:textId="77777777" w:rsidTr="00285FF8">
        <w:trPr>
          <w:trHeight w:val="1200"/>
        </w:trPr>
        <w:tc>
          <w:tcPr>
            <w:tcW w:w="1418" w:type="dxa"/>
            <w:vMerge w:val="restart"/>
            <w:shd w:val="clear" w:color="auto" w:fill="auto"/>
            <w:hideMark/>
          </w:tcPr>
          <w:p w14:paraId="418FB3B9"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Энергосбережение и повышение энергетической эффективности</w:t>
            </w:r>
          </w:p>
        </w:tc>
        <w:tc>
          <w:tcPr>
            <w:tcW w:w="2268" w:type="dxa"/>
            <w:shd w:val="clear" w:color="auto" w:fill="auto"/>
            <w:hideMark/>
          </w:tcPr>
          <w:p w14:paraId="40EE97B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993" w:type="dxa"/>
            <w:shd w:val="clear" w:color="auto" w:fill="auto"/>
            <w:hideMark/>
          </w:tcPr>
          <w:p w14:paraId="1C3F740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Неизвестные данные</w:t>
            </w:r>
          </w:p>
        </w:tc>
        <w:tc>
          <w:tcPr>
            <w:tcW w:w="850" w:type="dxa"/>
            <w:shd w:val="clear" w:color="auto" w:fill="auto"/>
            <w:hideMark/>
          </w:tcPr>
          <w:p w14:paraId="495389A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w:t>
            </w:r>
          </w:p>
        </w:tc>
        <w:tc>
          <w:tcPr>
            <w:tcW w:w="992" w:type="dxa"/>
            <w:shd w:val="clear" w:color="000000" w:fill="D7D7D7"/>
            <w:noWrap/>
            <w:hideMark/>
          </w:tcPr>
          <w:p w14:paraId="24D5E78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D20D20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F27480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1028EA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A2693C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4FFF23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9FCE9C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6A21691"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w:t>
            </w:r>
          </w:p>
        </w:tc>
      </w:tr>
      <w:tr w:rsidR="00154BB3" w:rsidRPr="00403E44" w14:paraId="70924A83" w14:textId="77777777" w:rsidTr="008B7C32">
        <w:trPr>
          <w:trHeight w:val="850"/>
        </w:trPr>
        <w:tc>
          <w:tcPr>
            <w:tcW w:w="1418" w:type="dxa"/>
            <w:vMerge/>
            <w:vAlign w:val="center"/>
            <w:hideMark/>
          </w:tcPr>
          <w:p w14:paraId="2485487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839E78E"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электрическая энергия</w:t>
            </w:r>
          </w:p>
        </w:tc>
        <w:tc>
          <w:tcPr>
            <w:tcW w:w="993" w:type="dxa"/>
            <w:shd w:val="clear" w:color="auto" w:fill="auto"/>
            <w:hideMark/>
          </w:tcPr>
          <w:p w14:paraId="507502C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килловат в час на 1 проживающего</w:t>
            </w:r>
          </w:p>
        </w:tc>
        <w:tc>
          <w:tcPr>
            <w:tcW w:w="850" w:type="dxa"/>
            <w:shd w:val="clear" w:color="auto" w:fill="auto"/>
            <w:hideMark/>
          </w:tcPr>
          <w:p w14:paraId="33F7B3F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39.1</w:t>
            </w:r>
          </w:p>
        </w:tc>
        <w:tc>
          <w:tcPr>
            <w:tcW w:w="992" w:type="dxa"/>
            <w:tcBorders>
              <w:top w:val="single" w:sz="4" w:space="0" w:color="auto"/>
              <w:left w:val="single" w:sz="4" w:space="0" w:color="auto"/>
              <w:bottom w:val="single" w:sz="4" w:space="0" w:color="auto"/>
              <w:right w:val="single" w:sz="4" w:space="0" w:color="auto"/>
            </w:tcBorders>
            <w:shd w:val="clear" w:color="000000" w:fill="D7D7D7"/>
            <w:noWrap/>
            <w:hideMark/>
          </w:tcPr>
          <w:p w14:paraId="40BF6B90" w14:textId="6A264CA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743,20</w:t>
            </w:r>
          </w:p>
        </w:tc>
        <w:tc>
          <w:tcPr>
            <w:tcW w:w="993" w:type="dxa"/>
            <w:tcBorders>
              <w:top w:val="single" w:sz="4" w:space="0" w:color="auto"/>
              <w:left w:val="nil"/>
              <w:bottom w:val="single" w:sz="4" w:space="0" w:color="auto"/>
              <w:right w:val="single" w:sz="4" w:space="0" w:color="auto"/>
            </w:tcBorders>
            <w:shd w:val="clear" w:color="000000" w:fill="D7D7D7"/>
            <w:noWrap/>
            <w:hideMark/>
          </w:tcPr>
          <w:p w14:paraId="0A8E3793" w14:textId="1A98814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742,52</w:t>
            </w:r>
          </w:p>
        </w:tc>
        <w:tc>
          <w:tcPr>
            <w:tcW w:w="992" w:type="dxa"/>
            <w:tcBorders>
              <w:top w:val="single" w:sz="4" w:space="0" w:color="auto"/>
              <w:left w:val="nil"/>
              <w:bottom w:val="single" w:sz="4" w:space="0" w:color="auto"/>
              <w:right w:val="single" w:sz="4" w:space="0" w:color="auto"/>
            </w:tcBorders>
            <w:shd w:val="clear" w:color="000000" w:fill="D7D7D7"/>
            <w:noWrap/>
            <w:hideMark/>
          </w:tcPr>
          <w:p w14:paraId="0CF6C817" w14:textId="35A9441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741,10</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7266CAFB" w14:textId="235EC5B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718,45</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6C85FAF6" w14:textId="3949319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706,97</w:t>
            </w:r>
          </w:p>
        </w:tc>
        <w:tc>
          <w:tcPr>
            <w:tcW w:w="993" w:type="dxa"/>
            <w:tcBorders>
              <w:top w:val="single" w:sz="4" w:space="0" w:color="auto"/>
              <w:left w:val="nil"/>
              <w:bottom w:val="single" w:sz="4" w:space="0" w:color="auto"/>
              <w:right w:val="single" w:sz="4" w:space="0" w:color="auto"/>
            </w:tcBorders>
            <w:shd w:val="clear" w:color="000000" w:fill="D9D9D9"/>
            <w:noWrap/>
            <w:hideMark/>
          </w:tcPr>
          <w:p w14:paraId="6AF9B244" w14:textId="3131F2B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703,78</w:t>
            </w:r>
          </w:p>
        </w:tc>
        <w:tc>
          <w:tcPr>
            <w:tcW w:w="992" w:type="dxa"/>
            <w:tcBorders>
              <w:top w:val="single" w:sz="4" w:space="0" w:color="auto"/>
              <w:left w:val="nil"/>
              <w:bottom w:val="single" w:sz="4" w:space="0" w:color="auto"/>
              <w:right w:val="single" w:sz="4" w:space="0" w:color="auto"/>
            </w:tcBorders>
            <w:shd w:val="clear" w:color="000000" w:fill="D9D9D9"/>
            <w:noWrap/>
            <w:hideMark/>
          </w:tcPr>
          <w:p w14:paraId="0838C122" w14:textId="15A5BDA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703,34</w:t>
            </w:r>
          </w:p>
        </w:tc>
        <w:tc>
          <w:tcPr>
            <w:tcW w:w="2551" w:type="dxa"/>
            <w:shd w:val="clear" w:color="auto" w:fill="auto"/>
            <w:hideMark/>
          </w:tcPr>
          <w:p w14:paraId="0455F485" w14:textId="718DFF3B" w:rsidR="00154BB3" w:rsidRPr="00285FF8" w:rsidRDefault="00154BB3" w:rsidP="00154BB3">
            <w:pPr>
              <w:spacing w:after="0" w:line="240" w:lineRule="auto"/>
              <w:rPr>
                <w:rFonts w:ascii="Times New Roman" w:eastAsia="Times New Roman" w:hAnsi="Times New Roman" w:cs="Times New Roman"/>
                <w:color w:val="00B050"/>
                <w:sz w:val="16"/>
                <w:szCs w:val="16"/>
                <w:lang w:eastAsia="ru-RU"/>
              </w:rPr>
            </w:pPr>
            <w:r w:rsidRPr="00465B0F">
              <w:rPr>
                <w:rFonts w:ascii="Times New Roman" w:eastAsia="Times New Roman" w:hAnsi="Times New Roman" w:cs="Times New Roman"/>
                <w:sz w:val="16"/>
                <w:szCs w:val="16"/>
                <w:lang w:eastAsia="ru-RU"/>
              </w:rPr>
              <w:t>Произошло фактическое уменьшение потребления электрической энергии по отношению к 2022 году.</w:t>
            </w:r>
          </w:p>
        </w:tc>
      </w:tr>
      <w:tr w:rsidR="00154BB3" w:rsidRPr="00403E44" w14:paraId="5464F975" w14:textId="77777777" w:rsidTr="00285FF8">
        <w:trPr>
          <w:trHeight w:val="900"/>
        </w:trPr>
        <w:tc>
          <w:tcPr>
            <w:tcW w:w="1418" w:type="dxa"/>
            <w:vMerge/>
            <w:vAlign w:val="center"/>
            <w:hideMark/>
          </w:tcPr>
          <w:p w14:paraId="3741664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2FD477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Суммарное потребление электроэнергии всеми МКД на территории муниципального образования</w:t>
            </w:r>
          </w:p>
        </w:tc>
        <w:tc>
          <w:tcPr>
            <w:tcW w:w="993" w:type="dxa"/>
            <w:shd w:val="clear" w:color="auto" w:fill="auto"/>
            <w:hideMark/>
          </w:tcPr>
          <w:p w14:paraId="29AACD3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Киловатт</w:t>
            </w:r>
          </w:p>
        </w:tc>
        <w:tc>
          <w:tcPr>
            <w:tcW w:w="850" w:type="dxa"/>
            <w:shd w:val="clear" w:color="auto" w:fill="auto"/>
            <w:hideMark/>
          </w:tcPr>
          <w:p w14:paraId="188F609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39.1.1</w:t>
            </w:r>
          </w:p>
        </w:tc>
        <w:tc>
          <w:tcPr>
            <w:tcW w:w="992" w:type="dxa"/>
            <w:tcBorders>
              <w:top w:val="nil"/>
              <w:left w:val="single" w:sz="4" w:space="0" w:color="000000"/>
              <w:bottom w:val="nil"/>
              <w:right w:val="single" w:sz="4" w:space="0" w:color="000000"/>
            </w:tcBorders>
            <w:shd w:val="clear" w:color="auto" w:fill="auto"/>
            <w:noWrap/>
            <w:hideMark/>
          </w:tcPr>
          <w:p w14:paraId="4F786D3F" w14:textId="1793229A" w:rsidR="00154BB3" w:rsidRPr="00600B72" w:rsidRDefault="00154BB3" w:rsidP="00154BB3">
            <w:pPr>
              <w:spacing w:after="0" w:line="240" w:lineRule="auto"/>
              <w:ind w:left="-109"/>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30 686 182,0</w:t>
            </w:r>
          </w:p>
        </w:tc>
        <w:tc>
          <w:tcPr>
            <w:tcW w:w="993" w:type="dxa"/>
            <w:tcBorders>
              <w:top w:val="nil"/>
              <w:left w:val="nil"/>
              <w:bottom w:val="nil"/>
              <w:right w:val="single" w:sz="4" w:space="0" w:color="000000"/>
            </w:tcBorders>
            <w:shd w:val="clear" w:color="auto" w:fill="auto"/>
            <w:noWrap/>
            <w:hideMark/>
          </w:tcPr>
          <w:p w14:paraId="5A03EA2B" w14:textId="02A31DFA" w:rsidR="00154BB3" w:rsidRPr="00600B72" w:rsidRDefault="00154BB3" w:rsidP="00154BB3">
            <w:pPr>
              <w:spacing w:after="0" w:line="240" w:lineRule="auto"/>
              <w:ind w:left="-107"/>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30 654 000,0</w:t>
            </w:r>
          </w:p>
        </w:tc>
        <w:tc>
          <w:tcPr>
            <w:tcW w:w="992" w:type="dxa"/>
            <w:tcBorders>
              <w:top w:val="nil"/>
              <w:left w:val="nil"/>
              <w:bottom w:val="nil"/>
              <w:right w:val="single" w:sz="4" w:space="0" w:color="000000"/>
            </w:tcBorders>
            <w:shd w:val="clear" w:color="auto" w:fill="auto"/>
            <w:noWrap/>
            <w:hideMark/>
          </w:tcPr>
          <w:p w14:paraId="633B5D1E" w14:textId="46C1C3DB"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30 639 256,0</w:t>
            </w:r>
          </w:p>
        </w:tc>
        <w:tc>
          <w:tcPr>
            <w:tcW w:w="992" w:type="dxa"/>
            <w:tcBorders>
              <w:top w:val="nil"/>
              <w:left w:val="nil"/>
              <w:bottom w:val="nil"/>
              <w:right w:val="single" w:sz="4" w:space="0" w:color="000000"/>
            </w:tcBorders>
            <w:shd w:val="clear" w:color="auto" w:fill="auto"/>
            <w:noWrap/>
            <w:hideMark/>
          </w:tcPr>
          <w:p w14:paraId="77703E82" w14:textId="59C6F062" w:rsidR="00154BB3" w:rsidRPr="00600B72" w:rsidRDefault="00154BB3" w:rsidP="00154BB3">
            <w:pPr>
              <w:spacing w:after="0" w:line="240" w:lineRule="auto"/>
              <w:ind w:left="-102"/>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29 833 613,0</w:t>
            </w:r>
          </w:p>
        </w:tc>
        <w:tc>
          <w:tcPr>
            <w:tcW w:w="992" w:type="dxa"/>
            <w:tcBorders>
              <w:top w:val="nil"/>
              <w:left w:val="nil"/>
              <w:bottom w:val="nil"/>
              <w:right w:val="single" w:sz="4" w:space="0" w:color="000000"/>
            </w:tcBorders>
            <w:shd w:val="clear" w:color="auto" w:fill="auto"/>
            <w:noWrap/>
            <w:hideMark/>
          </w:tcPr>
          <w:p w14:paraId="281AEFAC" w14:textId="7A662CB9" w:rsidR="00154BB3" w:rsidRPr="00600B72" w:rsidRDefault="00154BB3" w:rsidP="00154BB3">
            <w:pPr>
              <w:spacing w:after="0" w:line="240" w:lineRule="auto"/>
              <w:ind w:left="-100"/>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29 375 294,0</w:t>
            </w:r>
          </w:p>
        </w:tc>
        <w:tc>
          <w:tcPr>
            <w:tcW w:w="993" w:type="dxa"/>
            <w:tcBorders>
              <w:top w:val="nil"/>
              <w:left w:val="nil"/>
              <w:bottom w:val="nil"/>
              <w:right w:val="single" w:sz="4" w:space="0" w:color="000000"/>
            </w:tcBorders>
            <w:shd w:val="clear" w:color="auto" w:fill="auto"/>
            <w:noWrap/>
            <w:hideMark/>
          </w:tcPr>
          <w:p w14:paraId="2C69696F" w14:textId="3CCEB2F0" w:rsidR="00154BB3" w:rsidRPr="00600B72" w:rsidRDefault="00154BB3" w:rsidP="00154BB3">
            <w:pPr>
              <w:spacing w:after="0" w:line="240" w:lineRule="auto"/>
              <w:ind w:left="-113"/>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29 289 058,0</w:t>
            </w:r>
          </w:p>
        </w:tc>
        <w:tc>
          <w:tcPr>
            <w:tcW w:w="992" w:type="dxa"/>
            <w:tcBorders>
              <w:top w:val="nil"/>
              <w:left w:val="nil"/>
              <w:bottom w:val="nil"/>
              <w:right w:val="single" w:sz="4" w:space="0" w:color="000000"/>
            </w:tcBorders>
            <w:shd w:val="clear" w:color="auto" w:fill="auto"/>
            <w:noWrap/>
            <w:hideMark/>
          </w:tcPr>
          <w:p w14:paraId="62FE99E5" w14:textId="60B3733B" w:rsidR="00154BB3" w:rsidRPr="00600B72" w:rsidRDefault="00154BB3" w:rsidP="00154BB3">
            <w:pPr>
              <w:spacing w:after="0" w:line="240" w:lineRule="auto"/>
              <w:ind w:left="-110"/>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29 278 512,0</w:t>
            </w:r>
          </w:p>
        </w:tc>
        <w:tc>
          <w:tcPr>
            <w:tcW w:w="2551" w:type="dxa"/>
            <w:shd w:val="clear" w:color="auto" w:fill="auto"/>
            <w:hideMark/>
          </w:tcPr>
          <w:p w14:paraId="5C62C679" w14:textId="04543D13"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Объем потребления за 2023 год предоставлен АО "Газпром энергосбыт Тюмень". Суммарное потребление электрической энергии учтено по факту показаний установленных приборов учета</w:t>
            </w:r>
          </w:p>
        </w:tc>
      </w:tr>
      <w:tr w:rsidR="00154BB3" w:rsidRPr="00403E44" w14:paraId="6215406C" w14:textId="77777777" w:rsidTr="00285FF8">
        <w:trPr>
          <w:trHeight w:val="600"/>
        </w:trPr>
        <w:tc>
          <w:tcPr>
            <w:tcW w:w="1418" w:type="dxa"/>
            <w:vMerge/>
            <w:vAlign w:val="center"/>
            <w:hideMark/>
          </w:tcPr>
          <w:p w14:paraId="40C2CDC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C5C2D3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проживающих в многоквартирных домах (с электроэнергией)</w:t>
            </w:r>
          </w:p>
        </w:tc>
        <w:tc>
          <w:tcPr>
            <w:tcW w:w="993" w:type="dxa"/>
            <w:shd w:val="clear" w:color="auto" w:fill="auto"/>
            <w:hideMark/>
          </w:tcPr>
          <w:p w14:paraId="473EA6F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998165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39.1.2</w:t>
            </w:r>
          </w:p>
        </w:tc>
        <w:tc>
          <w:tcPr>
            <w:tcW w:w="992" w:type="dxa"/>
            <w:shd w:val="clear" w:color="auto" w:fill="auto"/>
            <w:noWrap/>
            <w:hideMark/>
          </w:tcPr>
          <w:p w14:paraId="6A9ED64F" w14:textId="4C2608D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41 289,0</w:t>
            </w:r>
          </w:p>
        </w:tc>
        <w:tc>
          <w:tcPr>
            <w:tcW w:w="993" w:type="dxa"/>
            <w:shd w:val="clear" w:color="auto" w:fill="auto"/>
            <w:noWrap/>
            <w:hideMark/>
          </w:tcPr>
          <w:p w14:paraId="6A907D72" w14:textId="040DC5B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41 283,9</w:t>
            </w:r>
          </w:p>
        </w:tc>
        <w:tc>
          <w:tcPr>
            <w:tcW w:w="992" w:type="dxa"/>
            <w:shd w:val="clear" w:color="auto" w:fill="auto"/>
            <w:noWrap/>
            <w:hideMark/>
          </w:tcPr>
          <w:p w14:paraId="44297C12" w14:textId="5AC3771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41 343,0</w:t>
            </w:r>
          </w:p>
        </w:tc>
        <w:tc>
          <w:tcPr>
            <w:tcW w:w="992" w:type="dxa"/>
            <w:shd w:val="clear" w:color="auto" w:fill="auto"/>
            <w:noWrap/>
            <w:hideMark/>
          </w:tcPr>
          <w:p w14:paraId="06898979" w14:textId="5391B35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41 525,0</w:t>
            </w:r>
          </w:p>
        </w:tc>
        <w:tc>
          <w:tcPr>
            <w:tcW w:w="992" w:type="dxa"/>
            <w:shd w:val="clear" w:color="auto" w:fill="auto"/>
            <w:noWrap/>
            <w:hideMark/>
          </w:tcPr>
          <w:p w14:paraId="656B8CA5" w14:textId="607E11B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41 551,0</w:t>
            </w:r>
          </w:p>
        </w:tc>
        <w:tc>
          <w:tcPr>
            <w:tcW w:w="993" w:type="dxa"/>
            <w:shd w:val="clear" w:color="auto" w:fill="auto"/>
            <w:noWrap/>
            <w:hideMark/>
          </w:tcPr>
          <w:p w14:paraId="69FF7DCA" w14:textId="3496F22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41 617,0</w:t>
            </w:r>
          </w:p>
        </w:tc>
        <w:tc>
          <w:tcPr>
            <w:tcW w:w="992" w:type="dxa"/>
            <w:shd w:val="clear" w:color="auto" w:fill="auto"/>
            <w:noWrap/>
            <w:hideMark/>
          </w:tcPr>
          <w:p w14:paraId="0989A526" w14:textId="2B02C77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41 628,0</w:t>
            </w:r>
          </w:p>
        </w:tc>
        <w:tc>
          <w:tcPr>
            <w:tcW w:w="2551" w:type="dxa"/>
            <w:shd w:val="clear" w:color="auto" w:fill="auto"/>
            <w:hideMark/>
          </w:tcPr>
          <w:p w14:paraId="00915277"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465B0F">
              <w:rPr>
                <w:rFonts w:ascii="Times New Roman" w:eastAsia="Times New Roman" w:hAnsi="Times New Roman" w:cs="Times New Roman"/>
                <w:sz w:val="16"/>
                <w:szCs w:val="16"/>
                <w:lang w:eastAsia="ru-RU"/>
              </w:rPr>
              <w:t>Численность проживающих в многоквартирных домах с электрической энергией.</w:t>
            </w:r>
          </w:p>
        </w:tc>
      </w:tr>
      <w:tr w:rsidR="00154BB3" w:rsidRPr="00403E44" w14:paraId="2B3B5657" w14:textId="77777777" w:rsidTr="008B7C32">
        <w:trPr>
          <w:trHeight w:val="696"/>
        </w:trPr>
        <w:tc>
          <w:tcPr>
            <w:tcW w:w="1418" w:type="dxa"/>
            <w:vMerge/>
            <w:vAlign w:val="center"/>
            <w:hideMark/>
          </w:tcPr>
          <w:p w14:paraId="64555AF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9903C2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тепловая энергия</w:t>
            </w:r>
          </w:p>
        </w:tc>
        <w:tc>
          <w:tcPr>
            <w:tcW w:w="993" w:type="dxa"/>
            <w:shd w:val="clear" w:color="auto" w:fill="auto"/>
            <w:hideMark/>
          </w:tcPr>
          <w:p w14:paraId="6D5F9BD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Гкал. на 1кв. метр общей площади</w:t>
            </w:r>
          </w:p>
        </w:tc>
        <w:tc>
          <w:tcPr>
            <w:tcW w:w="850" w:type="dxa"/>
            <w:shd w:val="clear" w:color="auto" w:fill="auto"/>
            <w:hideMark/>
          </w:tcPr>
          <w:p w14:paraId="07EBAAB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39.2</w:t>
            </w:r>
          </w:p>
        </w:tc>
        <w:tc>
          <w:tcPr>
            <w:tcW w:w="992" w:type="dxa"/>
            <w:shd w:val="clear" w:color="000000" w:fill="D7D7D7"/>
            <w:noWrap/>
            <w:hideMark/>
          </w:tcPr>
          <w:p w14:paraId="77009C6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0,27</w:t>
            </w:r>
          </w:p>
        </w:tc>
        <w:tc>
          <w:tcPr>
            <w:tcW w:w="993" w:type="dxa"/>
            <w:shd w:val="clear" w:color="000000" w:fill="D7D7D7"/>
            <w:noWrap/>
            <w:hideMark/>
          </w:tcPr>
          <w:p w14:paraId="6D7DBDB0" w14:textId="32CE90C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0,25</w:t>
            </w:r>
          </w:p>
        </w:tc>
        <w:tc>
          <w:tcPr>
            <w:tcW w:w="992" w:type="dxa"/>
            <w:shd w:val="clear" w:color="000000" w:fill="D7D7D7"/>
            <w:noWrap/>
            <w:hideMark/>
          </w:tcPr>
          <w:p w14:paraId="0BE2FCDB" w14:textId="3C3EFA2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0,24</w:t>
            </w:r>
          </w:p>
        </w:tc>
        <w:tc>
          <w:tcPr>
            <w:tcW w:w="992" w:type="dxa"/>
            <w:shd w:val="clear" w:color="000000" w:fill="D7D7D7"/>
            <w:noWrap/>
            <w:hideMark/>
          </w:tcPr>
          <w:p w14:paraId="1E0B1109" w14:textId="0A6A655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0,22</w:t>
            </w:r>
          </w:p>
        </w:tc>
        <w:tc>
          <w:tcPr>
            <w:tcW w:w="992" w:type="dxa"/>
            <w:shd w:val="clear" w:color="000000" w:fill="D7D7D7"/>
            <w:noWrap/>
            <w:hideMark/>
          </w:tcPr>
          <w:p w14:paraId="299957F1" w14:textId="5B5E041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0,22</w:t>
            </w:r>
          </w:p>
        </w:tc>
        <w:tc>
          <w:tcPr>
            <w:tcW w:w="993" w:type="dxa"/>
            <w:shd w:val="clear" w:color="000000" w:fill="D7D7D7"/>
            <w:noWrap/>
            <w:hideMark/>
          </w:tcPr>
          <w:p w14:paraId="7ACF91F0" w14:textId="275F086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0,22</w:t>
            </w:r>
          </w:p>
        </w:tc>
        <w:tc>
          <w:tcPr>
            <w:tcW w:w="992" w:type="dxa"/>
            <w:shd w:val="clear" w:color="000000" w:fill="D7D7D7"/>
            <w:noWrap/>
            <w:hideMark/>
          </w:tcPr>
          <w:p w14:paraId="081E98C8" w14:textId="3821D8C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0,22</w:t>
            </w:r>
          </w:p>
        </w:tc>
        <w:tc>
          <w:tcPr>
            <w:tcW w:w="2551" w:type="dxa"/>
            <w:shd w:val="clear" w:color="auto" w:fill="auto"/>
            <w:hideMark/>
          </w:tcPr>
          <w:p w14:paraId="18D7D60C" w14:textId="2C60A5AC"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465B0F">
              <w:rPr>
                <w:rFonts w:ascii="Times New Roman" w:eastAsia="Times New Roman" w:hAnsi="Times New Roman" w:cs="Times New Roman"/>
                <w:sz w:val="16"/>
                <w:szCs w:val="16"/>
                <w:lang w:eastAsia="ru-RU"/>
              </w:rPr>
              <w:t>Произошло фактическое уменьшение потребления тепловой энергии по отношению к 2022 году.</w:t>
            </w:r>
          </w:p>
        </w:tc>
      </w:tr>
      <w:tr w:rsidR="00154BB3" w:rsidRPr="00403E44" w14:paraId="1789CDD7" w14:textId="77777777" w:rsidTr="00285FF8">
        <w:trPr>
          <w:trHeight w:val="1200"/>
        </w:trPr>
        <w:tc>
          <w:tcPr>
            <w:tcW w:w="1418" w:type="dxa"/>
            <w:vMerge/>
            <w:vAlign w:val="center"/>
            <w:hideMark/>
          </w:tcPr>
          <w:p w14:paraId="1E6C0220"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09A5A25"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потребленной тепловой энергии всеми МКД на территории муниципального образования</w:t>
            </w:r>
          </w:p>
        </w:tc>
        <w:tc>
          <w:tcPr>
            <w:tcW w:w="993" w:type="dxa"/>
            <w:shd w:val="clear" w:color="auto" w:fill="auto"/>
            <w:hideMark/>
          </w:tcPr>
          <w:p w14:paraId="2C811316"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Гигакалория</w:t>
            </w:r>
          </w:p>
        </w:tc>
        <w:tc>
          <w:tcPr>
            <w:tcW w:w="850" w:type="dxa"/>
            <w:shd w:val="clear" w:color="auto" w:fill="auto"/>
            <w:hideMark/>
          </w:tcPr>
          <w:p w14:paraId="6EC5FE1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39.2.1</w:t>
            </w:r>
          </w:p>
        </w:tc>
        <w:tc>
          <w:tcPr>
            <w:tcW w:w="992" w:type="dxa"/>
            <w:tcBorders>
              <w:top w:val="nil"/>
              <w:left w:val="single" w:sz="4" w:space="0" w:color="000000"/>
              <w:bottom w:val="nil"/>
              <w:right w:val="single" w:sz="4" w:space="0" w:color="000000"/>
            </w:tcBorders>
            <w:shd w:val="clear" w:color="auto" w:fill="auto"/>
            <w:noWrap/>
            <w:hideMark/>
          </w:tcPr>
          <w:p w14:paraId="3CB0D287" w14:textId="038A69B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165 090,0</w:t>
            </w:r>
          </w:p>
        </w:tc>
        <w:tc>
          <w:tcPr>
            <w:tcW w:w="993" w:type="dxa"/>
            <w:tcBorders>
              <w:top w:val="nil"/>
              <w:left w:val="nil"/>
              <w:bottom w:val="nil"/>
              <w:right w:val="single" w:sz="4" w:space="0" w:color="000000"/>
            </w:tcBorders>
            <w:shd w:val="clear" w:color="auto" w:fill="auto"/>
            <w:noWrap/>
            <w:hideMark/>
          </w:tcPr>
          <w:p w14:paraId="668964B9" w14:textId="439D3FF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152 896,0</w:t>
            </w:r>
          </w:p>
        </w:tc>
        <w:tc>
          <w:tcPr>
            <w:tcW w:w="992" w:type="dxa"/>
            <w:tcBorders>
              <w:top w:val="nil"/>
              <w:left w:val="nil"/>
              <w:bottom w:val="nil"/>
              <w:right w:val="single" w:sz="4" w:space="0" w:color="000000"/>
            </w:tcBorders>
            <w:shd w:val="clear" w:color="auto" w:fill="auto"/>
            <w:noWrap/>
            <w:hideMark/>
          </w:tcPr>
          <w:p w14:paraId="3FEA0BB0" w14:textId="7ADA7DA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148 728,0</w:t>
            </w:r>
          </w:p>
        </w:tc>
        <w:tc>
          <w:tcPr>
            <w:tcW w:w="992" w:type="dxa"/>
            <w:tcBorders>
              <w:top w:val="nil"/>
              <w:left w:val="nil"/>
              <w:bottom w:val="nil"/>
              <w:right w:val="single" w:sz="4" w:space="0" w:color="000000"/>
            </w:tcBorders>
            <w:shd w:val="clear" w:color="auto" w:fill="auto"/>
            <w:noWrap/>
            <w:hideMark/>
          </w:tcPr>
          <w:p w14:paraId="10CF29CB" w14:textId="0B0982F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138 687,5</w:t>
            </w:r>
          </w:p>
        </w:tc>
        <w:tc>
          <w:tcPr>
            <w:tcW w:w="992" w:type="dxa"/>
            <w:tcBorders>
              <w:top w:val="nil"/>
              <w:left w:val="nil"/>
              <w:bottom w:val="nil"/>
              <w:right w:val="single" w:sz="4" w:space="0" w:color="000000"/>
            </w:tcBorders>
            <w:shd w:val="clear" w:color="auto" w:fill="auto"/>
            <w:noWrap/>
            <w:hideMark/>
          </w:tcPr>
          <w:p w14:paraId="768315D4" w14:textId="72FA01B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134 687,5</w:t>
            </w:r>
          </w:p>
        </w:tc>
        <w:tc>
          <w:tcPr>
            <w:tcW w:w="993" w:type="dxa"/>
            <w:tcBorders>
              <w:top w:val="nil"/>
              <w:left w:val="nil"/>
              <w:bottom w:val="nil"/>
              <w:right w:val="single" w:sz="4" w:space="0" w:color="000000"/>
            </w:tcBorders>
            <w:shd w:val="clear" w:color="auto" w:fill="auto"/>
            <w:noWrap/>
            <w:hideMark/>
          </w:tcPr>
          <w:p w14:paraId="1DE951FD" w14:textId="01F41C6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134 687,5</w:t>
            </w:r>
          </w:p>
        </w:tc>
        <w:tc>
          <w:tcPr>
            <w:tcW w:w="992" w:type="dxa"/>
            <w:tcBorders>
              <w:top w:val="nil"/>
              <w:left w:val="nil"/>
              <w:bottom w:val="nil"/>
              <w:right w:val="single" w:sz="4" w:space="0" w:color="000000"/>
            </w:tcBorders>
            <w:shd w:val="clear" w:color="auto" w:fill="auto"/>
            <w:noWrap/>
            <w:hideMark/>
          </w:tcPr>
          <w:p w14:paraId="1AFB2703" w14:textId="29DCC60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134 687,5</w:t>
            </w:r>
          </w:p>
        </w:tc>
        <w:tc>
          <w:tcPr>
            <w:tcW w:w="2551" w:type="dxa"/>
            <w:shd w:val="clear" w:color="auto" w:fill="auto"/>
            <w:hideMark/>
          </w:tcPr>
          <w:p w14:paraId="3014583C" w14:textId="77777777" w:rsidR="00154BB3" w:rsidRPr="00465B0F" w:rsidRDefault="00154BB3" w:rsidP="00154BB3">
            <w:pPr>
              <w:spacing w:after="0" w:line="240" w:lineRule="auto"/>
              <w:rPr>
                <w:rFonts w:ascii="Times New Roman" w:eastAsia="Times New Roman" w:hAnsi="Times New Roman" w:cs="Times New Roman"/>
                <w:sz w:val="16"/>
                <w:szCs w:val="16"/>
                <w:lang w:eastAsia="ru-RU"/>
              </w:rPr>
            </w:pPr>
            <w:r w:rsidRPr="00465B0F">
              <w:rPr>
                <w:rFonts w:ascii="Times New Roman" w:eastAsia="Times New Roman" w:hAnsi="Times New Roman" w:cs="Times New Roman"/>
                <w:sz w:val="16"/>
                <w:szCs w:val="16"/>
                <w:lang w:eastAsia="ru-RU"/>
              </w:rPr>
              <w:t>Суммарное потребление тепловой энергии (произошло уменьшение) учтено по факту показаний установленных общедомовых приборов учета и начислений по установленным нормативам потребления.</w:t>
            </w:r>
          </w:p>
        </w:tc>
      </w:tr>
      <w:tr w:rsidR="00154BB3" w:rsidRPr="00403E44" w14:paraId="599D15E8" w14:textId="77777777" w:rsidTr="00465B0F">
        <w:trPr>
          <w:trHeight w:val="507"/>
        </w:trPr>
        <w:tc>
          <w:tcPr>
            <w:tcW w:w="1418" w:type="dxa"/>
            <w:vMerge/>
            <w:vAlign w:val="center"/>
            <w:hideMark/>
          </w:tcPr>
          <w:p w14:paraId="1CAA74F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256FD7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Общая площадь многоквартирных домов</w:t>
            </w:r>
          </w:p>
        </w:tc>
        <w:tc>
          <w:tcPr>
            <w:tcW w:w="993" w:type="dxa"/>
            <w:shd w:val="clear" w:color="auto" w:fill="auto"/>
            <w:hideMark/>
          </w:tcPr>
          <w:p w14:paraId="6E471CE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392D36E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39.2.2</w:t>
            </w:r>
          </w:p>
        </w:tc>
        <w:tc>
          <w:tcPr>
            <w:tcW w:w="992" w:type="dxa"/>
            <w:shd w:val="clear" w:color="auto" w:fill="auto"/>
            <w:noWrap/>
            <w:hideMark/>
          </w:tcPr>
          <w:p w14:paraId="16A09D3B" w14:textId="750CCDA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623 000,0</w:t>
            </w:r>
          </w:p>
        </w:tc>
        <w:tc>
          <w:tcPr>
            <w:tcW w:w="993" w:type="dxa"/>
            <w:shd w:val="clear" w:color="auto" w:fill="auto"/>
            <w:noWrap/>
            <w:hideMark/>
          </w:tcPr>
          <w:p w14:paraId="2ABC9B54" w14:textId="03B71AC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603 700,0</w:t>
            </w:r>
          </w:p>
        </w:tc>
        <w:tc>
          <w:tcPr>
            <w:tcW w:w="992" w:type="dxa"/>
            <w:shd w:val="clear" w:color="auto" w:fill="auto"/>
            <w:noWrap/>
            <w:hideMark/>
          </w:tcPr>
          <w:p w14:paraId="209FB684" w14:textId="35368E3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619 700,0</w:t>
            </w:r>
          </w:p>
        </w:tc>
        <w:tc>
          <w:tcPr>
            <w:tcW w:w="992" w:type="dxa"/>
            <w:shd w:val="clear" w:color="auto" w:fill="auto"/>
            <w:noWrap/>
            <w:hideMark/>
          </w:tcPr>
          <w:p w14:paraId="2A29A6FE" w14:textId="21D7A33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624 620,0</w:t>
            </w:r>
          </w:p>
        </w:tc>
        <w:tc>
          <w:tcPr>
            <w:tcW w:w="992" w:type="dxa"/>
            <w:shd w:val="clear" w:color="auto" w:fill="auto"/>
            <w:noWrap/>
            <w:hideMark/>
          </w:tcPr>
          <w:p w14:paraId="1AF82B3A" w14:textId="18E6E62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600 240,8</w:t>
            </w:r>
          </w:p>
        </w:tc>
        <w:tc>
          <w:tcPr>
            <w:tcW w:w="993" w:type="dxa"/>
            <w:shd w:val="clear" w:color="auto" w:fill="auto"/>
            <w:noWrap/>
            <w:hideMark/>
          </w:tcPr>
          <w:p w14:paraId="3D9F1874" w14:textId="1B776ED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611 766,1</w:t>
            </w:r>
          </w:p>
        </w:tc>
        <w:tc>
          <w:tcPr>
            <w:tcW w:w="992" w:type="dxa"/>
            <w:shd w:val="clear" w:color="auto" w:fill="auto"/>
            <w:noWrap/>
            <w:hideMark/>
          </w:tcPr>
          <w:p w14:paraId="1B79DF74" w14:textId="296265E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604 945,1</w:t>
            </w:r>
          </w:p>
        </w:tc>
        <w:tc>
          <w:tcPr>
            <w:tcW w:w="2551" w:type="dxa"/>
            <w:shd w:val="clear" w:color="auto" w:fill="auto"/>
            <w:hideMark/>
          </w:tcPr>
          <w:p w14:paraId="2D7E194B" w14:textId="3EE038B7" w:rsidR="00154BB3" w:rsidRPr="00285FF8" w:rsidRDefault="00154BB3" w:rsidP="00154BB3">
            <w:pPr>
              <w:spacing w:after="0" w:line="240" w:lineRule="auto"/>
              <w:rPr>
                <w:rFonts w:ascii="Times New Roman" w:eastAsia="Times New Roman" w:hAnsi="Times New Roman" w:cs="Times New Roman"/>
                <w:color w:val="000000"/>
                <w:sz w:val="16"/>
                <w:szCs w:val="16"/>
                <w:highlight w:val="yellow"/>
                <w:lang w:eastAsia="ru-RU"/>
              </w:rPr>
            </w:pPr>
            <w:r w:rsidRPr="00465B0F">
              <w:rPr>
                <w:rFonts w:ascii="Times New Roman" w:eastAsia="Times New Roman" w:hAnsi="Times New Roman" w:cs="Times New Roman"/>
                <w:sz w:val="16"/>
                <w:szCs w:val="16"/>
                <w:lang w:eastAsia="ru-RU"/>
              </w:rPr>
              <w:t>Данные за 2023 год подготовлены в соответствии с отчетом №1-жилфонд "Сведения о жилищном фонде" за 2023 год.</w:t>
            </w:r>
          </w:p>
        </w:tc>
      </w:tr>
      <w:tr w:rsidR="00154BB3" w:rsidRPr="00403E44" w14:paraId="1F7645BB" w14:textId="77777777" w:rsidTr="00465B0F">
        <w:trPr>
          <w:trHeight w:val="742"/>
        </w:trPr>
        <w:tc>
          <w:tcPr>
            <w:tcW w:w="1418" w:type="dxa"/>
            <w:vMerge/>
            <w:vAlign w:val="center"/>
            <w:hideMark/>
          </w:tcPr>
          <w:p w14:paraId="7A5E3FF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CC7F884"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горячая вода</w:t>
            </w:r>
          </w:p>
        </w:tc>
        <w:tc>
          <w:tcPr>
            <w:tcW w:w="993" w:type="dxa"/>
            <w:shd w:val="clear" w:color="auto" w:fill="auto"/>
            <w:hideMark/>
          </w:tcPr>
          <w:p w14:paraId="6E958C15" w14:textId="77777777" w:rsidR="00154BB3" w:rsidRPr="00600B72" w:rsidRDefault="00154BB3" w:rsidP="00154BB3">
            <w:pPr>
              <w:spacing w:after="0" w:line="240" w:lineRule="auto"/>
              <w:ind w:left="-103"/>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7A2C014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39.3</w:t>
            </w:r>
          </w:p>
        </w:tc>
        <w:tc>
          <w:tcPr>
            <w:tcW w:w="992" w:type="dxa"/>
            <w:shd w:val="clear" w:color="000000" w:fill="D7D7D7"/>
            <w:noWrap/>
            <w:hideMark/>
          </w:tcPr>
          <w:p w14:paraId="053AFAF6" w14:textId="1F00948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6,80</w:t>
            </w:r>
          </w:p>
        </w:tc>
        <w:tc>
          <w:tcPr>
            <w:tcW w:w="993" w:type="dxa"/>
            <w:shd w:val="clear" w:color="000000" w:fill="D7D7D7"/>
            <w:noWrap/>
            <w:hideMark/>
          </w:tcPr>
          <w:p w14:paraId="42BA58F4" w14:textId="04CB278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6,05</w:t>
            </w:r>
          </w:p>
        </w:tc>
        <w:tc>
          <w:tcPr>
            <w:tcW w:w="992" w:type="dxa"/>
            <w:shd w:val="clear" w:color="000000" w:fill="D7D7D7"/>
            <w:noWrap/>
            <w:hideMark/>
          </w:tcPr>
          <w:p w14:paraId="01F35B37" w14:textId="54EE3F6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6,44</w:t>
            </w:r>
          </w:p>
        </w:tc>
        <w:tc>
          <w:tcPr>
            <w:tcW w:w="992" w:type="dxa"/>
            <w:shd w:val="clear" w:color="000000" w:fill="D7D7D7"/>
            <w:noWrap/>
            <w:hideMark/>
          </w:tcPr>
          <w:p w14:paraId="6FFF06E6" w14:textId="24B8250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6,21</w:t>
            </w:r>
          </w:p>
        </w:tc>
        <w:tc>
          <w:tcPr>
            <w:tcW w:w="992" w:type="dxa"/>
            <w:shd w:val="clear" w:color="000000" w:fill="D7D7D7"/>
            <w:noWrap/>
            <w:hideMark/>
          </w:tcPr>
          <w:p w14:paraId="25B88F0F" w14:textId="68B50BB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6,19</w:t>
            </w:r>
          </w:p>
        </w:tc>
        <w:tc>
          <w:tcPr>
            <w:tcW w:w="993" w:type="dxa"/>
            <w:shd w:val="clear" w:color="000000" w:fill="D7D7D7"/>
            <w:noWrap/>
            <w:hideMark/>
          </w:tcPr>
          <w:p w14:paraId="3454F36A" w14:textId="50D3F78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6,18</w:t>
            </w:r>
          </w:p>
        </w:tc>
        <w:tc>
          <w:tcPr>
            <w:tcW w:w="992" w:type="dxa"/>
            <w:shd w:val="clear" w:color="000000" w:fill="D7D7D7"/>
            <w:noWrap/>
            <w:hideMark/>
          </w:tcPr>
          <w:p w14:paraId="3A0AEF7E" w14:textId="4E08778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6,18</w:t>
            </w:r>
          </w:p>
        </w:tc>
        <w:tc>
          <w:tcPr>
            <w:tcW w:w="2551" w:type="dxa"/>
            <w:shd w:val="clear" w:color="auto" w:fill="auto"/>
            <w:hideMark/>
          </w:tcPr>
          <w:p w14:paraId="50928146" w14:textId="6A4AEAEE" w:rsidR="00154BB3" w:rsidRPr="00465B0F" w:rsidRDefault="00154BB3" w:rsidP="00154BB3">
            <w:pPr>
              <w:spacing w:after="0" w:line="240" w:lineRule="auto"/>
              <w:rPr>
                <w:rFonts w:ascii="Times New Roman" w:eastAsia="Times New Roman" w:hAnsi="Times New Roman" w:cs="Times New Roman"/>
                <w:sz w:val="16"/>
                <w:szCs w:val="16"/>
                <w:lang w:eastAsia="ru-RU"/>
              </w:rPr>
            </w:pPr>
            <w:r w:rsidRPr="00465B0F">
              <w:rPr>
                <w:rFonts w:ascii="Times New Roman" w:eastAsia="Times New Roman" w:hAnsi="Times New Roman" w:cs="Times New Roman"/>
                <w:sz w:val="16"/>
                <w:szCs w:val="16"/>
                <w:lang w:eastAsia="ru-RU"/>
              </w:rPr>
              <w:t>Фактическое потребление горячего водоснабжения по отношению к 2022 году</w:t>
            </w:r>
            <w:r w:rsidR="006A0418">
              <w:rPr>
                <w:rFonts w:ascii="Times New Roman" w:eastAsia="Times New Roman" w:hAnsi="Times New Roman" w:cs="Times New Roman"/>
                <w:sz w:val="16"/>
                <w:szCs w:val="16"/>
                <w:lang w:eastAsia="ru-RU"/>
              </w:rPr>
              <w:t>, произошло</w:t>
            </w:r>
            <w:r w:rsidRPr="00465B0F">
              <w:rPr>
                <w:rFonts w:ascii="Times New Roman" w:eastAsia="Times New Roman" w:hAnsi="Times New Roman" w:cs="Times New Roman"/>
                <w:sz w:val="16"/>
                <w:szCs w:val="16"/>
                <w:lang w:eastAsia="ru-RU"/>
              </w:rPr>
              <w:t xml:space="preserve"> снижение на 3,6%.</w:t>
            </w:r>
          </w:p>
        </w:tc>
      </w:tr>
      <w:tr w:rsidR="00154BB3" w:rsidRPr="00403E44" w14:paraId="0003EA99" w14:textId="77777777" w:rsidTr="0096329C">
        <w:trPr>
          <w:trHeight w:val="900"/>
        </w:trPr>
        <w:tc>
          <w:tcPr>
            <w:tcW w:w="1418" w:type="dxa"/>
            <w:vMerge/>
            <w:vAlign w:val="center"/>
            <w:hideMark/>
          </w:tcPr>
          <w:p w14:paraId="3B21815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F6B178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потребленной горячей воды всеми МКД на территории муниципального образования</w:t>
            </w:r>
          </w:p>
        </w:tc>
        <w:tc>
          <w:tcPr>
            <w:tcW w:w="993" w:type="dxa"/>
            <w:shd w:val="clear" w:color="auto" w:fill="auto"/>
            <w:hideMark/>
          </w:tcPr>
          <w:p w14:paraId="1A738A9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5D987AD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39.3.1</w:t>
            </w:r>
          </w:p>
        </w:tc>
        <w:tc>
          <w:tcPr>
            <w:tcW w:w="992" w:type="dxa"/>
            <w:tcBorders>
              <w:top w:val="nil"/>
              <w:left w:val="single" w:sz="4" w:space="0" w:color="000000"/>
              <w:bottom w:val="nil"/>
              <w:right w:val="single" w:sz="4" w:space="0" w:color="000000"/>
            </w:tcBorders>
            <w:shd w:val="clear" w:color="auto" w:fill="auto"/>
            <w:noWrap/>
            <w:hideMark/>
          </w:tcPr>
          <w:p w14:paraId="3DACE4CB" w14:textId="35BE937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247 000,0</w:t>
            </w:r>
          </w:p>
        </w:tc>
        <w:tc>
          <w:tcPr>
            <w:tcW w:w="993" w:type="dxa"/>
            <w:tcBorders>
              <w:top w:val="nil"/>
              <w:left w:val="nil"/>
              <w:bottom w:val="nil"/>
              <w:right w:val="single" w:sz="4" w:space="0" w:color="000000"/>
            </w:tcBorders>
            <w:shd w:val="clear" w:color="auto" w:fill="auto"/>
            <w:noWrap/>
            <w:hideMark/>
          </w:tcPr>
          <w:p w14:paraId="2CD2080E" w14:textId="3AA4949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219 918,0</w:t>
            </w:r>
          </w:p>
        </w:tc>
        <w:tc>
          <w:tcPr>
            <w:tcW w:w="992" w:type="dxa"/>
            <w:tcBorders>
              <w:top w:val="nil"/>
              <w:left w:val="nil"/>
              <w:bottom w:val="nil"/>
              <w:right w:val="single" w:sz="4" w:space="0" w:color="000000"/>
            </w:tcBorders>
            <w:shd w:val="clear" w:color="auto" w:fill="auto"/>
            <w:noWrap/>
            <w:hideMark/>
          </w:tcPr>
          <w:p w14:paraId="108BBF6E" w14:textId="34667B8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234 407,2</w:t>
            </w:r>
          </w:p>
        </w:tc>
        <w:tc>
          <w:tcPr>
            <w:tcW w:w="992" w:type="dxa"/>
            <w:tcBorders>
              <w:top w:val="nil"/>
              <w:left w:val="nil"/>
              <w:bottom w:val="nil"/>
              <w:right w:val="single" w:sz="4" w:space="0" w:color="000000"/>
            </w:tcBorders>
            <w:shd w:val="clear" w:color="auto" w:fill="auto"/>
            <w:noWrap/>
            <w:hideMark/>
          </w:tcPr>
          <w:p w14:paraId="5C3B973B" w14:textId="069DD2D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227 898,2</w:t>
            </w:r>
          </w:p>
        </w:tc>
        <w:tc>
          <w:tcPr>
            <w:tcW w:w="992" w:type="dxa"/>
            <w:tcBorders>
              <w:top w:val="nil"/>
              <w:left w:val="nil"/>
              <w:bottom w:val="nil"/>
              <w:right w:val="single" w:sz="4" w:space="0" w:color="000000"/>
            </w:tcBorders>
            <w:shd w:val="clear" w:color="auto" w:fill="auto"/>
            <w:noWrap/>
            <w:hideMark/>
          </w:tcPr>
          <w:p w14:paraId="75259C14" w14:textId="33C77D6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227 898,2</w:t>
            </w:r>
          </w:p>
        </w:tc>
        <w:tc>
          <w:tcPr>
            <w:tcW w:w="993" w:type="dxa"/>
            <w:tcBorders>
              <w:top w:val="nil"/>
              <w:left w:val="nil"/>
              <w:bottom w:val="nil"/>
              <w:right w:val="single" w:sz="4" w:space="0" w:color="000000"/>
            </w:tcBorders>
            <w:shd w:val="clear" w:color="auto" w:fill="auto"/>
            <w:noWrap/>
            <w:hideMark/>
          </w:tcPr>
          <w:p w14:paraId="3EE1AFD0" w14:textId="0446EE8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227 898,2</w:t>
            </w:r>
          </w:p>
        </w:tc>
        <w:tc>
          <w:tcPr>
            <w:tcW w:w="992" w:type="dxa"/>
            <w:tcBorders>
              <w:top w:val="nil"/>
              <w:left w:val="nil"/>
              <w:bottom w:val="nil"/>
              <w:right w:val="single" w:sz="4" w:space="0" w:color="000000"/>
            </w:tcBorders>
            <w:shd w:val="clear" w:color="auto" w:fill="auto"/>
            <w:noWrap/>
            <w:hideMark/>
          </w:tcPr>
          <w:p w14:paraId="7322A4D6" w14:textId="1F68925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227 898,2</w:t>
            </w:r>
          </w:p>
        </w:tc>
        <w:tc>
          <w:tcPr>
            <w:tcW w:w="2551" w:type="dxa"/>
            <w:shd w:val="clear" w:color="auto" w:fill="auto"/>
            <w:hideMark/>
          </w:tcPr>
          <w:p w14:paraId="131AA3A0" w14:textId="6CB2355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Суммарное потребление горячего водоснабжения (произошло снижение) учтено по факту показаний установленных приборов учета.</w:t>
            </w:r>
          </w:p>
        </w:tc>
      </w:tr>
      <w:tr w:rsidR="00154BB3" w:rsidRPr="00403E44" w14:paraId="53A64017" w14:textId="77777777" w:rsidTr="0096329C">
        <w:trPr>
          <w:trHeight w:val="900"/>
        </w:trPr>
        <w:tc>
          <w:tcPr>
            <w:tcW w:w="1418" w:type="dxa"/>
            <w:vMerge/>
            <w:vAlign w:val="center"/>
            <w:hideMark/>
          </w:tcPr>
          <w:p w14:paraId="314BAF46"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F8FD30B"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проживающих в многоквартирных домах (с горячей водой)</w:t>
            </w:r>
          </w:p>
        </w:tc>
        <w:tc>
          <w:tcPr>
            <w:tcW w:w="993" w:type="dxa"/>
            <w:shd w:val="clear" w:color="auto" w:fill="auto"/>
            <w:hideMark/>
          </w:tcPr>
          <w:p w14:paraId="0BA020A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19118C20"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39.3.2</w:t>
            </w:r>
          </w:p>
        </w:tc>
        <w:tc>
          <w:tcPr>
            <w:tcW w:w="992" w:type="dxa"/>
            <w:shd w:val="clear" w:color="auto" w:fill="auto"/>
            <w:noWrap/>
            <w:hideMark/>
          </w:tcPr>
          <w:p w14:paraId="513958DA" w14:textId="5AA826A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36 311,0</w:t>
            </w:r>
          </w:p>
        </w:tc>
        <w:tc>
          <w:tcPr>
            <w:tcW w:w="993" w:type="dxa"/>
            <w:shd w:val="clear" w:color="auto" w:fill="auto"/>
            <w:noWrap/>
            <w:hideMark/>
          </w:tcPr>
          <w:p w14:paraId="20128A00" w14:textId="58BCEAF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36 363,0</w:t>
            </w:r>
          </w:p>
        </w:tc>
        <w:tc>
          <w:tcPr>
            <w:tcW w:w="992" w:type="dxa"/>
            <w:shd w:val="clear" w:color="auto" w:fill="auto"/>
            <w:noWrap/>
            <w:hideMark/>
          </w:tcPr>
          <w:p w14:paraId="0244DD92" w14:textId="357EA8B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36 398,0</w:t>
            </w:r>
          </w:p>
        </w:tc>
        <w:tc>
          <w:tcPr>
            <w:tcW w:w="992" w:type="dxa"/>
            <w:shd w:val="clear" w:color="auto" w:fill="auto"/>
            <w:noWrap/>
            <w:hideMark/>
          </w:tcPr>
          <w:p w14:paraId="26F4ED07" w14:textId="4DEBC49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36 712,0</w:t>
            </w:r>
          </w:p>
        </w:tc>
        <w:tc>
          <w:tcPr>
            <w:tcW w:w="992" w:type="dxa"/>
            <w:shd w:val="clear" w:color="auto" w:fill="auto"/>
            <w:noWrap/>
            <w:hideMark/>
          </w:tcPr>
          <w:p w14:paraId="1D35E7DC" w14:textId="5115AAB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36 803,0</w:t>
            </w:r>
          </w:p>
        </w:tc>
        <w:tc>
          <w:tcPr>
            <w:tcW w:w="993" w:type="dxa"/>
            <w:shd w:val="clear" w:color="auto" w:fill="auto"/>
            <w:noWrap/>
            <w:hideMark/>
          </w:tcPr>
          <w:p w14:paraId="380CA3E3" w14:textId="12808D6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36 848,0</w:t>
            </w:r>
          </w:p>
        </w:tc>
        <w:tc>
          <w:tcPr>
            <w:tcW w:w="992" w:type="dxa"/>
            <w:shd w:val="clear" w:color="auto" w:fill="auto"/>
            <w:noWrap/>
            <w:hideMark/>
          </w:tcPr>
          <w:p w14:paraId="57F80172" w14:textId="09FCC75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36 897,0</w:t>
            </w:r>
          </w:p>
        </w:tc>
        <w:tc>
          <w:tcPr>
            <w:tcW w:w="2551" w:type="dxa"/>
            <w:shd w:val="clear" w:color="auto" w:fill="auto"/>
            <w:hideMark/>
          </w:tcPr>
          <w:p w14:paraId="605C6547" w14:textId="4C42444F" w:rsidR="00154BB3" w:rsidRPr="00465B0F" w:rsidRDefault="00154BB3" w:rsidP="00154BB3">
            <w:pPr>
              <w:spacing w:after="0" w:line="240" w:lineRule="auto"/>
              <w:rPr>
                <w:rFonts w:ascii="Times New Roman" w:eastAsia="Times New Roman" w:hAnsi="Times New Roman" w:cs="Times New Roman"/>
                <w:sz w:val="16"/>
                <w:szCs w:val="16"/>
                <w:lang w:eastAsia="ru-RU"/>
              </w:rPr>
            </w:pPr>
            <w:r w:rsidRPr="00465B0F">
              <w:rPr>
                <w:rFonts w:ascii="Times New Roman" w:eastAsia="Times New Roman" w:hAnsi="Times New Roman" w:cs="Times New Roman"/>
                <w:sz w:val="16"/>
                <w:szCs w:val="16"/>
                <w:lang w:eastAsia="ru-RU"/>
              </w:rPr>
              <w:t xml:space="preserve">Произошло </w:t>
            </w:r>
            <w:r w:rsidR="008B7C32">
              <w:rPr>
                <w:rFonts w:ascii="Times New Roman" w:eastAsia="Times New Roman" w:hAnsi="Times New Roman" w:cs="Times New Roman"/>
                <w:sz w:val="16"/>
                <w:szCs w:val="16"/>
                <w:lang w:eastAsia="ru-RU"/>
              </w:rPr>
              <w:t>увеличени</w:t>
            </w:r>
            <w:r w:rsidR="00B133A9">
              <w:rPr>
                <w:rFonts w:ascii="Times New Roman" w:eastAsia="Times New Roman" w:hAnsi="Times New Roman" w:cs="Times New Roman"/>
                <w:sz w:val="16"/>
                <w:szCs w:val="16"/>
                <w:lang w:eastAsia="ru-RU"/>
              </w:rPr>
              <w:t>е</w:t>
            </w:r>
            <w:r w:rsidRPr="00465B0F">
              <w:rPr>
                <w:rFonts w:ascii="Times New Roman" w:eastAsia="Times New Roman" w:hAnsi="Times New Roman" w:cs="Times New Roman"/>
                <w:sz w:val="16"/>
                <w:szCs w:val="16"/>
                <w:lang w:eastAsia="ru-RU"/>
              </w:rPr>
              <w:t xml:space="preserve"> численности проживающих в многоквартирных домах с горячей водой в связи </w:t>
            </w:r>
            <w:r w:rsidR="00465B0F">
              <w:rPr>
                <w:rFonts w:ascii="Times New Roman" w:eastAsia="Times New Roman" w:hAnsi="Times New Roman" w:cs="Times New Roman"/>
                <w:sz w:val="16"/>
                <w:szCs w:val="16"/>
                <w:lang w:eastAsia="ru-RU"/>
              </w:rPr>
              <w:t>с вводом МКД.</w:t>
            </w:r>
          </w:p>
        </w:tc>
      </w:tr>
      <w:tr w:rsidR="00154BB3" w:rsidRPr="00403E44" w14:paraId="1840ECE8" w14:textId="77777777" w:rsidTr="008B7C32">
        <w:trPr>
          <w:trHeight w:val="778"/>
        </w:trPr>
        <w:tc>
          <w:tcPr>
            <w:tcW w:w="1418" w:type="dxa"/>
            <w:vMerge/>
            <w:vAlign w:val="center"/>
            <w:hideMark/>
          </w:tcPr>
          <w:p w14:paraId="2BF59064"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6B1249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холодная вода</w:t>
            </w:r>
          </w:p>
        </w:tc>
        <w:tc>
          <w:tcPr>
            <w:tcW w:w="993" w:type="dxa"/>
            <w:shd w:val="clear" w:color="auto" w:fill="auto"/>
            <w:hideMark/>
          </w:tcPr>
          <w:p w14:paraId="54D5B402" w14:textId="77777777" w:rsidR="00154BB3" w:rsidRPr="00600B72" w:rsidRDefault="00154BB3" w:rsidP="00154BB3">
            <w:pPr>
              <w:spacing w:after="0" w:line="240" w:lineRule="auto"/>
              <w:ind w:left="-103"/>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256793E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39.4</w:t>
            </w:r>
          </w:p>
        </w:tc>
        <w:tc>
          <w:tcPr>
            <w:tcW w:w="992" w:type="dxa"/>
            <w:shd w:val="clear" w:color="000000" w:fill="D7D7D7"/>
            <w:noWrap/>
            <w:hideMark/>
          </w:tcPr>
          <w:p w14:paraId="11A2FE2F" w14:textId="5CAF943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14,90</w:t>
            </w:r>
          </w:p>
        </w:tc>
        <w:tc>
          <w:tcPr>
            <w:tcW w:w="993" w:type="dxa"/>
            <w:shd w:val="clear" w:color="000000" w:fill="D7D7D7"/>
            <w:noWrap/>
            <w:hideMark/>
          </w:tcPr>
          <w:p w14:paraId="34FE1A0E" w14:textId="50CCC5E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14,29</w:t>
            </w:r>
          </w:p>
        </w:tc>
        <w:tc>
          <w:tcPr>
            <w:tcW w:w="992" w:type="dxa"/>
            <w:shd w:val="clear" w:color="000000" w:fill="D7D7D7"/>
            <w:noWrap/>
            <w:hideMark/>
          </w:tcPr>
          <w:p w14:paraId="133A61C8" w14:textId="080EA33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14,28</w:t>
            </w:r>
          </w:p>
        </w:tc>
        <w:tc>
          <w:tcPr>
            <w:tcW w:w="992" w:type="dxa"/>
            <w:shd w:val="clear" w:color="000000" w:fill="D7D7D7"/>
            <w:noWrap/>
            <w:hideMark/>
          </w:tcPr>
          <w:p w14:paraId="41C5EF34" w14:textId="6DB3E1D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14,23</w:t>
            </w:r>
          </w:p>
        </w:tc>
        <w:tc>
          <w:tcPr>
            <w:tcW w:w="992" w:type="dxa"/>
            <w:shd w:val="clear" w:color="000000" w:fill="D7D7D7"/>
            <w:noWrap/>
            <w:hideMark/>
          </w:tcPr>
          <w:p w14:paraId="6176648C" w14:textId="5B23889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14,22</w:t>
            </w:r>
          </w:p>
        </w:tc>
        <w:tc>
          <w:tcPr>
            <w:tcW w:w="993" w:type="dxa"/>
            <w:shd w:val="clear" w:color="000000" w:fill="D7D7D7"/>
            <w:noWrap/>
            <w:hideMark/>
          </w:tcPr>
          <w:p w14:paraId="15FC33B7" w14:textId="71EC7D2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14,20</w:t>
            </w:r>
          </w:p>
        </w:tc>
        <w:tc>
          <w:tcPr>
            <w:tcW w:w="992" w:type="dxa"/>
            <w:shd w:val="clear" w:color="000000" w:fill="D7D7D7"/>
            <w:noWrap/>
            <w:hideMark/>
          </w:tcPr>
          <w:p w14:paraId="0758B9B1" w14:textId="0706D8C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14,20</w:t>
            </w:r>
          </w:p>
        </w:tc>
        <w:tc>
          <w:tcPr>
            <w:tcW w:w="2551" w:type="dxa"/>
            <w:shd w:val="clear" w:color="auto" w:fill="auto"/>
            <w:hideMark/>
          </w:tcPr>
          <w:p w14:paraId="71D87657" w14:textId="3C45BD75"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Произошло фактическое уменьшение потребления холодного водоснабжения по отношению к 2022 году</w:t>
            </w:r>
            <w:r w:rsidR="006A0418">
              <w:rPr>
                <w:rFonts w:ascii="Times New Roman" w:eastAsia="Times New Roman" w:hAnsi="Times New Roman" w:cs="Times New Roman"/>
                <w:sz w:val="16"/>
                <w:szCs w:val="16"/>
                <w:lang w:eastAsia="ru-RU"/>
              </w:rPr>
              <w:t>.</w:t>
            </w:r>
          </w:p>
        </w:tc>
      </w:tr>
      <w:tr w:rsidR="00154BB3" w:rsidRPr="00403E44" w14:paraId="329891C0" w14:textId="77777777" w:rsidTr="0096329C">
        <w:trPr>
          <w:trHeight w:val="900"/>
        </w:trPr>
        <w:tc>
          <w:tcPr>
            <w:tcW w:w="1418" w:type="dxa"/>
            <w:vMerge/>
            <w:vAlign w:val="center"/>
            <w:hideMark/>
          </w:tcPr>
          <w:p w14:paraId="0DCD3928"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51661D7"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потребленной холодной воды всеми МКД на территории муниципального образования</w:t>
            </w:r>
          </w:p>
        </w:tc>
        <w:tc>
          <w:tcPr>
            <w:tcW w:w="993" w:type="dxa"/>
            <w:shd w:val="clear" w:color="auto" w:fill="auto"/>
            <w:hideMark/>
          </w:tcPr>
          <w:p w14:paraId="16B4325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19FB5CF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39.4.1</w:t>
            </w:r>
          </w:p>
        </w:tc>
        <w:tc>
          <w:tcPr>
            <w:tcW w:w="992" w:type="dxa"/>
            <w:tcBorders>
              <w:top w:val="nil"/>
              <w:left w:val="single" w:sz="4" w:space="0" w:color="000000"/>
              <w:bottom w:val="nil"/>
              <w:right w:val="single" w:sz="4" w:space="0" w:color="000000"/>
            </w:tcBorders>
            <w:shd w:val="clear" w:color="auto" w:fill="auto"/>
            <w:noWrap/>
            <w:hideMark/>
          </w:tcPr>
          <w:p w14:paraId="5B2B30A6" w14:textId="6168324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580 300,0</w:t>
            </w:r>
          </w:p>
        </w:tc>
        <w:tc>
          <w:tcPr>
            <w:tcW w:w="993" w:type="dxa"/>
            <w:tcBorders>
              <w:top w:val="nil"/>
              <w:left w:val="nil"/>
              <w:bottom w:val="nil"/>
              <w:right w:val="single" w:sz="4" w:space="0" w:color="000000"/>
            </w:tcBorders>
            <w:shd w:val="clear" w:color="auto" w:fill="auto"/>
            <w:noWrap/>
            <w:hideMark/>
          </w:tcPr>
          <w:p w14:paraId="22F628DF" w14:textId="0C85DCF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556 918,0</w:t>
            </w:r>
          </w:p>
        </w:tc>
        <w:tc>
          <w:tcPr>
            <w:tcW w:w="992" w:type="dxa"/>
            <w:tcBorders>
              <w:top w:val="nil"/>
              <w:left w:val="nil"/>
              <w:bottom w:val="nil"/>
              <w:right w:val="single" w:sz="4" w:space="0" w:color="000000"/>
            </w:tcBorders>
            <w:shd w:val="clear" w:color="auto" w:fill="auto"/>
            <w:noWrap/>
            <w:hideMark/>
          </w:tcPr>
          <w:p w14:paraId="588AC150" w14:textId="05DA184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557 005,7</w:t>
            </w:r>
          </w:p>
        </w:tc>
        <w:tc>
          <w:tcPr>
            <w:tcW w:w="992" w:type="dxa"/>
            <w:tcBorders>
              <w:top w:val="nil"/>
              <w:left w:val="nil"/>
              <w:bottom w:val="nil"/>
              <w:right w:val="single" w:sz="4" w:space="0" w:color="000000"/>
            </w:tcBorders>
            <w:shd w:val="clear" w:color="auto" w:fill="auto"/>
            <w:noWrap/>
            <w:hideMark/>
          </w:tcPr>
          <w:p w14:paraId="5E26ECC8" w14:textId="7FA709F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559 689,0</w:t>
            </w:r>
          </w:p>
        </w:tc>
        <w:tc>
          <w:tcPr>
            <w:tcW w:w="992" w:type="dxa"/>
            <w:tcBorders>
              <w:top w:val="nil"/>
              <w:left w:val="nil"/>
              <w:bottom w:val="nil"/>
              <w:right w:val="single" w:sz="4" w:space="0" w:color="000000"/>
            </w:tcBorders>
            <w:shd w:val="clear" w:color="auto" w:fill="auto"/>
            <w:noWrap/>
            <w:hideMark/>
          </w:tcPr>
          <w:p w14:paraId="1656A2E1" w14:textId="2FE898E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559 689,0</w:t>
            </w:r>
          </w:p>
        </w:tc>
        <w:tc>
          <w:tcPr>
            <w:tcW w:w="993" w:type="dxa"/>
            <w:tcBorders>
              <w:top w:val="nil"/>
              <w:left w:val="nil"/>
              <w:bottom w:val="nil"/>
              <w:right w:val="single" w:sz="4" w:space="0" w:color="000000"/>
            </w:tcBorders>
            <w:shd w:val="clear" w:color="auto" w:fill="auto"/>
            <w:noWrap/>
            <w:hideMark/>
          </w:tcPr>
          <w:p w14:paraId="14B34CA3" w14:textId="4FF3180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559 689,0</w:t>
            </w:r>
          </w:p>
        </w:tc>
        <w:tc>
          <w:tcPr>
            <w:tcW w:w="992" w:type="dxa"/>
            <w:tcBorders>
              <w:top w:val="nil"/>
              <w:left w:val="nil"/>
              <w:bottom w:val="nil"/>
              <w:right w:val="single" w:sz="4" w:space="0" w:color="000000"/>
            </w:tcBorders>
            <w:shd w:val="clear" w:color="auto" w:fill="auto"/>
            <w:noWrap/>
            <w:hideMark/>
          </w:tcPr>
          <w:p w14:paraId="3D8FB3D9" w14:textId="1CA431B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559 689,0</w:t>
            </w:r>
          </w:p>
        </w:tc>
        <w:tc>
          <w:tcPr>
            <w:tcW w:w="2551" w:type="dxa"/>
            <w:shd w:val="clear" w:color="auto" w:fill="auto"/>
            <w:hideMark/>
          </w:tcPr>
          <w:p w14:paraId="4CF3733C"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Суммарное потребление холодного водоснабжения учтено (произошло увеличение) по факту показаний установленных приборов учета.</w:t>
            </w:r>
          </w:p>
        </w:tc>
      </w:tr>
      <w:tr w:rsidR="00154BB3" w:rsidRPr="00403E44" w14:paraId="55E85364" w14:textId="77777777" w:rsidTr="0043111A">
        <w:trPr>
          <w:trHeight w:val="600"/>
        </w:trPr>
        <w:tc>
          <w:tcPr>
            <w:tcW w:w="1418" w:type="dxa"/>
            <w:vMerge/>
            <w:vAlign w:val="center"/>
            <w:hideMark/>
          </w:tcPr>
          <w:p w14:paraId="221C3B22"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0154CA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проживающих в многоквартирных домах (с холодной водой)</w:t>
            </w:r>
          </w:p>
        </w:tc>
        <w:tc>
          <w:tcPr>
            <w:tcW w:w="993" w:type="dxa"/>
            <w:shd w:val="clear" w:color="auto" w:fill="auto"/>
            <w:vAlign w:val="center"/>
            <w:hideMark/>
          </w:tcPr>
          <w:p w14:paraId="3C2AC9E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vAlign w:val="center"/>
            <w:hideMark/>
          </w:tcPr>
          <w:p w14:paraId="5090B34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39.4.2</w:t>
            </w:r>
          </w:p>
        </w:tc>
        <w:tc>
          <w:tcPr>
            <w:tcW w:w="992" w:type="dxa"/>
            <w:shd w:val="clear" w:color="auto" w:fill="auto"/>
            <w:noWrap/>
            <w:vAlign w:val="center"/>
            <w:hideMark/>
          </w:tcPr>
          <w:p w14:paraId="5A3B91FF" w14:textId="1E8564B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38 951,0</w:t>
            </w:r>
          </w:p>
        </w:tc>
        <w:tc>
          <w:tcPr>
            <w:tcW w:w="993" w:type="dxa"/>
            <w:shd w:val="clear" w:color="auto" w:fill="auto"/>
            <w:noWrap/>
            <w:vAlign w:val="center"/>
            <w:hideMark/>
          </w:tcPr>
          <w:p w14:paraId="3A5CDB99" w14:textId="15F5386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38 968,0</w:t>
            </w:r>
          </w:p>
        </w:tc>
        <w:tc>
          <w:tcPr>
            <w:tcW w:w="992" w:type="dxa"/>
            <w:shd w:val="clear" w:color="auto" w:fill="auto"/>
            <w:noWrap/>
            <w:vAlign w:val="center"/>
            <w:hideMark/>
          </w:tcPr>
          <w:p w14:paraId="17614F02" w14:textId="2287DF5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39 006,0</w:t>
            </w:r>
          </w:p>
        </w:tc>
        <w:tc>
          <w:tcPr>
            <w:tcW w:w="992" w:type="dxa"/>
            <w:shd w:val="clear" w:color="auto" w:fill="auto"/>
            <w:noWrap/>
            <w:vAlign w:val="center"/>
            <w:hideMark/>
          </w:tcPr>
          <w:p w14:paraId="0B20ABB7" w14:textId="6CDA224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39 319,0</w:t>
            </w:r>
          </w:p>
        </w:tc>
        <w:tc>
          <w:tcPr>
            <w:tcW w:w="992" w:type="dxa"/>
            <w:shd w:val="clear" w:color="auto" w:fill="auto"/>
            <w:noWrap/>
            <w:vAlign w:val="center"/>
            <w:hideMark/>
          </w:tcPr>
          <w:p w14:paraId="7F68307E" w14:textId="6A86EE1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39 368,0</w:t>
            </w:r>
          </w:p>
        </w:tc>
        <w:tc>
          <w:tcPr>
            <w:tcW w:w="993" w:type="dxa"/>
            <w:shd w:val="clear" w:color="auto" w:fill="auto"/>
            <w:noWrap/>
            <w:vAlign w:val="center"/>
            <w:hideMark/>
          </w:tcPr>
          <w:p w14:paraId="5B1947A2" w14:textId="2FC7137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39 401,0</w:t>
            </w:r>
          </w:p>
        </w:tc>
        <w:tc>
          <w:tcPr>
            <w:tcW w:w="992" w:type="dxa"/>
            <w:shd w:val="clear" w:color="auto" w:fill="auto"/>
            <w:noWrap/>
            <w:vAlign w:val="center"/>
            <w:hideMark/>
          </w:tcPr>
          <w:p w14:paraId="73DE0769" w14:textId="3D2481A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39 421,0</w:t>
            </w:r>
          </w:p>
        </w:tc>
        <w:tc>
          <w:tcPr>
            <w:tcW w:w="2551" w:type="dxa"/>
            <w:shd w:val="clear" w:color="auto" w:fill="auto"/>
            <w:hideMark/>
          </w:tcPr>
          <w:p w14:paraId="27CF4720"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Численность проживающих в многоквартирных домах с холодной водой.</w:t>
            </w:r>
          </w:p>
        </w:tc>
      </w:tr>
      <w:tr w:rsidR="00154BB3" w:rsidRPr="00403E44" w14:paraId="16A70AA7" w14:textId="77777777" w:rsidTr="00B326C7">
        <w:trPr>
          <w:trHeight w:val="756"/>
        </w:trPr>
        <w:tc>
          <w:tcPr>
            <w:tcW w:w="1418" w:type="dxa"/>
            <w:vMerge/>
            <w:vAlign w:val="center"/>
            <w:hideMark/>
          </w:tcPr>
          <w:p w14:paraId="4CD4091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D6D37B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в многоквартирных домах: природный газ</w:t>
            </w:r>
          </w:p>
        </w:tc>
        <w:tc>
          <w:tcPr>
            <w:tcW w:w="993" w:type="dxa"/>
            <w:shd w:val="clear" w:color="auto" w:fill="auto"/>
            <w:hideMark/>
          </w:tcPr>
          <w:p w14:paraId="61FFD740" w14:textId="77777777" w:rsidR="00154BB3" w:rsidRPr="00600B72" w:rsidRDefault="00154BB3" w:rsidP="00154BB3">
            <w:pPr>
              <w:spacing w:after="0" w:line="240" w:lineRule="auto"/>
              <w:ind w:left="-103"/>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2EF195A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39.5</w:t>
            </w:r>
          </w:p>
        </w:tc>
        <w:tc>
          <w:tcPr>
            <w:tcW w:w="992" w:type="dxa"/>
            <w:shd w:val="clear" w:color="000000" w:fill="D7D7D7"/>
            <w:noWrap/>
            <w:hideMark/>
          </w:tcPr>
          <w:p w14:paraId="05080F7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214677F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7740A0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9B09DB5" w14:textId="3AF7855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113,41</w:t>
            </w:r>
          </w:p>
        </w:tc>
        <w:tc>
          <w:tcPr>
            <w:tcW w:w="992" w:type="dxa"/>
            <w:shd w:val="clear" w:color="000000" w:fill="D7D7D7"/>
            <w:noWrap/>
            <w:hideMark/>
          </w:tcPr>
          <w:p w14:paraId="779EFE52" w14:textId="24774C0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113,41</w:t>
            </w:r>
          </w:p>
        </w:tc>
        <w:tc>
          <w:tcPr>
            <w:tcW w:w="993" w:type="dxa"/>
            <w:shd w:val="clear" w:color="000000" w:fill="D7D7D7"/>
            <w:noWrap/>
            <w:hideMark/>
          </w:tcPr>
          <w:p w14:paraId="298F7A44" w14:textId="4E26833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113,41</w:t>
            </w:r>
          </w:p>
        </w:tc>
        <w:tc>
          <w:tcPr>
            <w:tcW w:w="992" w:type="dxa"/>
            <w:shd w:val="clear" w:color="000000" w:fill="D7D7D7"/>
            <w:noWrap/>
            <w:hideMark/>
          </w:tcPr>
          <w:p w14:paraId="00523A87" w14:textId="77BDCC1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113,41</w:t>
            </w:r>
          </w:p>
        </w:tc>
        <w:tc>
          <w:tcPr>
            <w:tcW w:w="2551" w:type="dxa"/>
            <w:shd w:val="clear" w:color="auto" w:fill="auto"/>
            <w:hideMark/>
          </w:tcPr>
          <w:p w14:paraId="6D9C0CE1" w14:textId="5A820DBD"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Данные за 2023 год представлены ООО "Газпром межрегионгаз Север".</w:t>
            </w:r>
          </w:p>
        </w:tc>
      </w:tr>
      <w:tr w:rsidR="00154BB3" w:rsidRPr="00403E44" w14:paraId="032BA76F" w14:textId="77777777" w:rsidTr="0096329C">
        <w:trPr>
          <w:trHeight w:val="900"/>
        </w:trPr>
        <w:tc>
          <w:tcPr>
            <w:tcW w:w="1418" w:type="dxa"/>
            <w:vMerge/>
            <w:vAlign w:val="center"/>
            <w:hideMark/>
          </w:tcPr>
          <w:p w14:paraId="215074B9"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69A9EB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потребленного природного газа всеми МКД на территории муниципального образования</w:t>
            </w:r>
          </w:p>
        </w:tc>
        <w:tc>
          <w:tcPr>
            <w:tcW w:w="993" w:type="dxa"/>
            <w:shd w:val="clear" w:color="auto" w:fill="auto"/>
            <w:hideMark/>
          </w:tcPr>
          <w:p w14:paraId="14C6E31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2D01B2D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39.5.1</w:t>
            </w:r>
          </w:p>
        </w:tc>
        <w:tc>
          <w:tcPr>
            <w:tcW w:w="992" w:type="dxa"/>
            <w:shd w:val="clear" w:color="auto" w:fill="auto"/>
            <w:noWrap/>
            <w:hideMark/>
          </w:tcPr>
          <w:p w14:paraId="35365CF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0198289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45594A8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0D8CB639" w14:textId="75A105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23 362,0</w:t>
            </w:r>
          </w:p>
        </w:tc>
        <w:tc>
          <w:tcPr>
            <w:tcW w:w="992" w:type="dxa"/>
            <w:shd w:val="clear" w:color="auto" w:fill="auto"/>
            <w:noWrap/>
          </w:tcPr>
          <w:p w14:paraId="6A3768D8" w14:textId="3FD34A8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23 362,0</w:t>
            </w:r>
          </w:p>
        </w:tc>
        <w:tc>
          <w:tcPr>
            <w:tcW w:w="993" w:type="dxa"/>
            <w:shd w:val="clear" w:color="auto" w:fill="auto"/>
            <w:noWrap/>
          </w:tcPr>
          <w:p w14:paraId="6ABE12E3" w14:textId="6ADDD42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23 362,0</w:t>
            </w:r>
          </w:p>
        </w:tc>
        <w:tc>
          <w:tcPr>
            <w:tcW w:w="992" w:type="dxa"/>
            <w:shd w:val="clear" w:color="auto" w:fill="auto"/>
            <w:noWrap/>
          </w:tcPr>
          <w:p w14:paraId="18E7884D" w14:textId="59B3CE6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23 362,0</w:t>
            </w:r>
          </w:p>
        </w:tc>
        <w:tc>
          <w:tcPr>
            <w:tcW w:w="2551" w:type="dxa"/>
            <w:shd w:val="clear" w:color="auto" w:fill="auto"/>
            <w:hideMark/>
          </w:tcPr>
          <w:p w14:paraId="0564B2CA" w14:textId="237A5042"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Объем потребления природного газа за 2023 год по данным ООО "Газпром межрегионгаз Север".</w:t>
            </w:r>
          </w:p>
        </w:tc>
      </w:tr>
      <w:tr w:rsidR="00154BB3" w:rsidRPr="00403E44" w14:paraId="37382984" w14:textId="77777777" w:rsidTr="0096329C">
        <w:trPr>
          <w:trHeight w:val="600"/>
        </w:trPr>
        <w:tc>
          <w:tcPr>
            <w:tcW w:w="1418" w:type="dxa"/>
            <w:vMerge/>
            <w:vAlign w:val="center"/>
            <w:hideMark/>
          </w:tcPr>
          <w:p w14:paraId="3CC2FBB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F3F12F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Количество проживающих в многоквартирных домах (с газом)</w:t>
            </w:r>
          </w:p>
        </w:tc>
        <w:tc>
          <w:tcPr>
            <w:tcW w:w="993" w:type="dxa"/>
            <w:shd w:val="clear" w:color="auto" w:fill="auto"/>
            <w:hideMark/>
          </w:tcPr>
          <w:p w14:paraId="51C67D4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Человек</w:t>
            </w:r>
          </w:p>
        </w:tc>
        <w:tc>
          <w:tcPr>
            <w:tcW w:w="850" w:type="dxa"/>
            <w:shd w:val="clear" w:color="auto" w:fill="auto"/>
            <w:hideMark/>
          </w:tcPr>
          <w:p w14:paraId="46C0921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39.5.2</w:t>
            </w:r>
          </w:p>
        </w:tc>
        <w:tc>
          <w:tcPr>
            <w:tcW w:w="992" w:type="dxa"/>
            <w:shd w:val="clear" w:color="auto" w:fill="auto"/>
            <w:noWrap/>
            <w:hideMark/>
          </w:tcPr>
          <w:p w14:paraId="64B2386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242AA76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364E80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tcPr>
          <w:p w14:paraId="2126CEBB" w14:textId="2459092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206,0</w:t>
            </w:r>
          </w:p>
        </w:tc>
        <w:tc>
          <w:tcPr>
            <w:tcW w:w="992" w:type="dxa"/>
            <w:shd w:val="clear" w:color="auto" w:fill="auto"/>
            <w:noWrap/>
          </w:tcPr>
          <w:p w14:paraId="68D5A284" w14:textId="535461E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206,0</w:t>
            </w:r>
          </w:p>
        </w:tc>
        <w:tc>
          <w:tcPr>
            <w:tcW w:w="993" w:type="dxa"/>
            <w:shd w:val="clear" w:color="auto" w:fill="auto"/>
            <w:noWrap/>
          </w:tcPr>
          <w:p w14:paraId="66C87FD6" w14:textId="7842040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206,0</w:t>
            </w:r>
          </w:p>
        </w:tc>
        <w:tc>
          <w:tcPr>
            <w:tcW w:w="992" w:type="dxa"/>
            <w:shd w:val="clear" w:color="auto" w:fill="auto"/>
            <w:noWrap/>
          </w:tcPr>
          <w:p w14:paraId="34DD256F" w14:textId="4CF2E1C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206,0</w:t>
            </w:r>
          </w:p>
        </w:tc>
        <w:tc>
          <w:tcPr>
            <w:tcW w:w="2551" w:type="dxa"/>
            <w:shd w:val="clear" w:color="auto" w:fill="auto"/>
            <w:hideMark/>
          </w:tcPr>
          <w:p w14:paraId="22F1F45C" w14:textId="13107AB1"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Численность проживающих в МКД, потребляемые природный газ за 2023 год по данным ООО "Газпром межрегионгаз Север".</w:t>
            </w:r>
          </w:p>
        </w:tc>
      </w:tr>
      <w:tr w:rsidR="00154BB3" w:rsidRPr="00403E44" w14:paraId="6EDF227C" w14:textId="77777777" w:rsidTr="008B7C32">
        <w:trPr>
          <w:trHeight w:val="507"/>
        </w:trPr>
        <w:tc>
          <w:tcPr>
            <w:tcW w:w="1418" w:type="dxa"/>
            <w:vMerge/>
            <w:vAlign w:val="center"/>
            <w:hideMark/>
          </w:tcPr>
          <w:p w14:paraId="009D7A5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46BC0E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w:t>
            </w:r>
            <w:r w:rsidRPr="00600B72">
              <w:rPr>
                <w:rFonts w:ascii="Times New Roman" w:eastAsia="Times New Roman" w:hAnsi="Times New Roman" w:cs="Times New Roman"/>
                <w:sz w:val="16"/>
                <w:szCs w:val="16"/>
                <w:lang w:eastAsia="ru-RU"/>
              </w:rPr>
              <w:lastRenderedPageBreak/>
              <w:t>общей площади и (или) на одного человека)</w:t>
            </w:r>
          </w:p>
        </w:tc>
        <w:tc>
          <w:tcPr>
            <w:tcW w:w="993" w:type="dxa"/>
            <w:shd w:val="clear" w:color="auto" w:fill="auto"/>
            <w:hideMark/>
          </w:tcPr>
          <w:p w14:paraId="24D3976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lastRenderedPageBreak/>
              <w:t>Неизвестные данные</w:t>
            </w:r>
          </w:p>
        </w:tc>
        <w:tc>
          <w:tcPr>
            <w:tcW w:w="850" w:type="dxa"/>
            <w:shd w:val="clear" w:color="auto" w:fill="auto"/>
            <w:hideMark/>
          </w:tcPr>
          <w:p w14:paraId="64647F6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w:t>
            </w:r>
          </w:p>
        </w:tc>
        <w:tc>
          <w:tcPr>
            <w:tcW w:w="992" w:type="dxa"/>
            <w:shd w:val="clear" w:color="000000" w:fill="D7D7D7"/>
            <w:noWrap/>
            <w:hideMark/>
          </w:tcPr>
          <w:p w14:paraId="7E789C5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7411EEB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F000FA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7064D7B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67B4C99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DA7A48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35F27E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348BB658" w14:textId="77777777" w:rsidR="00154BB3" w:rsidRPr="00B326C7" w:rsidRDefault="00154BB3" w:rsidP="00154BB3">
            <w:pPr>
              <w:spacing w:after="0" w:line="240" w:lineRule="auto"/>
              <w:rPr>
                <w:rFonts w:ascii="Times New Roman" w:eastAsia="Times New Roman" w:hAnsi="Times New Roman" w:cs="Times New Roman"/>
                <w:color w:val="00B050"/>
                <w:sz w:val="16"/>
                <w:szCs w:val="16"/>
                <w:lang w:eastAsia="ru-RU"/>
              </w:rPr>
            </w:pPr>
            <w:r w:rsidRPr="00B326C7">
              <w:rPr>
                <w:rFonts w:ascii="Times New Roman" w:eastAsia="Times New Roman" w:hAnsi="Times New Roman" w:cs="Times New Roman"/>
                <w:color w:val="00B050"/>
                <w:sz w:val="16"/>
                <w:szCs w:val="16"/>
                <w:lang w:eastAsia="ru-RU"/>
              </w:rPr>
              <w:t> </w:t>
            </w:r>
          </w:p>
        </w:tc>
      </w:tr>
      <w:tr w:rsidR="00154BB3" w:rsidRPr="00403E44" w14:paraId="7354EC35" w14:textId="77777777" w:rsidTr="00B326C7">
        <w:trPr>
          <w:trHeight w:val="1200"/>
        </w:trPr>
        <w:tc>
          <w:tcPr>
            <w:tcW w:w="1418" w:type="dxa"/>
            <w:vMerge/>
            <w:vAlign w:val="center"/>
            <w:hideMark/>
          </w:tcPr>
          <w:p w14:paraId="013AEB0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C58433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электрическая энергия</w:t>
            </w:r>
          </w:p>
        </w:tc>
        <w:tc>
          <w:tcPr>
            <w:tcW w:w="993" w:type="dxa"/>
            <w:shd w:val="clear" w:color="auto" w:fill="auto"/>
            <w:hideMark/>
          </w:tcPr>
          <w:p w14:paraId="71185C1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килловат в час на 1 проживающего</w:t>
            </w:r>
          </w:p>
        </w:tc>
        <w:tc>
          <w:tcPr>
            <w:tcW w:w="850" w:type="dxa"/>
            <w:shd w:val="clear" w:color="auto" w:fill="auto"/>
            <w:hideMark/>
          </w:tcPr>
          <w:p w14:paraId="4E92D1D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40.1</w:t>
            </w:r>
          </w:p>
        </w:tc>
        <w:tc>
          <w:tcPr>
            <w:tcW w:w="992" w:type="dxa"/>
            <w:shd w:val="clear" w:color="000000" w:fill="D7D7D7"/>
            <w:noWrap/>
            <w:hideMark/>
          </w:tcPr>
          <w:p w14:paraId="718961D9" w14:textId="13E5B8B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135,51</w:t>
            </w:r>
          </w:p>
        </w:tc>
        <w:tc>
          <w:tcPr>
            <w:tcW w:w="993" w:type="dxa"/>
            <w:shd w:val="clear" w:color="000000" w:fill="D7D7D7"/>
            <w:noWrap/>
            <w:hideMark/>
          </w:tcPr>
          <w:p w14:paraId="3E7BB0E0" w14:textId="0D6C54E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134,94</w:t>
            </w:r>
          </w:p>
        </w:tc>
        <w:tc>
          <w:tcPr>
            <w:tcW w:w="992" w:type="dxa"/>
            <w:shd w:val="clear" w:color="000000" w:fill="D7D7D7"/>
            <w:noWrap/>
            <w:hideMark/>
          </w:tcPr>
          <w:p w14:paraId="2A3D62B5" w14:textId="3EDDBA2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128,89</w:t>
            </w:r>
          </w:p>
        </w:tc>
        <w:tc>
          <w:tcPr>
            <w:tcW w:w="992" w:type="dxa"/>
            <w:shd w:val="clear" w:color="000000" w:fill="D7D7D7"/>
            <w:noWrap/>
            <w:hideMark/>
          </w:tcPr>
          <w:p w14:paraId="100091B9" w14:textId="29D15E5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126,87</w:t>
            </w:r>
          </w:p>
        </w:tc>
        <w:tc>
          <w:tcPr>
            <w:tcW w:w="992" w:type="dxa"/>
            <w:shd w:val="clear" w:color="000000" w:fill="D7D7D7"/>
            <w:noWrap/>
          </w:tcPr>
          <w:p w14:paraId="00E32321" w14:textId="49F997F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128,21</w:t>
            </w:r>
          </w:p>
        </w:tc>
        <w:tc>
          <w:tcPr>
            <w:tcW w:w="993" w:type="dxa"/>
            <w:shd w:val="clear" w:color="000000" w:fill="D7D7D7"/>
            <w:noWrap/>
          </w:tcPr>
          <w:p w14:paraId="24C74FF4" w14:textId="5877388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128,21</w:t>
            </w:r>
          </w:p>
        </w:tc>
        <w:tc>
          <w:tcPr>
            <w:tcW w:w="992" w:type="dxa"/>
            <w:shd w:val="clear" w:color="000000" w:fill="D7D7D7"/>
            <w:noWrap/>
          </w:tcPr>
          <w:p w14:paraId="0D530881" w14:textId="5058209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128,21</w:t>
            </w:r>
          </w:p>
        </w:tc>
        <w:tc>
          <w:tcPr>
            <w:tcW w:w="2551" w:type="dxa"/>
            <w:shd w:val="clear" w:color="auto" w:fill="auto"/>
            <w:hideMark/>
          </w:tcPr>
          <w:p w14:paraId="4579F911" w14:textId="77777777" w:rsidR="00154BB3" w:rsidRPr="00B326C7" w:rsidRDefault="00154BB3" w:rsidP="00154BB3">
            <w:pPr>
              <w:spacing w:after="0" w:line="240" w:lineRule="auto"/>
              <w:rPr>
                <w:rFonts w:ascii="Times New Roman" w:eastAsia="Times New Roman" w:hAnsi="Times New Roman" w:cs="Times New Roman"/>
                <w:color w:val="00B050"/>
                <w:sz w:val="16"/>
                <w:szCs w:val="16"/>
                <w:lang w:eastAsia="ru-RU"/>
              </w:rPr>
            </w:pPr>
            <w:r w:rsidRPr="00B326C7">
              <w:rPr>
                <w:rFonts w:ascii="Times New Roman" w:eastAsia="Times New Roman" w:hAnsi="Times New Roman" w:cs="Times New Roman"/>
                <w:color w:val="00B050"/>
                <w:sz w:val="16"/>
                <w:szCs w:val="16"/>
                <w:lang w:eastAsia="ru-RU"/>
              </w:rPr>
              <w:t> </w:t>
            </w:r>
          </w:p>
        </w:tc>
      </w:tr>
      <w:tr w:rsidR="00154BB3" w:rsidRPr="00403E44" w14:paraId="17BFA60D" w14:textId="77777777" w:rsidTr="00B326C7">
        <w:trPr>
          <w:trHeight w:val="900"/>
        </w:trPr>
        <w:tc>
          <w:tcPr>
            <w:tcW w:w="1418" w:type="dxa"/>
            <w:vMerge/>
            <w:vAlign w:val="center"/>
            <w:hideMark/>
          </w:tcPr>
          <w:p w14:paraId="1BF6AC7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143D501"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Суммарное потребление электроэнергии всеми муниципальными бюджетными учреждениями на территории муниципального образования</w:t>
            </w:r>
          </w:p>
        </w:tc>
        <w:tc>
          <w:tcPr>
            <w:tcW w:w="993" w:type="dxa"/>
            <w:shd w:val="clear" w:color="auto" w:fill="auto"/>
            <w:hideMark/>
          </w:tcPr>
          <w:p w14:paraId="024F7DE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Киловатт</w:t>
            </w:r>
          </w:p>
        </w:tc>
        <w:tc>
          <w:tcPr>
            <w:tcW w:w="850" w:type="dxa"/>
            <w:shd w:val="clear" w:color="auto" w:fill="auto"/>
            <w:hideMark/>
          </w:tcPr>
          <w:p w14:paraId="3E9DC80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40.1.1</w:t>
            </w:r>
          </w:p>
        </w:tc>
        <w:tc>
          <w:tcPr>
            <w:tcW w:w="992" w:type="dxa"/>
            <w:tcBorders>
              <w:top w:val="nil"/>
              <w:left w:val="single" w:sz="4" w:space="0" w:color="000000"/>
              <w:bottom w:val="nil"/>
              <w:right w:val="single" w:sz="4" w:space="0" w:color="000000"/>
            </w:tcBorders>
            <w:shd w:val="clear" w:color="auto" w:fill="auto"/>
            <w:noWrap/>
            <w:hideMark/>
          </w:tcPr>
          <w:p w14:paraId="460FAED4" w14:textId="171655A3" w:rsidR="00154BB3" w:rsidRPr="00600B72" w:rsidRDefault="00154BB3" w:rsidP="00154BB3">
            <w:pPr>
              <w:spacing w:after="0" w:line="240" w:lineRule="auto"/>
              <w:ind w:left="-101"/>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6 074 407,3</w:t>
            </w:r>
          </w:p>
        </w:tc>
        <w:tc>
          <w:tcPr>
            <w:tcW w:w="993" w:type="dxa"/>
            <w:tcBorders>
              <w:top w:val="nil"/>
              <w:left w:val="nil"/>
              <w:bottom w:val="nil"/>
              <w:right w:val="single" w:sz="4" w:space="0" w:color="000000"/>
            </w:tcBorders>
            <w:shd w:val="clear" w:color="auto" w:fill="auto"/>
            <w:noWrap/>
            <w:hideMark/>
          </w:tcPr>
          <w:p w14:paraId="62B2D647" w14:textId="06766965" w:rsidR="00154BB3" w:rsidRPr="00600B72" w:rsidRDefault="00154BB3" w:rsidP="00154BB3">
            <w:pPr>
              <w:spacing w:after="0" w:line="240" w:lineRule="auto"/>
              <w:ind w:left="-111"/>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6 082 200,5</w:t>
            </w:r>
          </w:p>
        </w:tc>
        <w:tc>
          <w:tcPr>
            <w:tcW w:w="992" w:type="dxa"/>
            <w:tcBorders>
              <w:top w:val="nil"/>
              <w:left w:val="nil"/>
              <w:bottom w:val="nil"/>
              <w:right w:val="single" w:sz="4" w:space="0" w:color="000000"/>
            </w:tcBorders>
            <w:shd w:val="clear" w:color="auto" w:fill="auto"/>
            <w:noWrap/>
            <w:hideMark/>
          </w:tcPr>
          <w:p w14:paraId="01D344C7" w14:textId="6A382063" w:rsidR="00154BB3" w:rsidRPr="00600B72" w:rsidRDefault="00154BB3" w:rsidP="00154BB3">
            <w:pPr>
              <w:spacing w:after="0" w:line="240" w:lineRule="auto"/>
              <w:ind w:left="-108"/>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6 040 038,9</w:t>
            </w:r>
          </w:p>
        </w:tc>
        <w:tc>
          <w:tcPr>
            <w:tcW w:w="992" w:type="dxa"/>
            <w:tcBorders>
              <w:top w:val="nil"/>
              <w:left w:val="nil"/>
              <w:bottom w:val="nil"/>
              <w:right w:val="single" w:sz="4" w:space="0" w:color="000000"/>
            </w:tcBorders>
            <w:shd w:val="clear" w:color="auto" w:fill="auto"/>
            <w:noWrap/>
            <w:hideMark/>
          </w:tcPr>
          <w:p w14:paraId="210237BF" w14:textId="49E79557" w:rsidR="00154BB3" w:rsidRPr="00600B72" w:rsidRDefault="00154BB3" w:rsidP="00154BB3">
            <w:pPr>
              <w:spacing w:after="0" w:line="240" w:lineRule="auto"/>
              <w:ind w:left="-104"/>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5 994 792,7</w:t>
            </w:r>
          </w:p>
        </w:tc>
        <w:tc>
          <w:tcPr>
            <w:tcW w:w="992" w:type="dxa"/>
            <w:tcBorders>
              <w:top w:val="nil"/>
              <w:left w:val="nil"/>
              <w:bottom w:val="nil"/>
              <w:right w:val="single" w:sz="4" w:space="0" w:color="000000"/>
            </w:tcBorders>
            <w:shd w:val="clear" w:color="auto" w:fill="auto"/>
            <w:noWrap/>
            <w:hideMark/>
          </w:tcPr>
          <w:p w14:paraId="6D216FBB" w14:textId="73F89302" w:rsidR="00154BB3" w:rsidRPr="00600B72" w:rsidRDefault="00154BB3" w:rsidP="00154BB3">
            <w:pPr>
              <w:spacing w:after="0" w:line="240" w:lineRule="auto"/>
              <w:ind w:left="-101"/>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6 057 938,4</w:t>
            </w:r>
          </w:p>
        </w:tc>
        <w:tc>
          <w:tcPr>
            <w:tcW w:w="993" w:type="dxa"/>
            <w:tcBorders>
              <w:top w:val="nil"/>
              <w:left w:val="nil"/>
              <w:bottom w:val="nil"/>
              <w:right w:val="single" w:sz="4" w:space="0" w:color="000000"/>
            </w:tcBorders>
            <w:shd w:val="clear" w:color="auto" w:fill="auto"/>
            <w:noWrap/>
            <w:hideMark/>
          </w:tcPr>
          <w:p w14:paraId="36C84581" w14:textId="27336C51" w:rsidR="00154BB3" w:rsidRPr="00600B72" w:rsidRDefault="00154BB3" w:rsidP="00154BB3">
            <w:pPr>
              <w:spacing w:after="0" w:line="240" w:lineRule="auto"/>
              <w:ind w:left="-112"/>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6 057 938,4</w:t>
            </w:r>
          </w:p>
        </w:tc>
        <w:tc>
          <w:tcPr>
            <w:tcW w:w="992" w:type="dxa"/>
            <w:tcBorders>
              <w:top w:val="nil"/>
              <w:left w:val="nil"/>
              <w:bottom w:val="nil"/>
              <w:right w:val="single" w:sz="4" w:space="0" w:color="000000"/>
            </w:tcBorders>
            <w:shd w:val="clear" w:color="auto" w:fill="auto"/>
            <w:noWrap/>
            <w:hideMark/>
          </w:tcPr>
          <w:p w14:paraId="3C1F4758" w14:textId="789E70D9" w:rsidR="00154BB3" w:rsidRPr="00600B72" w:rsidRDefault="00154BB3" w:rsidP="00154BB3">
            <w:pPr>
              <w:spacing w:after="0" w:line="240" w:lineRule="auto"/>
              <w:ind w:left="-108"/>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6 057 938,4</w:t>
            </w:r>
          </w:p>
        </w:tc>
        <w:tc>
          <w:tcPr>
            <w:tcW w:w="2551" w:type="dxa"/>
            <w:shd w:val="clear" w:color="auto" w:fill="auto"/>
            <w:hideMark/>
          </w:tcPr>
          <w:p w14:paraId="1700E0E0" w14:textId="7CBECA02" w:rsidR="00154BB3" w:rsidRPr="00B133A9" w:rsidRDefault="00B133A9" w:rsidP="00154BB3">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Фактическое потребление электроэнергии муниципальными бюджетными учреждениями</w:t>
            </w:r>
          </w:p>
        </w:tc>
      </w:tr>
      <w:tr w:rsidR="00154BB3" w:rsidRPr="00403E44" w14:paraId="6D00823B" w14:textId="77777777" w:rsidTr="00B326C7">
        <w:trPr>
          <w:trHeight w:val="900"/>
        </w:trPr>
        <w:tc>
          <w:tcPr>
            <w:tcW w:w="1418" w:type="dxa"/>
            <w:vMerge/>
            <w:vAlign w:val="center"/>
            <w:hideMark/>
          </w:tcPr>
          <w:p w14:paraId="2E520ECD"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D0E8C4A"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тепловая энергия</w:t>
            </w:r>
          </w:p>
        </w:tc>
        <w:tc>
          <w:tcPr>
            <w:tcW w:w="993" w:type="dxa"/>
            <w:shd w:val="clear" w:color="auto" w:fill="auto"/>
            <w:hideMark/>
          </w:tcPr>
          <w:p w14:paraId="5228C71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Гкал. на 1кв. метр общей площади</w:t>
            </w:r>
          </w:p>
        </w:tc>
        <w:tc>
          <w:tcPr>
            <w:tcW w:w="850" w:type="dxa"/>
            <w:shd w:val="clear" w:color="auto" w:fill="auto"/>
            <w:hideMark/>
          </w:tcPr>
          <w:p w14:paraId="016B109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40.2</w:t>
            </w:r>
          </w:p>
        </w:tc>
        <w:tc>
          <w:tcPr>
            <w:tcW w:w="992" w:type="dxa"/>
            <w:shd w:val="clear" w:color="000000" w:fill="D7D7D7"/>
            <w:noWrap/>
            <w:hideMark/>
          </w:tcPr>
          <w:p w14:paraId="0367D955" w14:textId="3A067E4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0,18</w:t>
            </w:r>
          </w:p>
        </w:tc>
        <w:tc>
          <w:tcPr>
            <w:tcW w:w="993" w:type="dxa"/>
            <w:shd w:val="clear" w:color="000000" w:fill="D7D7D7"/>
            <w:noWrap/>
            <w:hideMark/>
          </w:tcPr>
          <w:p w14:paraId="4209440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0,18</w:t>
            </w:r>
          </w:p>
        </w:tc>
        <w:tc>
          <w:tcPr>
            <w:tcW w:w="992" w:type="dxa"/>
            <w:shd w:val="clear" w:color="000000" w:fill="D7D7D7"/>
            <w:noWrap/>
            <w:hideMark/>
          </w:tcPr>
          <w:p w14:paraId="7882D38D" w14:textId="705FA52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0,17</w:t>
            </w:r>
          </w:p>
        </w:tc>
        <w:tc>
          <w:tcPr>
            <w:tcW w:w="992" w:type="dxa"/>
            <w:shd w:val="clear" w:color="000000" w:fill="D7D7D7"/>
            <w:noWrap/>
            <w:hideMark/>
          </w:tcPr>
          <w:p w14:paraId="4DFACC7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0,17</w:t>
            </w:r>
          </w:p>
        </w:tc>
        <w:tc>
          <w:tcPr>
            <w:tcW w:w="992" w:type="dxa"/>
            <w:shd w:val="clear" w:color="000000" w:fill="D7D7D7"/>
            <w:noWrap/>
            <w:hideMark/>
          </w:tcPr>
          <w:p w14:paraId="2983085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0,17</w:t>
            </w:r>
          </w:p>
        </w:tc>
        <w:tc>
          <w:tcPr>
            <w:tcW w:w="993" w:type="dxa"/>
            <w:shd w:val="clear" w:color="000000" w:fill="D7D7D7"/>
            <w:noWrap/>
            <w:hideMark/>
          </w:tcPr>
          <w:p w14:paraId="22E4996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0,17</w:t>
            </w:r>
          </w:p>
        </w:tc>
        <w:tc>
          <w:tcPr>
            <w:tcW w:w="992" w:type="dxa"/>
            <w:shd w:val="clear" w:color="000000" w:fill="D7D7D7"/>
            <w:noWrap/>
            <w:hideMark/>
          </w:tcPr>
          <w:p w14:paraId="36DEA292" w14:textId="77777777" w:rsidR="00154BB3" w:rsidRPr="00B133A9" w:rsidRDefault="00154BB3" w:rsidP="00154BB3">
            <w:pPr>
              <w:spacing w:after="0" w:line="240" w:lineRule="auto"/>
              <w:jc w:val="right"/>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 xml:space="preserve">    0,17</w:t>
            </w:r>
          </w:p>
        </w:tc>
        <w:tc>
          <w:tcPr>
            <w:tcW w:w="2551" w:type="dxa"/>
            <w:shd w:val="clear" w:color="auto" w:fill="auto"/>
            <w:hideMark/>
          </w:tcPr>
          <w:p w14:paraId="160F88D1" w14:textId="4FA063B3" w:rsidR="00154BB3" w:rsidRPr="00B133A9" w:rsidRDefault="006A0418" w:rsidP="00154BB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2023 году п</w:t>
            </w:r>
            <w:r w:rsidR="00B133A9" w:rsidRPr="00B133A9">
              <w:rPr>
                <w:rFonts w:ascii="Times New Roman" w:eastAsia="Times New Roman" w:hAnsi="Times New Roman" w:cs="Times New Roman"/>
                <w:sz w:val="16"/>
                <w:szCs w:val="16"/>
                <w:lang w:eastAsia="ru-RU"/>
              </w:rPr>
              <w:t>оказатель сохран</w:t>
            </w:r>
            <w:r>
              <w:rPr>
                <w:rFonts w:ascii="Times New Roman" w:eastAsia="Times New Roman" w:hAnsi="Times New Roman" w:cs="Times New Roman"/>
                <w:sz w:val="16"/>
                <w:szCs w:val="16"/>
                <w:lang w:eastAsia="ru-RU"/>
              </w:rPr>
              <w:t>ил</w:t>
            </w:r>
            <w:r w:rsidR="00B133A9" w:rsidRPr="00B133A9">
              <w:rPr>
                <w:rFonts w:ascii="Times New Roman" w:eastAsia="Times New Roman" w:hAnsi="Times New Roman" w:cs="Times New Roman"/>
                <w:sz w:val="16"/>
                <w:szCs w:val="16"/>
                <w:lang w:eastAsia="ru-RU"/>
              </w:rPr>
              <w:t>ся на уровне 2022 года.</w:t>
            </w:r>
          </w:p>
        </w:tc>
      </w:tr>
      <w:tr w:rsidR="00154BB3" w:rsidRPr="00403E44" w14:paraId="04C3AEA8" w14:textId="77777777" w:rsidTr="00B326C7">
        <w:trPr>
          <w:trHeight w:val="900"/>
        </w:trPr>
        <w:tc>
          <w:tcPr>
            <w:tcW w:w="1418" w:type="dxa"/>
            <w:vMerge/>
            <w:vAlign w:val="center"/>
            <w:hideMark/>
          </w:tcPr>
          <w:p w14:paraId="04F8988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000F0F9"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Суммарное потребление тепловой энергии всеми муниципальными бюджетными учреждениями на территории муниципального образования</w:t>
            </w:r>
          </w:p>
          <w:p w14:paraId="4F29708D"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p w14:paraId="03CFA0E0"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p w14:paraId="4F5B681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00B46B4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Гигакалория</w:t>
            </w:r>
          </w:p>
        </w:tc>
        <w:tc>
          <w:tcPr>
            <w:tcW w:w="850" w:type="dxa"/>
            <w:shd w:val="clear" w:color="auto" w:fill="auto"/>
            <w:hideMark/>
          </w:tcPr>
          <w:p w14:paraId="24857757"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40.2.1</w:t>
            </w:r>
          </w:p>
        </w:tc>
        <w:tc>
          <w:tcPr>
            <w:tcW w:w="992" w:type="dxa"/>
            <w:tcBorders>
              <w:top w:val="nil"/>
              <w:left w:val="single" w:sz="4" w:space="0" w:color="000000"/>
              <w:bottom w:val="nil"/>
              <w:right w:val="single" w:sz="4" w:space="0" w:color="000000"/>
            </w:tcBorders>
            <w:shd w:val="clear" w:color="auto" w:fill="auto"/>
            <w:noWrap/>
            <w:hideMark/>
          </w:tcPr>
          <w:p w14:paraId="2F3FFC94" w14:textId="2CD5B7E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27 823,4</w:t>
            </w:r>
          </w:p>
        </w:tc>
        <w:tc>
          <w:tcPr>
            <w:tcW w:w="993" w:type="dxa"/>
            <w:tcBorders>
              <w:top w:val="nil"/>
              <w:left w:val="nil"/>
              <w:bottom w:val="nil"/>
              <w:right w:val="single" w:sz="4" w:space="0" w:color="000000"/>
            </w:tcBorders>
            <w:shd w:val="clear" w:color="auto" w:fill="auto"/>
            <w:noWrap/>
            <w:hideMark/>
          </w:tcPr>
          <w:p w14:paraId="44C9930B" w14:textId="0BB1F16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27 776,6</w:t>
            </w:r>
          </w:p>
        </w:tc>
        <w:tc>
          <w:tcPr>
            <w:tcW w:w="992" w:type="dxa"/>
            <w:tcBorders>
              <w:top w:val="nil"/>
              <w:left w:val="nil"/>
              <w:bottom w:val="nil"/>
              <w:right w:val="single" w:sz="4" w:space="0" w:color="000000"/>
            </w:tcBorders>
            <w:shd w:val="clear" w:color="auto" w:fill="auto"/>
            <w:noWrap/>
            <w:hideMark/>
          </w:tcPr>
          <w:p w14:paraId="041AE3F4" w14:textId="6537B45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27 664,4</w:t>
            </w:r>
          </w:p>
        </w:tc>
        <w:tc>
          <w:tcPr>
            <w:tcW w:w="992" w:type="dxa"/>
            <w:tcBorders>
              <w:top w:val="nil"/>
              <w:left w:val="nil"/>
              <w:bottom w:val="nil"/>
              <w:right w:val="single" w:sz="4" w:space="0" w:color="000000"/>
            </w:tcBorders>
            <w:shd w:val="clear" w:color="auto" w:fill="auto"/>
            <w:noWrap/>
            <w:hideMark/>
          </w:tcPr>
          <w:p w14:paraId="16A7C66F" w14:textId="12AEA1F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26 842,0</w:t>
            </w:r>
          </w:p>
        </w:tc>
        <w:tc>
          <w:tcPr>
            <w:tcW w:w="992" w:type="dxa"/>
            <w:tcBorders>
              <w:top w:val="nil"/>
              <w:left w:val="nil"/>
              <w:bottom w:val="nil"/>
              <w:right w:val="single" w:sz="4" w:space="0" w:color="000000"/>
            </w:tcBorders>
            <w:shd w:val="clear" w:color="auto" w:fill="auto"/>
            <w:noWrap/>
            <w:hideMark/>
          </w:tcPr>
          <w:p w14:paraId="3D744C0B" w14:textId="7D12123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27 389,8</w:t>
            </w:r>
          </w:p>
        </w:tc>
        <w:tc>
          <w:tcPr>
            <w:tcW w:w="993" w:type="dxa"/>
            <w:tcBorders>
              <w:top w:val="nil"/>
              <w:left w:val="nil"/>
              <w:bottom w:val="nil"/>
              <w:right w:val="single" w:sz="4" w:space="0" w:color="000000"/>
            </w:tcBorders>
            <w:shd w:val="clear" w:color="auto" w:fill="auto"/>
            <w:noWrap/>
            <w:hideMark/>
          </w:tcPr>
          <w:p w14:paraId="319612EB" w14:textId="342315AB"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27 253,5</w:t>
            </w:r>
          </w:p>
        </w:tc>
        <w:tc>
          <w:tcPr>
            <w:tcW w:w="992" w:type="dxa"/>
            <w:tcBorders>
              <w:top w:val="nil"/>
              <w:left w:val="nil"/>
              <w:bottom w:val="nil"/>
              <w:right w:val="single" w:sz="4" w:space="0" w:color="000000"/>
            </w:tcBorders>
            <w:shd w:val="clear" w:color="auto" w:fill="auto"/>
            <w:noWrap/>
            <w:hideMark/>
          </w:tcPr>
          <w:p w14:paraId="6560A1CD" w14:textId="2DAFD23E" w:rsidR="00154BB3" w:rsidRPr="00B133A9" w:rsidRDefault="00154BB3" w:rsidP="00154BB3">
            <w:pPr>
              <w:spacing w:after="0" w:line="240" w:lineRule="auto"/>
              <w:jc w:val="right"/>
              <w:rPr>
                <w:rFonts w:ascii="Times New Roman" w:eastAsia="Times New Roman" w:hAnsi="Times New Roman" w:cs="Times New Roman"/>
                <w:sz w:val="16"/>
                <w:szCs w:val="16"/>
                <w:lang w:eastAsia="ru-RU"/>
              </w:rPr>
            </w:pPr>
            <w:r w:rsidRPr="00B133A9">
              <w:rPr>
                <w:rFonts w:ascii="Times New Roman" w:hAnsi="Times New Roman" w:cs="Times New Roman"/>
                <w:sz w:val="16"/>
                <w:szCs w:val="16"/>
              </w:rPr>
              <w:t xml:space="preserve">   27 253,5</w:t>
            </w:r>
          </w:p>
        </w:tc>
        <w:tc>
          <w:tcPr>
            <w:tcW w:w="2551" w:type="dxa"/>
            <w:shd w:val="clear" w:color="auto" w:fill="auto"/>
            <w:hideMark/>
          </w:tcPr>
          <w:p w14:paraId="63EA1D74" w14:textId="77777777" w:rsidR="00B133A9" w:rsidRPr="00B133A9" w:rsidRDefault="00B133A9" w:rsidP="00B133A9">
            <w:pPr>
              <w:spacing w:after="0" w:line="240" w:lineRule="auto"/>
              <w:rPr>
                <w:rFonts w:ascii="Times New Roman" w:eastAsia="Times New Roman" w:hAnsi="Times New Roman" w:cs="Times New Roman"/>
                <w:sz w:val="16"/>
                <w:szCs w:val="16"/>
                <w:lang w:eastAsia="ru-RU"/>
              </w:rPr>
            </w:pPr>
            <w:r w:rsidRPr="00B133A9">
              <w:rPr>
                <w:rFonts w:ascii="Times New Roman" w:eastAsia="Times New Roman" w:hAnsi="Times New Roman" w:cs="Times New Roman"/>
                <w:sz w:val="16"/>
                <w:szCs w:val="16"/>
                <w:lang w:eastAsia="ru-RU"/>
              </w:rPr>
              <w:t>Фактическое потребление тепловой энергии муниципальным</w:t>
            </w:r>
          </w:p>
          <w:p w14:paraId="472C2CE9" w14:textId="2778C548" w:rsidR="00154BB3" w:rsidRPr="00B133A9" w:rsidRDefault="00B133A9" w:rsidP="00B133A9">
            <w:pPr>
              <w:spacing w:after="0" w:line="240" w:lineRule="auto"/>
              <w:rPr>
                <w:rFonts w:ascii="Times New Roman" w:eastAsia="Times New Roman" w:hAnsi="Times New Roman" w:cs="Times New Roman"/>
                <w:sz w:val="16"/>
                <w:szCs w:val="16"/>
                <w:highlight w:val="yellow"/>
                <w:lang w:eastAsia="ru-RU"/>
              </w:rPr>
            </w:pPr>
            <w:r w:rsidRPr="00B133A9">
              <w:rPr>
                <w:rFonts w:ascii="Times New Roman" w:eastAsia="Times New Roman" w:hAnsi="Times New Roman" w:cs="Times New Roman"/>
                <w:sz w:val="16"/>
                <w:szCs w:val="16"/>
                <w:lang w:eastAsia="ru-RU"/>
              </w:rPr>
              <w:t>и бюджетными учреждениями</w:t>
            </w:r>
          </w:p>
        </w:tc>
      </w:tr>
      <w:tr w:rsidR="00154BB3" w:rsidRPr="00403E44" w14:paraId="52EB134D" w14:textId="77777777" w:rsidTr="008F0E1E">
        <w:trPr>
          <w:trHeight w:val="1504"/>
        </w:trPr>
        <w:tc>
          <w:tcPr>
            <w:tcW w:w="1418" w:type="dxa"/>
            <w:vMerge/>
            <w:vAlign w:val="center"/>
            <w:hideMark/>
          </w:tcPr>
          <w:p w14:paraId="6210057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BAFC84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Общая площадь муниципальных бюджетных учреждений на территории муниципального образования</w:t>
            </w:r>
          </w:p>
        </w:tc>
        <w:tc>
          <w:tcPr>
            <w:tcW w:w="993" w:type="dxa"/>
            <w:shd w:val="clear" w:color="auto" w:fill="auto"/>
            <w:hideMark/>
          </w:tcPr>
          <w:p w14:paraId="41A24DC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Квадратный метр</w:t>
            </w:r>
          </w:p>
        </w:tc>
        <w:tc>
          <w:tcPr>
            <w:tcW w:w="850" w:type="dxa"/>
            <w:shd w:val="clear" w:color="auto" w:fill="auto"/>
            <w:hideMark/>
          </w:tcPr>
          <w:p w14:paraId="0A8E1E1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40.2.2</w:t>
            </w:r>
          </w:p>
        </w:tc>
        <w:tc>
          <w:tcPr>
            <w:tcW w:w="992" w:type="dxa"/>
            <w:shd w:val="clear" w:color="auto" w:fill="auto"/>
            <w:noWrap/>
            <w:hideMark/>
          </w:tcPr>
          <w:p w14:paraId="09260413" w14:textId="78079BF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154 195,1</w:t>
            </w:r>
          </w:p>
        </w:tc>
        <w:tc>
          <w:tcPr>
            <w:tcW w:w="993" w:type="dxa"/>
            <w:shd w:val="clear" w:color="auto" w:fill="auto"/>
            <w:noWrap/>
            <w:hideMark/>
          </w:tcPr>
          <w:p w14:paraId="1276EF99" w14:textId="40B51EF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155 071,6</w:t>
            </w:r>
          </w:p>
        </w:tc>
        <w:tc>
          <w:tcPr>
            <w:tcW w:w="992" w:type="dxa"/>
            <w:shd w:val="clear" w:color="auto" w:fill="auto"/>
            <w:noWrap/>
            <w:hideMark/>
          </w:tcPr>
          <w:p w14:paraId="77D277E0" w14:textId="588B86E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164 880,9</w:t>
            </w:r>
          </w:p>
        </w:tc>
        <w:tc>
          <w:tcPr>
            <w:tcW w:w="992" w:type="dxa"/>
            <w:shd w:val="clear" w:color="auto" w:fill="auto"/>
            <w:noWrap/>
            <w:hideMark/>
          </w:tcPr>
          <w:p w14:paraId="604DCE86" w14:textId="75D76C9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160 978,0</w:t>
            </w:r>
          </w:p>
        </w:tc>
        <w:tc>
          <w:tcPr>
            <w:tcW w:w="992" w:type="dxa"/>
            <w:shd w:val="clear" w:color="auto" w:fill="auto"/>
            <w:noWrap/>
            <w:hideMark/>
          </w:tcPr>
          <w:p w14:paraId="23F8D827" w14:textId="76C096A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164 880,9</w:t>
            </w:r>
          </w:p>
        </w:tc>
        <w:tc>
          <w:tcPr>
            <w:tcW w:w="993" w:type="dxa"/>
            <w:shd w:val="clear" w:color="auto" w:fill="auto"/>
            <w:noWrap/>
            <w:hideMark/>
          </w:tcPr>
          <w:p w14:paraId="1C89121B" w14:textId="7163618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164 880,9</w:t>
            </w:r>
          </w:p>
        </w:tc>
        <w:tc>
          <w:tcPr>
            <w:tcW w:w="992" w:type="dxa"/>
            <w:shd w:val="clear" w:color="auto" w:fill="auto"/>
            <w:noWrap/>
            <w:hideMark/>
          </w:tcPr>
          <w:p w14:paraId="518869A7" w14:textId="13C375B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164 880,9</w:t>
            </w:r>
          </w:p>
        </w:tc>
        <w:tc>
          <w:tcPr>
            <w:tcW w:w="2551" w:type="dxa"/>
            <w:shd w:val="clear" w:color="auto" w:fill="auto"/>
            <w:hideMark/>
          </w:tcPr>
          <w:p w14:paraId="4B0A09B2" w14:textId="49FA0C8E" w:rsidR="00154BB3" w:rsidRPr="005A3A56" w:rsidRDefault="006A0418" w:rsidP="00154BB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2023 году о</w:t>
            </w:r>
            <w:r w:rsidR="00154BB3" w:rsidRPr="005A3A56">
              <w:rPr>
                <w:rFonts w:ascii="Times New Roman" w:eastAsia="Times New Roman" w:hAnsi="Times New Roman" w:cs="Times New Roman"/>
                <w:sz w:val="16"/>
                <w:szCs w:val="16"/>
                <w:lang w:eastAsia="ru-RU"/>
              </w:rPr>
              <w:t xml:space="preserve">бщая площадь бюджетных учреждений снизилась, в связи с тем, что проведены уточнения в тех. паспорта и </w:t>
            </w:r>
            <w:r>
              <w:rPr>
                <w:rFonts w:ascii="Times New Roman" w:eastAsia="Times New Roman" w:hAnsi="Times New Roman" w:cs="Times New Roman"/>
                <w:sz w:val="16"/>
                <w:szCs w:val="16"/>
                <w:lang w:eastAsia="ru-RU"/>
              </w:rPr>
              <w:t xml:space="preserve">произошла </w:t>
            </w:r>
            <w:r w:rsidR="00154BB3" w:rsidRPr="005A3A56">
              <w:rPr>
                <w:rFonts w:ascii="Times New Roman" w:eastAsia="Times New Roman" w:hAnsi="Times New Roman" w:cs="Times New Roman"/>
                <w:sz w:val="16"/>
                <w:szCs w:val="16"/>
                <w:lang w:eastAsia="ru-RU"/>
              </w:rPr>
              <w:t>ликвидация некоторых учреждений сп.Сентябрьский</w:t>
            </w:r>
            <w:r>
              <w:rPr>
                <w:rFonts w:ascii="Times New Roman" w:eastAsia="Times New Roman" w:hAnsi="Times New Roman" w:cs="Times New Roman"/>
                <w:sz w:val="16"/>
                <w:szCs w:val="16"/>
                <w:lang w:eastAsia="ru-RU"/>
              </w:rPr>
              <w:t>:</w:t>
            </w:r>
            <w:r w:rsidR="00154BB3" w:rsidRPr="005A3A56">
              <w:rPr>
                <w:rFonts w:ascii="Times New Roman" w:eastAsia="Times New Roman" w:hAnsi="Times New Roman" w:cs="Times New Roman"/>
                <w:sz w:val="16"/>
                <w:szCs w:val="16"/>
                <w:lang w:eastAsia="ru-RU"/>
              </w:rPr>
              <w:t xml:space="preserve">  школа-сад, д/сад "Капелька".</w:t>
            </w:r>
          </w:p>
          <w:p w14:paraId="5B22D192"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p>
          <w:p w14:paraId="61CEBB0F" w14:textId="77777777" w:rsidR="00154BB3" w:rsidRPr="005A3A56" w:rsidRDefault="00154BB3" w:rsidP="00154BB3">
            <w:pPr>
              <w:spacing w:after="0" w:line="240" w:lineRule="auto"/>
              <w:rPr>
                <w:rFonts w:ascii="Times New Roman" w:eastAsia="Times New Roman" w:hAnsi="Times New Roman" w:cs="Times New Roman"/>
                <w:sz w:val="16"/>
                <w:szCs w:val="16"/>
                <w:lang w:eastAsia="ru-RU"/>
              </w:rPr>
            </w:pPr>
          </w:p>
        </w:tc>
      </w:tr>
      <w:tr w:rsidR="00154BB3" w:rsidRPr="00403E44" w14:paraId="0D019FF8" w14:textId="77777777" w:rsidTr="00B326C7">
        <w:trPr>
          <w:trHeight w:val="1200"/>
        </w:trPr>
        <w:tc>
          <w:tcPr>
            <w:tcW w:w="1418" w:type="dxa"/>
            <w:vMerge/>
            <w:vAlign w:val="center"/>
            <w:hideMark/>
          </w:tcPr>
          <w:p w14:paraId="1F505D8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9217EE7"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горячая вода</w:t>
            </w:r>
          </w:p>
        </w:tc>
        <w:tc>
          <w:tcPr>
            <w:tcW w:w="993" w:type="dxa"/>
            <w:shd w:val="clear" w:color="auto" w:fill="auto"/>
            <w:hideMark/>
          </w:tcPr>
          <w:p w14:paraId="4F27845B" w14:textId="10726E71" w:rsidR="00154BB3" w:rsidRPr="00600B72" w:rsidRDefault="00154BB3" w:rsidP="008F0E1E">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3A0D64C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40.3</w:t>
            </w:r>
          </w:p>
        </w:tc>
        <w:tc>
          <w:tcPr>
            <w:tcW w:w="992" w:type="dxa"/>
            <w:tcBorders>
              <w:top w:val="nil"/>
              <w:left w:val="single" w:sz="4" w:space="0" w:color="000000"/>
              <w:bottom w:val="nil"/>
              <w:right w:val="single" w:sz="4" w:space="0" w:color="000000"/>
            </w:tcBorders>
            <w:shd w:val="clear" w:color="000000" w:fill="D7D7D7"/>
            <w:noWrap/>
            <w:hideMark/>
          </w:tcPr>
          <w:p w14:paraId="2EDF4E2E" w14:textId="5630EBE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0,53</w:t>
            </w:r>
          </w:p>
        </w:tc>
        <w:tc>
          <w:tcPr>
            <w:tcW w:w="993" w:type="dxa"/>
            <w:tcBorders>
              <w:top w:val="nil"/>
              <w:left w:val="nil"/>
              <w:bottom w:val="nil"/>
              <w:right w:val="single" w:sz="4" w:space="0" w:color="000000"/>
            </w:tcBorders>
            <w:shd w:val="clear" w:color="000000" w:fill="D7D7D7"/>
            <w:noWrap/>
            <w:hideMark/>
          </w:tcPr>
          <w:p w14:paraId="47C6FD2C" w14:textId="32B54F7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0,52</w:t>
            </w:r>
          </w:p>
        </w:tc>
        <w:tc>
          <w:tcPr>
            <w:tcW w:w="992" w:type="dxa"/>
            <w:tcBorders>
              <w:top w:val="nil"/>
              <w:left w:val="nil"/>
              <w:bottom w:val="nil"/>
              <w:right w:val="single" w:sz="4" w:space="0" w:color="000000"/>
            </w:tcBorders>
            <w:shd w:val="clear" w:color="000000" w:fill="D7D7D7"/>
            <w:noWrap/>
            <w:hideMark/>
          </w:tcPr>
          <w:p w14:paraId="37EB5F3F" w14:textId="49184353"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0,50</w:t>
            </w:r>
          </w:p>
        </w:tc>
        <w:tc>
          <w:tcPr>
            <w:tcW w:w="992" w:type="dxa"/>
            <w:tcBorders>
              <w:top w:val="nil"/>
              <w:left w:val="nil"/>
              <w:bottom w:val="nil"/>
              <w:right w:val="single" w:sz="4" w:space="0" w:color="000000"/>
            </w:tcBorders>
            <w:shd w:val="clear" w:color="000000" w:fill="D7D7D7"/>
            <w:noWrap/>
            <w:hideMark/>
          </w:tcPr>
          <w:p w14:paraId="5BB1BAB1" w14:textId="01D55E4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0,46</w:t>
            </w:r>
          </w:p>
        </w:tc>
        <w:tc>
          <w:tcPr>
            <w:tcW w:w="992" w:type="dxa"/>
            <w:tcBorders>
              <w:top w:val="nil"/>
              <w:left w:val="nil"/>
              <w:bottom w:val="nil"/>
              <w:right w:val="single" w:sz="4" w:space="0" w:color="000000"/>
            </w:tcBorders>
            <w:shd w:val="clear" w:color="000000" w:fill="D7D7D7"/>
            <w:noWrap/>
            <w:hideMark/>
          </w:tcPr>
          <w:p w14:paraId="4C540B17" w14:textId="61DE488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0,49</w:t>
            </w:r>
          </w:p>
        </w:tc>
        <w:tc>
          <w:tcPr>
            <w:tcW w:w="993" w:type="dxa"/>
            <w:tcBorders>
              <w:top w:val="nil"/>
              <w:left w:val="nil"/>
              <w:bottom w:val="nil"/>
              <w:right w:val="single" w:sz="4" w:space="0" w:color="000000"/>
            </w:tcBorders>
            <w:shd w:val="clear" w:color="000000" w:fill="D7D7D7"/>
            <w:noWrap/>
            <w:hideMark/>
          </w:tcPr>
          <w:p w14:paraId="4F3A55AF" w14:textId="0944028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0,48</w:t>
            </w:r>
          </w:p>
        </w:tc>
        <w:tc>
          <w:tcPr>
            <w:tcW w:w="992" w:type="dxa"/>
            <w:tcBorders>
              <w:top w:val="nil"/>
              <w:left w:val="nil"/>
              <w:bottom w:val="nil"/>
              <w:right w:val="single" w:sz="4" w:space="0" w:color="000000"/>
            </w:tcBorders>
            <w:shd w:val="clear" w:color="000000" w:fill="D7D7D7"/>
            <w:noWrap/>
            <w:hideMark/>
          </w:tcPr>
          <w:p w14:paraId="0BF5FCBC" w14:textId="2E59B17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0,48</w:t>
            </w:r>
          </w:p>
        </w:tc>
        <w:tc>
          <w:tcPr>
            <w:tcW w:w="2551" w:type="dxa"/>
            <w:shd w:val="clear" w:color="auto" w:fill="auto"/>
            <w:hideMark/>
          </w:tcPr>
          <w:p w14:paraId="76ED69D2" w14:textId="15501C18"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Снижение в связи с увеличением численности населения</w:t>
            </w:r>
          </w:p>
        </w:tc>
      </w:tr>
      <w:tr w:rsidR="00154BB3" w:rsidRPr="00403E44" w14:paraId="5F416106" w14:textId="77777777" w:rsidTr="008B7C32">
        <w:trPr>
          <w:trHeight w:val="1073"/>
        </w:trPr>
        <w:tc>
          <w:tcPr>
            <w:tcW w:w="1418" w:type="dxa"/>
            <w:vMerge/>
            <w:vAlign w:val="center"/>
            <w:hideMark/>
          </w:tcPr>
          <w:p w14:paraId="1262982E"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7E7F57D0" w14:textId="3B577BBA"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потребленной горячей воды муниципальными бюджетными учреждениями на территории муниципального образования</w:t>
            </w:r>
          </w:p>
          <w:p w14:paraId="7658CA8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475DD87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7646DF3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40.3.1</w:t>
            </w:r>
          </w:p>
        </w:tc>
        <w:tc>
          <w:tcPr>
            <w:tcW w:w="992" w:type="dxa"/>
            <w:shd w:val="clear" w:color="auto" w:fill="auto"/>
            <w:noWrap/>
            <w:hideMark/>
          </w:tcPr>
          <w:p w14:paraId="17EF3155" w14:textId="4ABDD87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23 743,3</w:t>
            </w:r>
          </w:p>
        </w:tc>
        <w:tc>
          <w:tcPr>
            <w:tcW w:w="993" w:type="dxa"/>
            <w:shd w:val="clear" w:color="auto" w:fill="auto"/>
            <w:noWrap/>
            <w:hideMark/>
          </w:tcPr>
          <w:p w14:paraId="4E443B42" w14:textId="79AE973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23 462,8</w:t>
            </w:r>
          </w:p>
        </w:tc>
        <w:tc>
          <w:tcPr>
            <w:tcW w:w="992" w:type="dxa"/>
            <w:shd w:val="clear" w:color="auto" w:fill="auto"/>
            <w:noWrap/>
            <w:hideMark/>
          </w:tcPr>
          <w:p w14:paraId="2AA2215A" w14:textId="05A1EBB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23 217,4</w:t>
            </w:r>
          </w:p>
        </w:tc>
        <w:tc>
          <w:tcPr>
            <w:tcW w:w="992" w:type="dxa"/>
            <w:shd w:val="clear" w:color="auto" w:fill="auto"/>
            <w:noWrap/>
            <w:hideMark/>
          </w:tcPr>
          <w:p w14:paraId="28E65363" w14:textId="12DE9C7A"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21 952,4</w:t>
            </w:r>
          </w:p>
        </w:tc>
        <w:tc>
          <w:tcPr>
            <w:tcW w:w="992" w:type="dxa"/>
            <w:shd w:val="clear" w:color="auto" w:fill="auto"/>
            <w:noWrap/>
          </w:tcPr>
          <w:p w14:paraId="2719C0B4" w14:textId="17F26E50"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22 986,9</w:t>
            </w:r>
          </w:p>
        </w:tc>
        <w:tc>
          <w:tcPr>
            <w:tcW w:w="993" w:type="dxa"/>
            <w:shd w:val="clear" w:color="auto" w:fill="auto"/>
            <w:noWrap/>
          </w:tcPr>
          <w:p w14:paraId="220274A9" w14:textId="1FA3004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22 872,5</w:t>
            </w:r>
          </w:p>
        </w:tc>
        <w:tc>
          <w:tcPr>
            <w:tcW w:w="992" w:type="dxa"/>
            <w:shd w:val="clear" w:color="auto" w:fill="auto"/>
            <w:noWrap/>
          </w:tcPr>
          <w:p w14:paraId="534244DF" w14:textId="003D9036"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22 872,5</w:t>
            </w:r>
          </w:p>
        </w:tc>
        <w:tc>
          <w:tcPr>
            <w:tcW w:w="2551" w:type="dxa"/>
            <w:shd w:val="clear" w:color="auto" w:fill="auto"/>
            <w:hideMark/>
          </w:tcPr>
          <w:p w14:paraId="3058F1CF" w14:textId="134B8299"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Снижение в связи с уменьшением бюджетных учреждений. Фактическое потребление горячей воды.</w:t>
            </w:r>
          </w:p>
        </w:tc>
      </w:tr>
      <w:tr w:rsidR="00154BB3" w:rsidRPr="00403E44" w14:paraId="27A795A3" w14:textId="77777777" w:rsidTr="00FF5FD8">
        <w:trPr>
          <w:trHeight w:val="910"/>
        </w:trPr>
        <w:tc>
          <w:tcPr>
            <w:tcW w:w="1418" w:type="dxa"/>
            <w:vMerge/>
            <w:vAlign w:val="center"/>
            <w:hideMark/>
          </w:tcPr>
          <w:p w14:paraId="6A340050"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7FCF4CC"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холодная вода</w:t>
            </w:r>
          </w:p>
        </w:tc>
        <w:tc>
          <w:tcPr>
            <w:tcW w:w="993" w:type="dxa"/>
            <w:shd w:val="clear" w:color="auto" w:fill="auto"/>
            <w:hideMark/>
          </w:tcPr>
          <w:p w14:paraId="6E4819FC" w14:textId="77777777" w:rsidR="00154BB3" w:rsidRPr="00600B72" w:rsidRDefault="00154BB3" w:rsidP="00154BB3">
            <w:pPr>
              <w:spacing w:after="0" w:line="240" w:lineRule="auto"/>
              <w:ind w:left="-103"/>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5F19DD9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40.4</w:t>
            </w:r>
          </w:p>
        </w:tc>
        <w:tc>
          <w:tcPr>
            <w:tcW w:w="992" w:type="dxa"/>
            <w:tcBorders>
              <w:top w:val="nil"/>
              <w:left w:val="single" w:sz="4" w:space="0" w:color="000000"/>
              <w:bottom w:val="nil"/>
              <w:right w:val="single" w:sz="4" w:space="0" w:color="000000"/>
            </w:tcBorders>
            <w:shd w:val="clear" w:color="000000" w:fill="D7D7D7"/>
            <w:noWrap/>
            <w:hideMark/>
          </w:tcPr>
          <w:p w14:paraId="7E57E703" w14:textId="4D58BEEE"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1,42</w:t>
            </w:r>
          </w:p>
        </w:tc>
        <w:tc>
          <w:tcPr>
            <w:tcW w:w="993" w:type="dxa"/>
            <w:tcBorders>
              <w:top w:val="nil"/>
              <w:left w:val="nil"/>
              <w:bottom w:val="nil"/>
              <w:right w:val="single" w:sz="4" w:space="0" w:color="000000"/>
            </w:tcBorders>
            <w:shd w:val="clear" w:color="000000" w:fill="D7D7D7"/>
            <w:noWrap/>
            <w:hideMark/>
          </w:tcPr>
          <w:p w14:paraId="0D465E85" w14:textId="320C891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1,40</w:t>
            </w:r>
          </w:p>
        </w:tc>
        <w:tc>
          <w:tcPr>
            <w:tcW w:w="992" w:type="dxa"/>
            <w:tcBorders>
              <w:top w:val="nil"/>
              <w:left w:val="nil"/>
              <w:bottom w:val="nil"/>
              <w:right w:val="single" w:sz="4" w:space="0" w:color="000000"/>
            </w:tcBorders>
            <w:shd w:val="clear" w:color="000000" w:fill="D7D7D7"/>
            <w:noWrap/>
            <w:hideMark/>
          </w:tcPr>
          <w:p w14:paraId="5FA4D4AE" w14:textId="133DE75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1,34</w:t>
            </w:r>
          </w:p>
        </w:tc>
        <w:tc>
          <w:tcPr>
            <w:tcW w:w="992" w:type="dxa"/>
            <w:tcBorders>
              <w:top w:val="nil"/>
              <w:left w:val="nil"/>
              <w:bottom w:val="nil"/>
              <w:right w:val="single" w:sz="4" w:space="0" w:color="000000"/>
            </w:tcBorders>
            <w:shd w:val="clear" w:color="000000" w:fill="D7D7D7"/>
            <w:noWrap/>
            <w:hideMark/>
          </w:tcPr>
          <w:p w14:paraId="517FF22C" w14:textId="79531869"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1,32</w:t>
            </w:r>
          </w:p>
        </w:tc>
        <w:tc>
          <w:tcPr>
            <w:tcW w:w="992" w:type="dxa"/>
            <w:tcBorders>
              <w:top w:val="nil"/>
              <w:left w:val="nil"/>
              <w:bottom w:val="nil"/>
              <w:right w:val="single" w:sz="4" w:space="0" w:color="000000"/>
            </w:tcBorders>
            <w:shd w:val="clear" w:color="000000" w:fill="D7D7D7"/>
            <w:noWrap/>
            <w:hideMark/>
          </w:tcPr>
          <w:p w14:paraId="347A6F75" w14:textId="3B1AAF7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1,31</w:t>
            </w:r>
          </w:p>
        </w:tc>
        <w:tc>
          <w:tcPr>
            <w:tcW w:w="993" w:type="dxa"/>
            <w:tcBorders>
              <w:top w:val="nil"/>
              <w:left w:val="nil"/>
              <w:bottom w:val="nil"/>
              <w:right w:val="single" w:sz="4" w:space="0" w:color="000000"/>
            </w:tcBorders>
            <w:shd w:val="clear" w:color="000000" w:fill="D7D7D7"/>
            <w:noWrap/>
            <w:hideMark/>
          </w:tcPr>
          <w:p w14:paraId="58129D71" w14:textId="5CAF93DD"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1,30</w:t>
            </w:r>
          </w:p>
        </w:tc>
        <w:tc>
          <w:tcPr>
            <w:tcW w:w="992" w:type="dxa"/>
            <w:tcBorders>
              <w:top w:val="nil"/>
              <w:left w:val="nil"/>
              <w:bottom w:val="nil"/>
              <w:right w:val="single" w:sz="4" w:space="0" w:color="000000"/>
            </w:tcBorders>
            <w:shd w:val="clear" w:color="000000" w:fill="D7D7D7"/>
            <w:noWrap/>
            <w:hideMark/>
          </w:tcPr>
          <w:p w14:paraId="5D2ECBE5" w14:textId="6099F8EC"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hAnsi="Times New Roman" w:cs="Times New Roman"/>
                <w:sz w:val="16"/>
                <w:szCs w:val="16"/>
              </w:rPr>
              <w:t xml:space="preserve">    1,30</w:t>
            </w:r>
          </w:p>
        </w:tc>
        <w:tc>
          <w:tcPr>
            <w:tcW w:w="2551" w:type="dxa"/>
            <w:shd w:val="clear" w:color="auto" w:fill="auto"/>
            <w:hideMark/>
          </w:tcPr>
          <w:p w14:paraId="6750F3D8" w14:textId="4177D1D6"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Снижение потребления электроэнергии в связи с уменьшением бюджетных учреждений.</w:t>
            </w:r>
          </w:p>
        </w:tc>
      </w:tr>
      <w:tr w:rsidR="00154BB3" w:rsidRPr="00403E44" w14:paraId="462CAE1E" w14:textId="77777777" w:rsidTr="00FF5FD8">
        <w:trPr>
          <w:trHeight w:val="1121"/>
        </w:trPr>
        <w:tc>
          <w:tcPr>
            <w:tcW w:w="1418" w:type="dxa"/>
            <w:vMerge/>
            <w:vAlign w:val="center"/>
            <w:hideMark/>
          </w:tcPr>
          <w:p w14:paraId="632464D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14E6BB28" w14:textId="6A39C148"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потребленной холодной воды муниципальными бюджетными учреждениями на территории муниципального образования</w:t>
            </w:r>
          </w:p>
        </w:tc>
        <w:tc>
          <w:tcPr>
            <w:tcW w:w="993" w:type="dxa"/>
            <w:shd w:val="clear" w:color="auto" w:fill="auto"/>
            <w:hideMark/>
          </w:tcPr>
          <w:p w14:paraId="72A6B75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00D434DD"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40.4.1</w:t>
            </w:r>
          </w:p>
        </w:tc>
        <w:tc>
          <w:tcPr>
            <w:tcW w:w="992" w:type="dxa"/>
            <w:shd w:val="clear" w:color="auto" w:fill="auto"/>
            <w:noWrap/>
            <w:hideMark/>
          </w:tcPr>
          <w:p w14:paraId="67FCB4DC" w14:textId="207AEA8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63 640,5</w:t>
            </w:r>
          </w:p>
        </w:tc>
        <w:tc>
          <w:tcPr>
            <w:tcW w:w="993" w:type="dxa"/>
            <w:shd w:val="clear" w:color="auto" w:fill="auto"/>
            <w:noWrap/>
            <w:hideMark/>
          </w:tcPr>
          <w:p w14:paraId="64B34D10" w14:textId="30E26DA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63 070,0</w:t>
            </w:r>
          </w:p>
        </w:tc>
        <w:tc>
          <w:tcPr>
            <w:tcW w:w="992" w:type="dxa"/>
            <w:shd w:val="clear" w:color="auto" w:fill="auto"/>
            <w:noWrap/>
            <w:hideMark/>
          </w:tcPr>
          <w:p w14:paraId="4DA04EC1" w14:textId="69263A5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62 580,7</w:t>
            </w:r>
          </w:p>
        </w:tc>
        <w:tc>
          <w:tcPr>
            <w:tcW w:w="992" w:type="dxa"/>
            <w:shd w:val="clear" w:color="auto" w:fill="auto"/>
            <w:noWrap/>
            <w:hideMark/>
          </w:tcPr>
          <w:p w14:paraId="19FA2A31" w14:textId="4EEB576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62 153,4</w:t>
            </w:r>
          </w:p>
        </w:tc>
        <w:tc>
          <w:tcPr>
            <w:tcW w:w="992" w:type="dxa"/>
            <w:shd w:val="clear" w:color="auto" w:fill="auto"/>
            <w:noWrap/>
            <w:hideMark/>
          </w:tcPr>
          <w:p w14:paraId="2D3158BE" w14:textId="5D106F72"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61 959,5</w:t>
            </w:r>
          </w:p>
        </w:tc>
        <w:tc>
          <w:tcPr>
            <w:tcW w:w="993" w:type="dxa"/>
            <w:shd w:val="clear" w:color="auto" w:fill="auto"/>
            <w:noWrap/>
            <w:hideMark/>
          </w:tcPr>
          <w:p w14:paraId="59263AAD" w14:textId="24F550D1"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61 651,3</w:t>
            </w:r>
          </w:p>
        </w:tc>
        <w:tc>
          <w:tcPr>
            <w:tcW w:w="992" w:type="dxa"/>
            <w:shd w:val="clear" w:color="auto" w:fill="auto"/>
            <w:noWrap/>
            <w:hideMark/>
          </w:tcPr>
          <w:p w14:paraId="2AA5EDE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 xml:space="preserve">   61 651,3</w:t>
            </w:r>
          </w:p>
        </w:tc>
        <w:tc>
          <w:tcPr>
            <w:tcW w:w="2551" w:type="dxa"/>
            <w:shd w:val="clear" w:color="auto" w:fill="auto"/>
            <w:hideMark/>
          </w:tcPr>
          <w:p w14:paraId="3AA42503" w14:textId="189D569B" w:rsidR="00154BB3" w:rsidRPr="00FF5FD8" w:rsidRDefault="00154BB3" w:rsidP="00154BB3">
            <w:pPr>
              <w:spacing w:after="0" w:line="240" w:lineRule="auto"/>
              <w:rPr>
                <w:rFonts w:ascii="Times New Roman" w:eastAsia="Times New Roman" w:hAnsi="Times New Roman" w:cs="Times New Roman"/>
                <w:color w:val="00B050"/>
                <w:sz w:val="16"/>
                <w:szCs w:val="16"/>
                <w:lang w:eastAsia="ru-RU"/>
              </w:rPr>
            </w:pPr>
            <w:r w:rsidRPr="005A3A56">
              <w:rPr>
                <w:rFonts w:ascii="Times New Roman" w:eastAsia="Times New Roman" w:hAnsi="Times New Roman" w:cs="Times New Roman"/>
                <w:sz w:val="16"/>
                <w:szCs w:val="16"/>
                <w:lang w:eastAsia="ru-RU"/>
              </w:rPr>
              <w:t>Снижение в связи с уменьшением бюджетных учреждений. Фактическое потребление холодной воды.</w:t>
            </w:r>
          </w:p>
        </w:tc>
      </w:tr>
      <w:tr w:rsidR="00154BB3" w:rsidRPr="00403E44" w14:paraId="0EF85B54" w14:textId="77777777" w:rsidTr="00FF5FD8">
        <w:trPr>
          <w:trHeight w:val="982"/>
        </w:trPr>
        <w:tc>
          <w:tcPr>
            <w:tcW w:w="1418" w:type="dxa"/>
            <w:vMerge/>
            <w:vAlign w:val="center"/>
            <w:hideMark/>
          </w:tcPr>
          <w:p w14:paraId="3B20A06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6DB71BCF"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Удельная величина потребления энергетических ресурсов муниципальными бюджетными учреждениями: природный газ</w:t>
            </w:r>
          </w:p>
        </w:tc>
        <w:tc>
          <w:tcPr>
            <w:tcW w:w="993" w:type="dxa"/>
            <w:shd w:val="clear" w:color="auto" w:fill="auto"/>
            <w:hideMark/>
          </w:tcPr>
          <w:p w14:paraId="2498FD5C" w14:textId="751ABA1D"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кубических метров на 1 проживающего</w:t>
            </w:r>
          </w:p>
        </w:tc>
        <w:tc>
          <w:tcPr>
            <w:tcW w:w="850" w:type="dxa"/>
            <w:shd w:val="clear" w:color="auto" w:fill="auto"/>
            <w:hideMark/>
          </w:tcPr>
          <w:p w14:paraId="1C3C772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40.5</w:t>
            </w:r>
          </w:p>
        </w:tc>
        <w:tc>
          <w:tcPr>
            <w:tcW w:w="992" w:type="dxa"/>
            <w:shd w:val="clear" w:color="000000" w:fill="D7D7D7"/>
            <w:noWrap/>
            <w:hideMark/>
          </w:tcPr>
          <w:p w14:paraId="56B31C7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0587F5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E18F7B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EE4885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104F4F6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4DA67F3B"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76BDF9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506D5F9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r w:rsidR="00154BB3" w:rsidRPr="00403E44" w14:paraId="78C40903" w14:textId="77777777" w:rsidTr="00FF5FD8">
        <w:trPr>
          <w:trHeight w:val="900"/>
        </w:trPr>
        <w:tc>
          <w:tcPr>
            <w:tcW w:w="1418" w:type="dxa"/>
            <w:vMerge/>
            <w:vAlign w:val="center"/>
            <w:hideMark/>
          </w:tcPr>
          <w:p w14:paraId="68D45F95"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EAE5D6D" w14:textId="1103AD49" w:rsidR="00154BB3"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Суммарный объём потребленного природного газа всеми муниципальными бюджетными учреждениями на территории муниципального образования</w:t>
            </w:r>
          </w:p>
          <w:p w14:paraId="551B80E4" w14:textId="77777777" w:rsidR="008F0E1E" w:rsidRPr="00600B72" w:rsidRDefault="008F0E1E" w:rsidP="00154BB3">
            <w:pPr>
              <w:spacing w:after="0" w:line="240" w:lineRule="auto"/>
              <w:rPr>
                <w:rFonts w:ascii="Times New Roman" w:eastAsia="Times New Roman" w:hAnsi="Times New Roman" w:cs="Times New Roman"/>
                <w:sz w:val="16"/>
                <w:szCs w:val="16"/>
                <w:lang w:eastAsia="ru-RU"/>
              </w:rPr>
            </w:pPr>
          </w:p>
          <w:p w14:paraId="124307E0"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p>
        </w:tc>
        <w:tc>
          <w:tcPr>
            <w:tcW w:w="993" w:type="dxa"/>
            <w:shd w:val="clear" w:color="auto" w:fill="auto"/>
            <w:hideMark/>
          </w:tcPr>
          <w:p w14:paraId="3091D7B8"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Кубический метр</w:t>
            </w:r>
          </w:p>
        </w:tc>
        <w:tc>
          <w:tcPr>
            <w:tcW w:w="850" w:type="dxa"/>
            <w:shd w:val="clear" w:color="auto" w:fill="auto"/>
            <w:hideMark/>
          </w:tcPr>
          <w:p w14:paraId="660D824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40.5.1</w:t>
            </w:r>
          </w:p>
        </w:tc>
        <w:tc>
          <w:tcPr>
            <w:tcW w:w="992" w:type="dxa"/>
            <w:shd w:val="clear" w:color="auto" w:fill="auto"/>
            <w:noWrap/>
            <w:hideMark/>
          </w:tcPr>
          <w:p w14:paraId="2F4C1F8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1663802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02380B6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B1AEB0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12B644C2"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7578843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2B752599"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8301C8C"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r w:rsidR="00154BB3" w:rsidRPr="00403E44" w14:paraId="5732F296" w14:textId="77777777" w:rsidTr="00FF5FD8">
        <w:trPr>
          <w:trHeight w:val="4800"/>
        </w:trPr>
        <w:tc>
          <w:tcPr>
            <w:tcW w:w="1418" w:type="dxa"/>
            <w:vMerge/>
            <w:vAlign w:val="center"/>
            <w:hideMark/>
          </w:tcPr>
          <w:p w14:paraId="1E1612EB"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3A48636F" w14:textId="4944BC49"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993" w:type="dxa"/>
            <w:shd w:val="clear" w:color="auto" w:fill="auto"/>
            <w:hideMark/>
          </w:tcPr>
          <w:p w14:paraId="061B7989"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671238EF"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w:t>
            </w:r>
          </w:p>
        </w:tc>
        <w:tc>
          <w:tcPr>
            <w:tcW w:w="992" w:type="dxa"/>
            <w:shd w:val="clear" w:color="000000" w:fill="D7D7D7"/>
            <w:noWrap/>
            <w:hideMark/>
          </w:tcPr>
          <w:p w14:paraId="411F238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62A3ECA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45BABC5A" w14:textId="305EBC38"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97,8</w:t>
            </w:r>
          </w:p>
        </w:tc>
        <w:tc>
          <w:tcPr>
            <w:tcW w:w="992" w:type="dxa"/>
            <w:shd w:val="clear" w:color="000000" w:fill="D7D7D7"/>
            <w:noWrap/>
            <w:hideMark/>
          </w:tcPr>
          <w:p w14:paraId="27D8A1F0"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3CC9347A"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0DEF0051"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4EBEEA8"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0A2F6499"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r w:rsidR="00154BB3" w:rsidRPr="00403E44" w14:paraId="7D531291" w14:textId="77777777" w:rsidTr="00FF5FD8">
        <w:trPr>
          <w:trHeight w:val="60"/>
        </w:trPr>
        <w:tc>
          <w:tcPr>
            <w:tcW w:w="1418" w:type="dxa"/>
            <w:vMerge/>
            <w:vAlign w:val="center"/>
            <w:hideMark/>
          </w:tcPr>
          <w:p w14:paraId="5891366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55E0624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культуры</w:t>
            </w:r>
          </w:p>
        </w:tc>
        <w:tc>
          <w:tcPr>
            <w:tcW w:w="993" w:type="dxa"/>
            <w:shd w:val="clear" w:color="auto" w:fill="auto"/>
            <w:hideMark/>
          </w:tcPr>
          <w:p w14:paraId="1C266634"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082BA5C5"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41.1</w:t>
            </w:r>
          </w:p>
        </w:tc>
        <w:tc>
          <w:tcPr>
            <w:tcW w:w="992" w:type="dxa"/>
            <w:shd w:val="clear" w:color="auto" w:fill="auto"/>
            <w:noWrap/>
            <w:hideMark/>
          </w:tcPr>
          <w:p w14:paraId="0D8337FB" w14:textId="02D789A4"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7E07619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7C389E2C" w14:textId="5F9E38CF"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97,8</w:t>
            </w:r>
          </w:p>
        </w:tc>
        <w:tc>
          <w:tcPr>
            <w:tcW w:w="992" w:type="dxa"/>
            <w:shd w:val="clear" w:color="auto" w:fill="auto"/>
            <w:noWrap/>
            <w:hideMark/>
          </w:tcPr>
          <w:p w14:paraId="2318EB9B" w14:textId="297A8775"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E136943"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19B9DB8D"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A286A25"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4306F789" w14:textId="43B9AEB0" w:rsidR="00154BB3" w:rsidRPr="005A3A56" w:rsidRDefault="00154BB3" w:rsidP="00154BB3">
            <w:pPr>
              <w:spacing w:after="0" w:line="240" w:lineRule="auto"/>
              <w:rPr>
                <w:rFonts w:ascii="Times New Roman" w:eastAsia="Times New Roman" w:hAnsi="Times New Roman" w:cs="Times New Roman"/>
                <w:sz w:val="16"/>
                <w:szCs w:val="16"/>
                <w:lang w:eastAsia="ru-RU"/>
              </w:rPr>
            </w:pPr>
            <w:r w:rsidRPr="005A3A56">
              <w:rPr>
                <w:rFonts w:ascii="Times New Roman" w:eastAsia="Times New Roman" w:hAnsi="Times New Roman" w:cs="Times New Roman"/>
                <w:sz w:val="16"/>
                <w:szCs w:val="16"/>
                <w:lang w:eastAsia="ru-RU"/>
              </w:rPr>
              <w:t xml:space="preserve">Независимая оценка качества условий оказания услуг муниципальными организациями в сфере культуры должна проводиться не реже, чем один раз в три года, таким образом следующая процедура НОК будет проведена в 2025 году. </w:t>
            </w:r>
          </w:p>
        </w:tc>
      </w:tr>
      <w:tr w:rsidR="00154BB3" w:rsidRPr="00403E44" w14:paraId="040FC700" w14:textId="77777777" w:rsidTr="00FF5FD8">
        <w:trPr>
          <w:trHeight w:val="900"/>
        </w:trPr>
        <w:tc>
          <w:tcPr>
            <w:tcW w:w="1418" w:type="dxa"/>
            <w:vMerge/>
            <w:vAlign w:val="center"/>
            <w:hideMark/>
          </w:tcPr>
          <w:p w14:paraId="6EB7FACF"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31DDB13"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охраны здоровья</w:t>
            </w:r>
          </w:p>
        </w:tc>
        <w:tc>
          <w:tcPr>
            <w:tcW w:w="993" w:type="dxa"/>
            <w:shd w:val="clear" w:color="auto" w:fill="auto"/>
            <w:hideMark/>
          </w:tcPr>
          <w:p w14:paraId="4B6A35C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449CFC63"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41.2</w:t>
            </w:r>
          </w:p>
        </w:tc>
        <w:tc>
          <w:tcPr>
            <w:tcW w:w="992" w:type="dxa"/>
            <w:shd w:val="clear" w:color="auto" w:fill="auto"/>
            <w:noWrap/>
            <w:hideMark/>
          </w:tcPr>
          <w:p w14:paraId="558B428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auto" w:fill="auto"/>
            <w:noWrap/>
            <w:hideMark/>
          </w:tcPr>
          <w:p w14:paraId="5A84D3DE"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34C0D1C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auto" w:fill="auto"/>
            <w:noWrap/>
            <w:hideMark/>
          </w:tcPr>
          <w:p w14:paraId="643C88DF"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015BBB17"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3" w:type="dxa"/>
            <w:shd w:val="clear" w:color="000000" w:fill="D7D7D7"/>
            <w:noWrap/>
            <w:hideMark/>
          </w:tcPr>
          <w:p w14:paraId="3725204C"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992" w:type="dxa"/>
            <w:shd w:val="clear" w:color="000000" w:fill="D7D7D7"/>
            <w:noWrap/>
            <w:hideMark/>
          </w:tcPr>
          <w:p w14:paraId="2654CD44" w14:textId="77777777" w:rsidR="00154BB3" w:rsidRPr="00600B72" w:rsidRDefault="00154BB3" w:rsidP="00154BB3">
            <w:pPr>
              <w:spacing w:after="0" w:line="240" w:lineRule="auto"/>
              <w:jc w:val="right"/>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0</w:t>
            </w:r>
          </w:p>
        </w:tc>
        <w:tc>
          <w:tcPr>
            <w:tcW w:w="2551" w:type="dxa"/>
            <w:shd w:val="clear" w:color="auto" w:fill="auto"/>
            <w:hideMark/>
          </w:tcPr>
          <w:p w14:paraId="1E537DDA"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r w:rsidR="00154BB3" w:rsidRPr="00403E44" w14:paraId="535D3F3F" w14:textId="77777777" w:rsidTr="008B7C32">
        <w:trPr>
          <w:trHeight w:val="1215"/>
        </w:trPr>
        <w:tc>
          <w:tcPr>
            <w:tcW w:w="1418" w:type="dxa"/>
            <w:vMerge/>
            <w:vAlign w:val="center"/>
            <w:hideMark/>
          </w:tcPr>
          <w:p w14:paraId="6C52045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217C95E8"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образования</w:t>
            </w:r>
          </w:p>
        </w:tc>
        <w:tc>
          <w:tcPr>
            <w:tcW w:w="993" w:type="dxa"/>
            <w:shd w:val="clear" w:color="auto" w:fill="auto"/>
            <w:hideMark/>
          </w:tcPr>
          <w:p w14:paraId="438FB022"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7A64F3CC"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41.3</w:t>
            </w:r>
          </w:p>
        </w:tc>
        <w:tc>
          <w:tcPr>
            <w:tcW w:w="992" w:type="dxa"/>
            <w:shd w:val="clear" w:color="auto" w:fill="auto"/>
            <w:noWrap/>
            <w:hideMark/>
          </w:tcPr>
          <w:p w14:paraId="0DE9C516" w14:textId="0224F33E"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 xml:space="preserve">    89,6</w:t>
            </w:r>
          </w:p>
        </w:tc>
        <w:tc>
          <w:tcPr>
            <w:tcW w:w="993" w:type="dxa"/>
            <w:shd w:val="clear" w:color="auto" w:fill="auto"/>
            <w:noWrap/>
            <w:hideMark/>
          </w:tcPr>
          <w:p w14:paraId="5C3A86BA" w14:textId="09D2798F"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auto" w:fill="auto"/>
            <w:noWrap/>
            <w:hideMark/>
          </w:tcPr>
          <w:p w14:paraId="4C4F6E14" w14:textId="6398A20E"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87,6</w:t>
            </w:r>
          </w:p>
        </w:tc>
        <w:tc>
          <w:tcPr>
            <w:tcW w:w="992" w:type="dxa"/>
            <w:shd w:val="clear" w:color="auto" w:fill="auto"/>
            <w:noWrap/>
            <w:hideMark/>
          </w:tcPr>
          <w:p w14:paraId="1E3ECD4F" w14:textId="58D9B44C"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92,6</w:t>
            </w:r>
          </w:p>
        </w:tc>
        <w:tc>
          <w:tcPr>
            <w:tcW w:w="992" w:type="dxa"/>
            <w:shd w:val="clear" w:color="000000" w:fill="D7D7D7"/>
            <w:noWrap/>
            <w:hideMark/>
          </w:tcPr>
          <w:p w14:paraId="6A571395"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3" w:type="dxa"/>
            <w:shd w:val="clear" w:color="000000" w:fill="D7D7D7"/>
            <w:noWrap/>
            <w:hideMark/>
          </w:tcPr>
          <w:p w14:paraId="29972AB3"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000000" w:fill="D7D7D7"/>
            <w:noWrap/>
            <w:hideMark/>
          </w:tcPr>
          <w:p w14:paraId="274DDA43"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2551" w:type="dxa"/>
            <w:shd w:val="clear" w:color="auto" w:fill="auto"/>
            <w:hideMark/>
          </w:tcPr>
          <w:p w14:paraId="70BB0FE2" w14:textId="02B5491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r>
      <w:tr w:rsidR="00154BB3" w:rsidRPr="00403E44" w14:paraId="05DDEF4B" w14:textId="77777777" w:rsidTr="00FF5FD8">
        <w:trPr>
          <w:trHeight w:val="900"/>
        </w:trPr>
        <w:tc>
          <w:tcPr>
            <w:tcW w:w="1418" w:type="dxa"/>
            <w:vMerge/>
            <w:vAlign w:val="center"/>
            <w:hideMark/>
          </w:tcPr>
          <w:p w14:paraId="3B502E53"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0E0E0936"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муниципальными организациями в сфере социального обслуживания</w:t>
            </w:r>
          </w:p>
        </w:tc>
        <w:tc>
          <w:tcPr>
            <w:tcW w:w="993" w:type="dxa"/>
            <w:shd w:val="clear" w:color="auto" w:fill="auto"/>
            <w:hideMark/>
          </w:tcPr>
          <w:p w14:paraId="4B84150A"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2527F1DB"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41.4</w:t>
            </w:r>
          </w:p>
        </w:tc>
        <w:tc>
          <w:tcPr>
            <w:tcW w:w="992" w:type="dxa"/>
            <w:shd w:val="clear" w:color="auto" w:fill="auto"/>
            <w:noWrap/>
            <w:hideMark/>
          </w:tcPr>
          <w:p w14:paraId="08763481"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3" w:type="dxa"/>
            <w:shd w:val="clear" w:color="auto" w:fill="auto"/>
            <w:noWrap/>
            <w:hideMark/>
          </w:tcPr>
          <w:p w14:paraId="39C8F974"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auto" w:fill="auto"/>
            <w:noWrap/>
            <w:hideMark/>
          </w:tcPr>
          <w:p w14:paraId="6E16A0A5"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auto" w:fill="auto"/>
            <w:noWrap/>
            <w:hideMark/>
          </w:tcPr>
          <w:p w14:paraId="751DBB0C"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000000" w:fill="D7D7D7"/>
            <w:noWrap/>
            <w:hideMark/>
          </w:tcPr>
          <w:p w14:paraId="109DA4C9"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3" w:type="dxa"/>
            <w:shd w:val="clear" w:color="000000" w:fill="D7D7D7"/>
            <w:noWrap/>
            <w:hideMark/>
          </w:tcPr>
          <w:p w14:paraId="0AC77C61"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000000" w:fill="D7D7D7"/>
            <w:noWrap/>
            <w:hideMark/>
          </w:tcPr>
          <w:p w14:paraId="21FB420C"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2551" w:type="dxa"/>
            <w:shd w:val="clear" w:color="auto" w:fill="auto"/>
            <w:hideMark/>
          </w:tcPr>
          <w:p w14:paraId="3F2191AA"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r w:rsidR="00154BB3" w:rsidRPr="00FA0EA7" w14:paraId="6F0C89DE" w14:textId="77777777" w:rsidTr="00FF5FD8">
        <w:trPr>
          <w:trHeight w:val="600"/>
        </w:trPr>
        <w:tc>
          <w:tcPr>
            <w:tcW w:w="1418" w:type="dxa"/>
            <w:vMerge/>
            <w:vAlign w:val="center"/>
            <w:hideMark/>
          </w:tcPr>
          <w:p w14:paraId="2E31BD21"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p>
        </w:tc>
        <w:tc>
          <w:tcPr>
            <w:tcW w:w="2268" w:type="dxa"/>
            <w:shd w:val="clear" w:color="auto" w:fill="auto"/>
            <w:hideMark/>
          </w:tcPr>
          <w:p w14:paraId="45316D42" w14:textId="77777777" w:rsidR="00154BB3" w:rsidRPr="00600B72" w:rsidRDefault="00154BB3" w:rsidP="00154BB3">
            <w:pPr>
              <w:spacing w:after="0" w:line="240" w:lineRule="auto"/>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Результаты независимой оценки качества условий оказания услуг иными муниципальными организациями</w:t>
            </w:r>
          </w:p>
        </w:tc>
        <w:tc>
          <w:tcPr>
            <w:tcW w:w="993" w:type="dxa"/>
            <w:shd w:val="clear" w:color="auto" w:fill="auto"/>
            <w:hideMark/>
          </w:tcPr>
          <w:p w14:paraId="143967C1"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Балл</w:t>
            </w:r>
          </w:p>
        </w:tc>
        <w:tc>
          <w:tcPr>
            <w:tcW w:w="850" w:type="dxa"/>
            <w:shd w:val="clear" w:color="auto" w:fill="auto"/>
            <w:hideMark/>
          </w:tcPr>
          <w:p w14:paraId="794E045E" w14:textId="77777777" w:rsidR="00154BB3" w:rsidRPr="00600B72" w:rsidRDefault="00154BB3" w:rsidP="00154BB3">
            <w:pPr>
              <w:spacing w:after="0" w:line="240" w:lineRule="auto"/>
              <w:jc w:val="center"/>
              <w:rPr>
                <w:rFonts w:ascii="Times New Roman" w:eastAsia="Times New Roman" w:hAnsi="Times New Roman" w:cs="Times New Roman"/>
                <w:sz w:val="16"/>
                <w:szCs w:val="16"/>
                <w:lang w:eastAsia="ru-RU"/>
              </w:rPr>
            </w:pPr>
            <w:r w:rsidRPr="00600B72">
              <w:rPr>
                <w:rFonts w:ascii="Times New Roman" w:eastAsia="Times New Roman" w:hAnsi="Times New Roman" w:cs="Times New Roman"/>
                <w:sz w:val="16"/>
                <w:szCs w:val="16"/>
                <w:lang w:eastAsia="ru-RU"/>
              </w:rPr>
              <w:t>41.5</w:t>
            </w:r>
          </w:p>
        </w:tc>
        <w:tc>
          <w:tcPr>
            <w:tcW w:w="992" w:type="dxa"/>
            <w:shd w:val="clear" w:color="auto" w:fill="auto"/>
            <w:noWrap/>
            <w:hideMark/>
          </w:tcPr>
          <w:p w14:paraId="410A7F43"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3" w:type="dxa"/>
            <w:shd w:val="clear" w:color="auto" w:fill="auto"/>
            <w:noWrap/>
            <w:hideMark/>
          </w:tcPr>
          <w:p w14:paraId="4AC10395"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auto" w:fill="auto"/>
            <w:noWrap/>
            <w:hideMark/>
          </w:tcPr>
          <w:p w14:paraId="69B34797"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auto" w:fill="auto"/>
            <w:noWrap/>
            <w:hideMark/>
          </w:tcPr>
          <w:p w14:paraId="1DCE4B3E"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000000" w:fill="D7D7D7"/>
            <w:noWrap/>
            <w:hideMark/>
          </w:tcPr>
          <w:p w14:paraId="0E2945C5"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3" w:type="dxa"/>
            <w:shd w:val="clear" w:color="000000" w:fill="D7D7D7"/>
            <w:noWrap/>
            <w:hideMark/>
          </w:tcPr>
          <w:p w14:paraId="60664B8A"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992" w:type="dxa"/>
            <w:shd w:val="clear" w:color="000000" w:fill="D7D7D7"/>
            <w:noWrap/>
            <w:hideMark/>
          </w:tcPr>
          <w:p w14:paraId="4F6CD715" w14:textId="77777777" w:rsidR="00154BB3" w:rsidRPr="006A0418" w:rsidRDefault="00154BB3" w:rsidP="00154BB3">
            <w:pPr>
              <w:spacing w:after="0" w:line="240" w:lineRule="auto"/>
              <w:jc w:val="right"/>
              <w:rPr>
                <w:rFonts w:ascii="Times New Roman" w:eastAsia="Times New Roman" w:hAnsi="Times New Roman" w:cs="Times New Roman"/>
                <w:sz w:val="16"/>
                <w:szCs w:val="16"/>
                <w:lang w:eastAsia="ru-RU"/>
              </w:rPr>
            </w:pPr>
            <w:r w:rsidRPr="006A0418">
              <w:rPr>
                <w:rFonts w:ascii="Times New Roman" w:eastAsia="Times New Roman" w:hAnsi="Times New Roman" w:cs="Times New Roman"/>
                <w:sz w:val="16"/>
                <w:szCs w:val="16"/>
                <w:lang w:eastAsia="ru-RU"/>
              </w:rPr>
              <w:t>0</w:t>
            </w:r>
          </w:p>
        </w:tc>
        <w:tc>
          <w:tcPr>
            <w:tcW w:w="2551" w:type="dxa"/>
            <w:shd w:val="clear" w:color="auto" w:fill="auto"/>
            <w:hideMark/>
          </w:tcPr>
          <w:p w14:paraId="1D841454" w14:textId="77777777" w:rsidR="00154BB3" w:rsidRPr="00FA0EA7" w:rsidRDefault="00154BB3" w:rsidP="00154BB3">
            <w:pPr>
              <w:spacing w:after="0" w:line="240" w:lineRule="auto"/>
              <w:rPr>
                <w:rFonts w:ascii="Times New Roman" w:eastAsia="Times New Roman" w:hAnsi="Times New Roman" w:cs="Times New Roman"/>
                <w:color w:val="000000"/>
                <w:sz w:val="16"/>
                <w:szCs w:val="16"/>
                <w:lang w:eastAsia="ru-RU"/>
              </w:rPr>
            </w:pPr>
            <w:r w:rsidRPr="00FA0EA7">
              <w:rPr>
                <w:rFonts w:ascii="Times New Roman" w:eastAsia="Times New Roman" w:hAnsi="Times New Roman" w:cs="Times New Roman"/>
                <w:color w:val="000000"/>
                <w:sz w:val="16"/>
                <w:szCs w:val="16"/>
                <w:lang w:eastAsia="ru-RU"/>
              </w:rPr>
              <w:t> </w:t>
            </w:r>
          </w:p>
        </w:tc>
      </w:tr>
    </w:tbl>
    <w:p w14:paraId="65BF2D47" w14:textId="77777777" w:rsidR="00AC3FD2" w:rsidRDefault="00AC3FD2" w:rsidP="00AC3FD2">
      <w:pPr>
        <w:ind w:firstLine="708"/>
        <w:rPr>
          <w:rFonts w:ascii="Times New Roman" w:hAnsi="Times New Roman" w:cs="Times New Roman"/>
          <w:b/>
          <w:bCs/>
          <w:sz w:val="26"/>
          <w:szCs w:val="26"/>
        </w:rPr>
      </w:pPr>
    </w:p>
    <w:p w14:paraId="5FB35598" w14:textId="426731EA" w:rsidR="00AC3FD2" w:rsidRPr="00AC3FD2" w:rsidRDefault="00AC3FD2" w:rsidP="00AC3FD2">
      <w:pPr>
        <w:tabs>
          <w:tab w:val="left" w:pos="705"/>
        </w:tabs>
        <w:sectPr w:rsidR="00AC3FD2" w:rsidRPr="00AC3FD2" w:rsidSect="00AC3FD2">
          <w:pgSz w:w="16838" w:h="11906" w:orient="landscape"/>
          <w:pgMar w:top="709" w:right="1134" w:bottom="851" w:left="1134" w:header="709" w:footer="709" w:gutter="0"/>
          <w:cols w:space="708"/>
          <w:docGrid w:linePitch="360"/>
        </w:sectPr>
      </w:pPr>
      <w:r>
        <w:tab/>
      </w:r>
    </w:p>
    <w:p w14:paraId="65BFF0A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b/>
          <w:bCs/>
          <w:sz w:val="26"/>
          <w:szCs w:val="26"/>
        </w:rPr>
      </w:pPr>
      <w:r w:rsidRPr="00A122F9">
        <w:rPr>
          <w:rFonts w:ascii="Times New Roman" w:hAnsi="Times New Roman" w:cs="Times New Roman"/>
          <w:b/>
          <w:bCs/>
          <w:sz w:val="26"/>
          <w:szCs w:val="26"/>
        </w:rPr>
        <w:lastRenderedPageBreak/>
        <w:t xml:space="preserve">Раздел 3. Информация о внедрении информационных технологий </w:t>
      </w:r>
      <w:r w:rsidRPr="00A122F9">
        <w:rPr>
          <w:rFonts w:ascii="Times New Roman" w:hAnsi="Times New Roman" w:cs="Times New Roman"/>
          <w:b/>
          <w:bCs/>
          <w:sz w:val="26"/>
          <w:szCs w:val="26"/>
        </w:rPr>
        <w:br/>
        <w:t>и повышении информационной открытости, повышении качества предоставляемых муниципальных услуг.</w:t>
      </w:r>
    </w:p>
    <w:p w14:paraId="0F7F760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p>
    <w:p w14:paraId="27DEE792" w14:textId="1C863CD7" w:rsidR="00A122F9" w:rsidRPr="00A122F9" w:rsidRDefault="00A122F9" w:rsidP="00627505">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i/>
          <w:iCs/>
          <w:sz w:val="26"/>
          <w:szCs w:val="26"/>
        </w:rPr>
        <w:t>3.1.</w:t>
      </w:r>
      <w:r w:rsidRPr="00A122F9">
        <w:rPr>
          <w:rFonts w:ascii="Times New Roman" w:hAnsi="Times New Roman" w:cs="Times New Roman"/>
          <w:sz w:val="26"/>
          <w:szCs w:val="26"/>
        </w:rPr>
        <w:t xml:space="preserve"> Утратил силу. </w:t>
      </w:r>
      <w:hyperlink r:id="rId15" w:history="1">
        <w:r w:rsidRPr="00A122F9">
          <w:rPr>
            <w:rFonts w:ascii="Times New Roman" w:hAnsi="Times New Roman" w:cs="Times New Roman"/>
            <w:sz w:val="26"/>
            <w:szCs w:val="26"/>
          </w:rPr>
          <w:t>Распоряжение</w:t>
        </w:r>
      </w:hyperlink>
      <w:r w:rsidRPr="00A122F9">
        <w:rPr>
          <w:rFonts w:ascii="Times New Roman" w:hAnsi="Times New Roman" w:cs="Times New Roman"/>
          <w:sz w:val="26"/>
          <w:szCs w:val="26"/>
        </w:rPr>
        <w:t xml:space="preserve"> Правительства Ханты-Мансийского автономного округа</w:t>
      </w:r>
      <w:r w:rsidR="00627505">
        <w:rPr>
          <w:rFonts w:ascii="Times New Roman" w:hAnsi="Times New Roman" w:cs="Times New Roman"/>
          <w:sz w:val="26"/>
          <w:szCs w:val="26"/>
        </w:rPr>
        <w:t xml:space="preserve"> – Ю</w:t>
      </w:r>
      <w:r w:rsidRPr="00A122F9">
        <w:rPr>
          <w:rFonts w:ascii="Times New Roman" w:hAnsi="Times New Roman" w:cs="Times New Roman"/>
          <w:sz w:val="26"/>
          <w:szCs w:val="26"/>
        </w:rPr>
        <w:t>гры от 16.12.2016 № 692-рп.</w:t>
      </w:r>
    </w:p>
    <w:p w14:paraId="2D669266"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p>
    <w:p w14:paraId="530B1C09"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r w:rsidRPr="00A122F9">
        <w:rPr>
          <w:rFonts w:ascii="Times New Roman" w:hAnsi="Times New Roman" w:cs="Times New Roman"/>
          <w:i/>
          <w:iCs/>
          <w:sz w:val="26"/>
          <w:szCs w:val="26"/>
        </w:rPr>
        <w:t xml:space="preserve">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 </w:t>
      </w:r>
    </w:p>
    <w:p w14:paraId="6C3F5BF6" w14:textId="2F323AB3"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 целью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информация о деятельности органов местного самоуправления Нефтеюганского района размещается на официальном сайте </w:t>
      </w:r>
      <w:r w:rsidR="00B81238" w:rsidRPr="00B81238">
        <w:rPr>
          <w:rFonts w:ascii="Times New Roman" w:eastAsia="Calibri" w:hAnsi="Times New Roman" w:cs="Times New Roman"/>
          <w:sz w:val="26"/>
          <w:szCs w:val="26"/>
        </w:rPr>
        <w:t>(https://admoil.gosuslugi.ru/).</w:t>
      </w:r>
    </w:p>
    <w:p w14:paraId="55B7CC46" w14:textId="05A28093"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rPr>
        <w:t xml:space="preserve">В целях предоставления актуальной информации об инвестиционном потенциале муниципального образования Нефтеюганский район, механизмах поддержки инвестиционной деятельности, нормативно-правовой базе в сфере инвестиций, доступности информации для инвесторов и потенциальных инвестиционных партнеров функционирует «Инвестиционный портал Нефтеюганского района» </w:t>
      </w:r>
      <w:r w:rsidR="00B81238" w:rsidRPr="00B81238">
        <w:rPr>
          <w:rFonts w:ascii="Times New Roman" w:eastAsia="Calibri" w:hAnsi="Times New Roman" w:cs="Times New Roman"/>
          <w:sz w:val="26"/>
          <w:szCs w:val="26"/>
        </w:rPr>
        <w:t xml:space="preserve">(http://invest.admoil.ru/). </w:t>
      </w:r>
      <w:r w:rsidRPr="00A122F9">
        <w:rPr>
          <w:rFonts w:ascii="Times New Roman" w:eastAsia="Calibri" w:hAnsi="Times New Roman" w:cs="Times New Roman"/>
          <w:sz w:val="26"/>
          <w:szCs w:val="26"/>
        </w:rPr>
        <w:t>Это открытый и доступный ресурс, который предоставляет информацию об инвестиционном потенциале района на основе удобной интерактивной оболочки. Инвестиционный портал Нефтеюганского района - один из первичных инструментов оценки инвестиционного потенциала района потенциальными инвесторами.</w:t>
      </w:r>
    </w:p>
    <w:p w14:paraId="07248674" w14:textId="0C5EA65F"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rPr>
        <w:t xml:space="preserve">Также с целью обеспечения открытости и прозрачности бюджета и бюджетного процесса для населения функционирует информационный портал «Открытый бюджет для граждан» </w:t>
      </w:r>
      <w:r w:rsidR="00B81238" w:rsidRPr="00B81238">
        <w:rPr>
          <w:rFonts w:ascii="Times New Roman" w:eastAsia="Calibri" w:hAnsi="Times New Roman" w:cs="Times New Roman"/>
          <w:sz w:val="26"/>
          <w:szCs w:val="26"/>
        </w:rPr>
        <w:t xml:space="preserve">(http://budget.admoil.ru/) </w:t>
      </w:r>
      <w:proofErr w:type="gramStart"/>
      <w:r w:rsidRPr="00A122F9">
        <w:rPr>
          <w:rFonts w:ascii="Times New Roman" w:eastAsia="Calibri" w:hAnsi="Times New Roman" w:cs="Times New Roman"/>
          <w:sz w:val="26"/>
          <w:szCs w:val="26"/>
        </w:rPr>
        <w:t>- это</w:t>
      </w:r>
      <w:proofErr w:type="gramEnd"/>
      <w:r w:rsidRPr="00A122F9">
        <w:rPr>
          <w:rFonts w:ascii="Times New Roman" w:eastAsia="Calibri" w:hAnsi="Times New Roman" w:cs="Times New Roman"/>
          <w:sz w:val="26"/>
          <w:szCs w:val="26"/>
        </w:rPr>
        <w:t xml:space="preserve"> упрощенная версия бюджета, облегчающая гражданам его понимание, объясняющая планы и действия администрации Нефтеюганского района в течение бюджетного года.</w:t>
      </w:r>
    </w:p>
    <w:p w14:paraId="1F46CEA2"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rPr>
        <w:t>В рамках реализации федерального проекта «Цифровое государственное управление» национальной программы «Цифровая экономика» внедрена Платформа обратной связи (ПОС), которая позволяет гражданам через форму на Едином портале государственных и муниципальных услуг (далее – ЕПГУ), мобильное приложение «Госуслуги. Решаем вместе», а также виджеты на сайтах органов местного самоуправления Нефтеюганского района,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14:paraId="7A71E30E"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rPr>
        <w:t>Основная цель платформы –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14:paraId="7E2097DA"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p>
    <w:p w14:paraId="436E8B7E" w14:textId="1B9D9B9F" w:rsidR="00A122F9" w:rsidRPr="00A122F9" w:rsidRDefault="00A122F9" w:rsidP="00A122F9">
      <w:pPr>
        <w:spacing w:after="0" w:line="240" w:lineRule="auto"/>
        <w:ind w:firstLine="709"/>
        <w:jc w:val="both"/>
        <w:rPr>
          <w:rFonts w:ascii="Times New Roman" w:eastAsia="Calibri" w:hAnsi="Times New Roman" w:cs="Times New Roman"/>
          <w:sz w:val="26"/>
          <w:szCs w:val="26"/>
          <w:lang w:eastAsia="ru-RU"/>
        </w:rPr>
      </w:pPr>
      <w:r w:rsidRPr="00A122F9">
        <w:rPr>
          <w:rFonts w:ascii="Times New Roman" w:eastAsia="Calibri" w:hAnsi="Times New Roman" w:cs="Times New Roman"/>
          <w:sz w:val="26"/>
          <w:szCs w:val="26"/>
          <w:lang w:eastAsia="ru-RU"/>
        </w:rPr>
        <w:lastRenderedPageBreak/>
        <w:t>В 2023 году в адрес органов местного самоуправления Нефтеюганского района поступило 360 письменных, устных обращений и запросов граждан, содержащих 370 вопросов, что меньше на 5,0% обращений и на 7,0% вопросов к уровню 2022 года (374 обращений, 390 вопросов).</w:t>
      </w:r>
    </w:p>
    <w:p w14:paraId="02EA4003" w14:textId="04BEE173" w:rsidR="00A122F9" w:rsidRPr="00A122F9" w:rsidRDefault="00A122F9" w:rsidP="00A122F9">
      <w:pPr>
        <w:spacing w:after="0" w:line="240" w:lineRule="auto"/>
        <w:ind w:firstLine="709"/>
        <w:jc w:val="both"/>
        <w:rPr>
          <w:rFonts w:ascii="Times New Roman" w:eastAsia="Calibri" w:hAnsi="Times New Roman" w:cs="Times New Roman"/>
          <w:sz w:val="26"/>
          <w:szCs w:val="26"/>
          <w:lang w:eastAsia="ru-RU"/>
        </w:rPr>
      </w:pPr>
      <w:r w:rsidRPr="00A122F9">
        <w:rPr>
          <w:rFonts w:ascii="Times New Roman" w:eastAsia="Calibri" w:hAnsi="Times New Roman" w:cs="Times New Roman"/>
          <w:sz w:val="26"/>
          <w:szCs w:val="26"/>
          <w:lang w:eastAsia="ru-RU"/>
        </w:rPr>
        <w:t xml:space="preserve">Доля подачи обращений через интернет приемную ежегодно растет и в </w:t>
      </w:r>
      <w:r>
        <w:rPr>
          <w:rFonts w:ascii="Times New Roman" w:eastAsia="Calibri" w:hAnsi="Times New Roman" w:cs="Times New Roman"/>
          <w:sz w:val="26"/>
          <w:szCs w:val="26"/>
          <w:lang w:eastAsia="ru-RU"/>
        </w:rPr>
        <w:t xml:space="preserve">              </w:t>
      </w:r>
      <w:r w:rsidRPr="00A122F9">
        <w:rPr>
          <w:rFonts w:ascii="Times New Roman" w:eastAsia="Calibri" w:hAnsi="Times New Roman" w:cs="Times New Roman"/>
          <w:sz w:val="26"/>
          <w:szCs w:val="26"/>
          <w:lang w:eastAsia="ru-RU"/>
        </w:rPr>
        <w:t xml:space="preserve">2023 году составила 73,0%, что выше уровня 2022 года на 8,2%. </w:t>
      </w:r>
    </w:p>
    <w:p w14:paraId="6FA66165" w14:textId="77777777" w:rsidR="00A122F9" w:rsidRPr="00A122F9" w:rsidRDefault="00A122F9" w:rsidP="00A122F9">
      <w:pPr>
        <w:spacing w:after="0" w:line="240" w:lineRule="auto"/>
        <w:jc w:val="both"/>
        <w:rPr>
          <w:rFonts w:ascii="Times New Roman" w:eastAsia="Calibri" w:hAnsi="Times New Roman" w:cs="Times New Roman"/>
          <w:spacing w:val="-4"/>
          <w:sz w:val="26"/>
          <w:szCs w:val="26"/>
        </w:rPr>
      </w:pPr>
      <w:r w:rsidRPr="00A122F9">
        <w:rPr>
          <w:rFonts w:ascii="Times New Roman" w:eastAsia="Calibri" w:hAnsi="Times New Roman" w:cs="Times New Roman"/>
          <w:sz w:val="26"/>
          <w:szCs w:val="26"/>
          <w:lang w:eastAsia="ru-RU"/>
        </w:rPr>
        <w:t xml:space="preserve">         </w:t>
      </w:r>
      <w:r w:rsidRPr="00A122F9">
        <w:rPr>
          <w:rFonts w:ascii="Times New Roman" w:eastAsia="Calibri" w:hAnsi="Times New Roman" w:cs="Times New Roman"/>
          <w:spacing w:val="-4"/>
          <w:sz w:val="26"/>
          <w:szCs w:val="26"/>
        </w:rPr>
        <w:t>В ходе тематического анализа выявлено, что наибольшее количество вопросов, поставленных в обращениях граждан относится к разделу «Экономика» типового общероссийского тематического классификатора обращений граждан, организаций и общественных объединений, и составляет 45,0% от общего количества вопросов, что на 5,0% больше, по отношению к уровню 2022 года. Актуальными вопросами данного тематического раздела являются: комплексное благоустройство; выделение земельных участков под ИЖС; приватизация земельных участков; коллективное садоводство и огородничество; некоммерческие садовые товарищества.</w:t>
      </w:r>
    </w:p>
    <w:p w14:paraId="5CF34346" w14:textId="77777777" w:rsidR="00A122F9" w:rsidRPr="00A122F9" w:rsidRDefault="00A122F9" w:rsidP="00A122F9">
      <w:pPr>
        <w:widowControl w:val="0"/>
        <w:autoSpaceDE w:val="0"/>
        <w:autoSpaceDN w:val="0"/>
        <w:adjustRightInd w:val="0"/>
        <w:spacing w:after="0" w:line="240" w:lineRule="auto"/>
        <w:ind w:firstLine="567"/>
        <w:jc w:val="both"/>
        <w:rPr>
          <w:rFonts w:ascii="Times New Roman" w:eastAsia="Calibri" w:hAnsi="Times New Roman" w:cs="Times New Roman"/>
          <w:spacing w:val="-4"/>
          <w:sz w:val="26"/>
          <w:szCs w:val="26"/>
        </w:rPr>
      </w:pPr>
      <w:r w:rsidRPr="00A122F9">
        <w:rPr>
          <w:rFonts w:ascii="Times New Roman" w:eastAsia="Calibri" w:hAnsi="Times New Roman" w:cs="Times New Roman"/>
          <w:spacing w:val="-4"/>
          <w:sz w:val="26"/>
          <w:szCs w:val="26"/>
        </w:rPr>
        <w:t>На 17,0% к уровню 2022 года уменьшилось количество поступивших вопросов по тематическому разделу «Жилищно-коммунальная сфера» и составило 35,0%. Актуальными вопросами данного тематического раздела являются: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переселение из подвалов, бараков, коммуналок, общежитий, аварийных домов, ветхого жилья, санитарно-защитной зоны; предоставление субсидии на жилье; капитальный ремонт общего имущества.</w:t>
      </w:r>
    </w:p>
    <w:p w14:paraId="7B68AE44" w14:textId="77777777" w:rsidR="00A122F9" w:rsidRPr="00A122F9" w:rsidRDefault="00A122F9" w:rsidP="00A122F9">
      <w:pPr>
        <w:widowControl w:val="0"/>
        <w:autoSpaceDE w:val="0"/>
        <w:autoSpaceDN w:val="0"/>
        <w:adjustRightInd w:val="0"/>
        <w:spacing w:after="0" w:line="240" w:lineRule="auto"/>
        <w:ind w:firstLine="567"/>
        <w:jc w:val="both"/>
        <w:rPr>
          <w:rFonts w:ascii="Times New Roman" w:eastAsia="Calibri" w:hAnsi="Times New Roman" w:cs="Times New Roman"/>
          <w:spacing w:val="-4"/>
          <w:sz w:val="26"/>
          <w:szCs w:val="26"/>
        </w:rPr>
      </w:pPr>
      <w:r w:rsidRPr="00A122F9">
        <w:rPr>
          <w:rFonts w:ascii="Times New Roman" w:eastAsia="Calibri" w:hAnsi="Times New Roman" w:cs="Times New Roman"/>
          <w:spacing w:val="-4"/>
          <w:sz w:val="26"/>
          <w:szCs w:val="26"/>
        </w:rPr>
        <w:t xml:space="preserve">Тематические разделы: «Государство. Общество. Политика» составляет 11%, </w:t>
      </w:r>
      <w:r w:rsidRPr="00A122F9">
        <w:rPr>
          <w:rFonts w:ascii="Times New Roman" w:eastAsia="Calibri" w:hAnsi="Times New Roman" w:cs="Times New Roman"/>
          <w:b/>
          <w:spacing w:val="-4"/>
          <w:sz w:val="26"/>
          <w:szCs w:val="26"/>
        </w:rPr>
        <w:t>«</w:t>
      </w:r>
      <w:r w:rsidRPr="00A122F9">
        <w:rPr>
          <w:rFonts w:ascii="Times New Roman" w:eastAsia="Calibri" w:hAnsi="Times New Roman" w:cs="Times New Roman"/>
          <w:spacing w:val="-4"/>
          <w:sz w:val="26"/>
          <w:szCs w:val="26"/>
        </w:rPr>
        <w:t>Социальная сфера» 9,0%, «Оборона, безопасность, законность» составляет 0%. Актуальными вопросами данных тематических разделов являются: трудовые отношения; конфликтные ситуации; санитарно-эпидемиологическое благополучие населения; приватизация государственной и муниципальной собственности; предоставление документов и материалов.</w:t>
      </w:r>
    </w:p>
    <w:p w14:paraId="79F25EBC"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В соответствии с графиком личного приема граждан Главой Нефтеюганского района, заместителями Главы района в 2023 году:</w:t>
      </w:r>
    </w:p>
    <w:p w14:paraId="62295233"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проведено 35 личных приемов (в 2022 году 19 приемов);</w:t>
      </w:r>
    </w:p>
    <w:p w14:paraId="66434AC3" w14:textId="427CDB7D"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количество принятых граждан составило 78 человек (в 2022 году </w:t>
      </w:r>
      <w:r>
        <w:rPr>
          <w:rFonts w:ascii="Times New Roman" w:eastAsia="Times New Roman" w:hAnsi="Times New Roman" w:cs="Times New Roman"/>
          <w:sz w:val="26"/>
          <w:szCs w:val="26"/>
          <w:lang w:eastAsia="ru-RU"/>
        </w:rPr>
        <w:t xml:space="preserve">                                 </w:t>
      </w:r>
      <w:r w:rsidRPr="00A122F9">
        <w:rPr>
          <w:rFonts w:ascii="Times New Roman" w:eastAsia="Times New Roman" w:hAnsi="Times New Roman" w:cs="Times New Roman"/>
          <w:sz w:val="26"/>
          <w:szCs w:val="26"/>
          <w:lang w:eastAsia="ru-RU"/>
        </w:rPr>
        <w:t>36 человек);</w:t>
      </w:r>
    </w:p>
    <w:p w14:paraId="3E980BAF"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рассмотрено 72 обращения (в 2022 году 40 обращений).   </w:t>
      </w:r>
    </w:p>
    <w:p w14:paraId="6A05012D" w14:textId="77777777" w:rsidR="00A122F9" w:rsidRPr="00A122F9" w:rsidRDefault="00A122F9" w:rsidP="00A122F9">
      <w:pPr>
        <w:spacing w:after="0" w:line="240" w:lineRule="auto"/>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ab/>
        <w:t>Процент положительно рассмотренных вопросов, содержащихся в обращениях граждан, также увеличился в сравнении с 2022 годом на 6% и составил 43%.</w:t>
      </w:r>
    </w:p>
    <w:p w14:paraId="5D0B1BEC" w14:textId="77777777" w:rsidR="00A122F9" w:rsidRPr="00A122F9" w:rsidRDefault="00A122F9" w:rsidP="00A122F9">
      <w:pPr>
        <w:spacing w:after="0" w:line="240" w:lineRule="auto"/>
        <w:jc w:val="both"/>
        <w:rPr>
          <w:rFonts w:ascii="Times New Roman" w:eastAsia="Times New Roman" w:hAnsi="Times New Roman" w:cs="Times New Roman"/>
          <w:bCs/>
          <w:sz w:val="26"/>
          <w:szCs w:val="26"/>
          <w:lang w:eastAsia="ru-RU"/>
        </w:rPr>
      </w:pPr>
      <w:r w:rsidRPr="00A122F9">
        <w:rPr>
          <w:rFonts w:ascii="Times New Roman" w:eastAsia="Times New Roman" w:hAnsi="Times New Roman" w:cs="Times New Roman"/>
          <w:sz w:val="26"/>
          <w:szCs w:val="26"/>
          <w:lang w:eastAsia="ru-RU"/>
        </w:rPr>
        <w:t xml:space="preserve"> </w:t>
      </w:r>
      <w:r w:rsidRPr="00A122F9">
        <w:rPr>
          <w:rFonts w:ascii="Times New Roman" w:eastAsia="Times New Roman" w:hAnsi="Times New Roman" w:cs="Times New Roman"/>
          <w:sz w:val="26"/>
          <w:szCs w:val="26"/>
          <w:lang w:eastAsia="ru-RU"/>
        </w:rPr>
        <w:tab/>
      </w:r>
      <w:r w:rsidRPr="00A122F9">
        <w:rPr>
          <w:rFonts w:ascii="Times New Roman" w:eastAsia="Calibri" w:hAnsi="Times New Roman" w:cs="Times New Roman"/>
          <w:sz w:val="26"/>
          <w:szCs w:val="26"/>
        </w:rPr>
        <w:t>Для</w:t>
      </w:r>
      <w:r w:rsidRPr="00A122F9">
        <w:rPr>
          <w:rFonts w:ascii="Times New Roman" w:eastAsia="Times New Roman" w:hAnsi="Times New Roman" w:cs="Times New Roman"/>
          <w:bCs/>
          <w:sz w:val="26"/>
          <w:szCs w:val="26"/>
          <w:lang w:eastAsia="ru-RU"/>
        </w:rPr>
        <w:t xml:space="preserve"> решения актуальных задач и проблем, разъяснения полномочий по вопросам местного значения в отчетном периоде продолжала функционировать подсистема Единого портала государственных и муниципальных услуг, обеспечивающая интерактивное взаимодействие государства с гражданами и юридическими лицами. </w:t>
      </w:r>
    </w:p>
    <w:p w14:paraId="0E3B2140" w14:textId="77777777" w:rsidR="00A122F9" w:rsidRPr="00A122F9" w:rsidRDefault="00A122F9" w:rsidP="00A122F9">
      <w:pPr>
        <w:spacing w:after="0" w:line="240" w:lineRule="auto"/>
        <w:ind w:firstLine="708"/>
        <w:jc w:val="both"/>
        <w:rPr>
          <w:rFonts w:ascii="Times New Roman" w:eastAsia="Calibri" w:hAnsi="Times New Roman" w:cs="Times New Roman"/>
          <w:bCs/>
          <w:spacing w:val="-1"/>
          <w:sz w:val="26"/>
          <w:szCs w:val="26"/>
        </w:rPr>
      </w:pPr>
      <w:r w:rsidRPr="00A122F9">
        <w:rPr>
          <w:rFonts w:ascii="Times New Roman" w:eastAsia="Calibri" w:hAnsi="Times New Roman" w:cs="Times New Roman"/>
          <w:bCs/>
          <w:spacing w:val="-1"/>
          <w:sz w:val="26"/>
          <w:szCs w:val="26"/>
        </w:rPr>
        <w:t>Через Платформу обратной связи (далее – ПОС) по форме в Федеральной государственной информационной системе «Единый портал государственных и муниципальных услуг (функций)» (далее – «Госуслуги»), мобильное приложение «Госуслуги» граждане направляли сообщения в органы местного самоуправления Нефтеюганский район по широкому спектру вопросов, участвовали в опросах, голосованиях и общественных обсуждениях.</w:t>
      </w:r>
    </w:p>
    <w:p w14:paraId="0D77590A"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lastRenderedPageBreak/>
        <w:t>Всего в 2023 году через ПОС поступило 149 сообщений:</w:t>
      </w:r>
    </w:p>
    <w:p w14:paraId="369F7E5E"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Нефтеюганского района 13 сообщений;</w:t>
      </w:r>
    </w:p>
    <w:p w14:paraId="1FBFBCA9"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гп.Пойковский 108 сообщений;</w:t>
      </w:r>
    </w:p>
    <w:p w14:paraId="19B55113"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сп.Сингапай 5 сообщений;</w:t>
      </w:r>
    </w:p>
    <w:p w14:paraId="5BF409C9"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сп.Салым 3 сообщения;</w:t>
      </w:r>
    </w:p>
    <w:p w14:paraId="3C285397"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сп.Усть-Юган 3 сообщения;</w:t>
      </w:r>
    </w:p>
    <w:p w14:paraId="721B8D16"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администрацию сп.Каркатеевы 1 сообщение;</w:t>
      </w:r>
    </w:p>
    <w:p w14:paraId="26007EE7"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Департамент образования Нефтеюганского района 1 сообщение;</w:t>
      </w:r>
    </w:p>
    <w:p w14:paraId="7C112BC5"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ПМУП «Управление тепловодоснабжения» 12 сообщений;</w:t>
      </w:r>
    </w:p>
    <w:p w14:paraId="39C92C30"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в НРМУДО «Шахматная школа» 1 сообщение;</w:t>
      </w:r>
    </w:p>
    <w:p w14:paraId="75B0FE95"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МОБУ «Средняя общеобразовательная школа №1» гп.Пойковский                                     1</w:t>
      </w:r>
      <w:r w:rsidRPr="00A122F9">
        <w:t xml:space="preserve"> </w:t>
      </w:r>
      <w:r w:rsidRPr="00A122F9">
        <w:rPr>
          <w:rFonts w:ascii="Times New Roman" w:eastAsia="Times New Roman" w:hAnsi="Times New Roman" w:cs="Times New Roman"/>
          <w:sz w:val="26"/>
          <w:szCs w:val="26"/>
          <w:lang w:eastAsia="ru-RU"/>
        </w:rPr>
        <w:t>сообщение;</w:t>
      </w:r>
    </w:p>
    <w:p w14:paraId="22238F78"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 xml:space="preserve"> - МОБУ «Средняя общеобразовательная школа №4» гп.Пойковский                                      1 сообщение.</w:t>
      </w:r>
    </w:p>
    <w:p w14:paraId="4943B374" w14:textId="77777777" w:rsidR="00A122F9" w:rsidRPr="00A122F9" w:rsidRDefault="00A122F9" w:rsidP="00A122F9">
      <w:pPr>
        <w:spacing w:after="0" w:line="240" w:lineRule="auto"/>
        <w:ind w:firstLine="709"/>
        <w:jc w:val="both"/>
        <w:rPr>
          <w:rFonts w:ascii="Times New Roman" w:eastAsia="Times New Roman" w:hAnsi="Times New Roman" w:cs="Times New Roman"/>
          <w:bCs/>
          <w:sz w:val="26"/>
          <w:szCs w:val="26"/>
          <w:lang w:eastAsia="ru-RU"/>
        </w:rPr>
      </w:pPr>
      <w:r w:rsidRPr="00A122F9">
        <w:rPr>
          <w:rFonts w:ascii="Times New Roman" w:eastAsia="Times New Roman" w:hAnsi="Times New Roman" w:cs="Times New Roman"/>
          <w:bCs/>
          <w:sz w:val="26"/>
          <w:szCs w:val="26"/>
          <w:lang w:eastAsia="ru-RU"/>
        </w:rPr>
        <w:t xml:space="preserve">Чаще всего граждане сообщали о необходимости ремонта внутри дворовых дорог, несанкционированных свалках, мусоре на дорогах и во дворах, отсутствия качественной сотовой связи, освещения, отопления, изменения маршрутов следования общественного транспорта. </w:t>
      </w:r>
    </w:p>
    <w:p w14:paraId="45484035" w14:textId="77777777" w:rsidR="00A122F9" w:rsidRPr="00A122F9" w:rsidRDefault="00A122F9" w:rsidP="00A122F9">
      <w:pPr>
        <w:spacing w:after="0" w:line="240" w:lineRule="auto"/>
        <w:ind w:firstLine="709"/>
        <w:jc w:val="both"/>
        <w:rPr>
          <w:rFonts w:ascii="Times New Roman" w:eastAsia="Times New Roman" w:hAnsi="Times New Roman" w:cs="Times New Roman"/>
          <w:bCs/>
          <w:sz w:val="26"/>
          <w:szCs w:val="26"/>
          <w:lang w:eastAsia="ru-RU"/>
        </w:rPr>
      </w:pPr>
      <w:r w:rsidRPr="00A122F9">
        <w:rPr>
          <w:rFonts w:ascii="Times New Roman" w:eastAsia="Times New Roman" w:hAnsi="Times New Roman" w:cs="Times New Roman"/>
          <w:bCs/>
          <w:sz w:val="26"/>
          <w:szCs w:val="26"/>
          <w:lang w:eastAsia="ru-RU"/>
        </w:rPr>
        <w:t xml:space="preserve">Всем гражданам предоставлены исчерпывающие ответы согласно требованиям ПОС, в срок не превышающий календарных 30 дней, а для отдельных категорий сообщений (Фаст-трек) 10 дней. </w:t>
      </w:r>
    </w:p>
    <w:p w14:paraId="7FD40DA3"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Министерством цифрового развития, связи и массовых коммуникаций Российской Федерации внедрена методика расчета рейтинга муниципальных образований в ПОС.</w:t>
      </w:r>
    </w:p>
    <w:p w14:paraId="051C24FF" w14:textId="77777777" w:rsidR="00A122F9" w:rsidRPr="00A122F9" w:rsidRDefault="00A122F9" w:rsidP="00A122F9">
      <w:pPr>
        <w:spacing w:after="0" w:line="240" w:lineRule="auto"/>
        <w:ind w:firstLine="709"/>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Ежемесячно Центром Управления регионом ХМАО – Югры формируется рейтинг на основании количественных и качественных показателей внедрения. В               2023 году администрация Нефтеюганского района занимала 6 место по своевременному и качественному рассмотрению сообщений граждан и организаций, поступивших на ПОС, среди всех муниципальных образований ХМАО – Югры.</w:t>
      </w:r>
    </w:p>
    <w:p w14:paraId="23C40B01" w14:textId="77777777" w:rsidR="00A122F9" w:rsidRPr="00A122F9" w:rsidRDefault="00A122F9" w:rsidP="00A122F9">
      <w:pPr>
        <w:spacing w:after="0" w:line="240" w:lineRule="auto"/>
        <w:ind w:firstLine="708"/>
        <w:jc w:val="both"/>
        <w:rPr>
          <w:rFonts w:ascii="Times New Roman" w:eastAsia="Times New Roman" w:hAnsi="Times New Roman" w:cs="Times New Roman"/>
          <w:sz w:val="26"/>
          <w:szCs w:val="26"/>
          <w:lang w:eastAsia="ru-RU"/>
        </w:rPr>
      </w:pPr>
      <w:r w:rsidRPr="00A122F9">
        <w:rPr>
          <w:rFonts w:ascii="Times New Roman" w:eastAsia="Times New Roman" w:hAnsi="Times New Roman" w:cs="Times New Roman"/>
          <w:sz w:val="26"/>
          <w:szCs w:val="26"/>
          <w:lang w:eastAsia="ru-RU"/>
        </w:rPr>
        <w:t>Продолжена работа по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по предоставлению информации органами и учреждениями в течение всего года и составляет 100,0%.</w:t>
      </w:r>
    </w:p>
    <w:p w14:paraId="32E6D9F7" w14:textId="656F98E7" w:rsidR="00A122F9" w:rsidRDefault="00A122F9" w:rsidP="00A122F9">
      <w:pPr>
        <w:tabs>
          <w:tab w:val="left" w:pos="639"/>
        </w:tabs>
        <w:spacing w:after="200" w:line="240" w:lineRule="auto"/>
        <w:jc w:val="both"/>
        <w:rPr>
          <w:rFonts w:ascii="Times New Roman" w:eastAsia="Times New Roman" w:hAnsi="Times New Roman" w:cs="Times New Roman"/>
          <w:spacing w:val="1"/>
          <w:sz w:val="26"/>
          <w:szCs w:val="26"/>
          <w:lang w:eastAsia="ru-RU"/>
        </w:rPr>
      </w:pPr>
      <w:r w:rsidRPr="00A122F9">
        <w:rPr>
          <w:rFonts w:ascii="Times New Roman" w:eastAsia="Times New Roman" w:hAnsi="Times New Roman" w:cs="Times New Roman"/>
          <w:sz w:val="26"/>
          <w:szCs w:val="26"/>
          <w:lang w:eastAsia="ru-RU"/>
        </w:rPr>
        <w:tab/>
        <w:t xml:space="preserve">Также в 2023 году продолжена практика встреч Главы района с гражданами, трудовыми коллективами, общественными организациями, представителями организаций, учреждений Нефтеюганского района. </w:t>
      </w:r>
      <w:r w:rsidRPr="00A122F9">
        <w:rPr>
          <w:rFonts w:ascii="Times New Roman" w:eastAsia="Times New Roman" w:hAnsi="Times New Roman" w:cs="Times New Roman"/>
          <w:spacing w:val="1"/>
          <w:sz w:val="26"/>
          <w:szCs w:val="26"/>
          <w:lang w:eastAsia="ru-RU"/>
        </w:rPr>
        <w:t>Всего в 2023 году проведено 16 выездных встреч с жителями всех поселений Нефтеюганского района, в которых приняли участие около 1 тысячи человек.</w:t>
      </w:r>
    </w:p>
    <w:p w14:paraId="5D449FD6"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r w:rsidRPr="00A122F9">
        <w:rPr>
          <w:rFonts w:ascii="Times New Roman" w:hAnsi="Times New Roman" w:cs="Times New Roman"/>
          <w:i/>
          <w:iCs/>
          <w:sz w:val="26"/>
          <w:szCs w:val="26"/>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медийная (публикации и выступления в СМИ) активность глав городских округов и муниципальных районов автономного округа, работа с населением. </w:t>
      </w:r>
    </w:p>
    <w:p w14:paraId="2CB4BD0B"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lastRenderedPageBreak/>
        <w:t xml:space="preserve">В целях повышения информационной открытости в 2023 году проведен комплекс мероприятий по обеспечению доступа к информации о деятельности органов местного самоуправления Нефтеюганского района, совершенствованию системы взаимодействия со средствами массовой информации. </w:t>
      </w:r>
    </w:p>
    <w:p w14:paraId="2CC522D8"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на официальном сайте размещено 3 100 информационных материалов и документов, в том числе нормативно-правовых актов: решения Думы Нефтеюганского района, постановления и распоряжения администрации и главы района. Также выносились на обсуждение проекты муниципальных правовых актов по вопросам местного значения, что позволило жителям района высказать свои предложения, принять участие в независимой антикоррупционной экспертизе. Ежедневно обновлялась новостная лента, где размещены информационные материалы о работе органов власти и жизнедеятельности района.</w:t>
      </w:r>
    </w:p>
    <w:p w14:paraId="21D675C3"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В целях выстраивания эффективной обратной связи и тесного взаимодействия с населением на официальном сайте функционируют такие разделы, как «Интернет приемная», «Обращения граждан», размещаются графики личного приема граждан главой Нефтеюганского района и заместителями главы по направлениям, а также график выездных личных приемов граждан по месту жительства руководителями органов администрации района. </w:t>
      </w:r>
    </w:p>
    <w:p w14:paraId="3B7083A5" w14:textId="6A031856"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2023 году официальный ресурс района посетили 100 365 человек (в 2022 году  91 212 человек, в 2021 году 95 639 человек, в 2020 году 88 863 человек, в 2019 году</w:t>
      </w:r>
      <w:r>
        <w:rPr>
          <w:rFonts w:ascii="Times New Roman" w:hAnsi="Times New Roman" w:cs="Times New Roman"/>
          <w:sz w:val="26"/>
          <w:szCs w:val="26"/>
        </w:rPr>
        <w:t xml:space="preserve"> </w:t>
      </w:r>
      <w:r w:rsidRPr="00A122F9">
        <w:rPr>
          <w:rFonts w:ascii="Times New Roman" w:hAnsi="Times New Roman" w:cs="Times New Roman"/>
          <w:sz w:val="26"/>
          <w:szCs w:val="26"/>
        </w:rPr>
        <w:t>76 300 человек, в 2018 году 73 864 человека). По результатам голосования, проводимого на официальном сайте в течение 2023 года 94,0% пользователей ресурса удовлетворены качеством поиска и получения информации на сайте (в 2022 году 92%, в 2021 году 91,7%, в 2020 году 90,5%, в 2019 году 89,6%, в 2018 году 70,9%).</w:t>
      </w:r>
    </w:p>
    <w:p w14:paraId="6677278E"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Информация о деятельности органов местного самоуправления и социально-экономическом развитии Нефтеюганского района доводится до сведения жителей района через региональную общественно-политическую газету «Югорское обозрение» – официального печатного средства массовой информации органов местного самоуправления Нефтеюганского района. В 2023 году вышло 52 номера газеты. </w:t>
      </w:r>
    </w:p>
    <w:p w14:paraId="043571E5"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Велась системная работа с российским журналом «Муниципалитет» и региональными средствами массовой информации: ГТРК «Югория», ОТРК «Югра», ТРК «Сибирь», общественно-политической газетой «Новости Югры».</w:t>
      </w:r>
    </w:p>
    <w:p w14:paraId="115F029C"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Еженедельно разрабатывается комплексный план по освещению в СМИ деятельности власти, который включает актуальные и социально значимые для населения района темы и мероприятия. Кроме этого, в течение года разработаны и реализованы совместно со средствами массовой информации более пятнадцати тематических медиа-планов по таким важным направлениям деятельности органов местного самоуправления, как реализация национальных проектов, профилактика экстремизма и it-преступлений, гармонизация межнациональных и межконфессиональных отношений, противодействие терроризму, профилактика коррупции, развитие социально ориентированных некоммерческих организаций, создание комфортной городской среды и т.д. </w:t>
      </w:r>
    </w:p>
    <w:p w14:paraId="04F3D8CB"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lastRenderedPageBreak/>
        <w:t>Эффективным механизмом по повышению информационной открытости органов местного самоуправления в 2023 году стала работа в социальных сетях. Ежедневно обновлялась информация в персональных аккаунтах Главы Нефтеюганского района и на официальных страницах администрации Нефтеюганского района в социальных сетях «ВКонтакте» и «Одноклассники», в мессенджерах Viber и Telegram. В 2023 году в социальных сетях размещено 725 постов о работе органов местного самоуправления Нефтеюганского района.</w:t>
      </w:r>
    </w:p>
    <w:p w14:paraId="19D0871D"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 В 2023 году продолжена практика проведения прямых эфиров главы района в соцсетях. Она позволила поддерживать обратную связь с населением и оперативно реагировать на обращения граждан. Проведено 11 прямых эфиров, в ходе которых глава ответила на 120 вопросов. Ответы на наиболее актуальные вопросы размещались в газете «Югорское обозрение» и в эфире ТРК «Сибирь». Кроме этого, через систему мониторинга «Инцидент менеджмент» выявлены и даны ответы на 1 023 обращения граждан, поступившие через социальные сети.</w:t>
      </w:r>
    </w:p>
    <w:p w14:paraId="6FDC332E"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Таким образом, проводимую в течение 2023 года работу по обеспечению доступности информации о деятельности органов местного самоуправления, можно считать эффективной. Об этом свидетельствуют результаты опроса граждан, проведенного в поселениях в соответствии с решением Думы Нефтеюганского района от 24.10.2023 № 955</w:t>
      </w:r>
      <w:r w:rsidRPr="00A122F9">
        <w:t xml:space="preserve"> </w:t>
      </w:r>
      <w:r w:rsidRPr="00A122F9">
        <w:rPr>
          <w:rFonts w:ascii="Times New Roman" w:hAnsi="Times New Roman" w:cs="Times New Roman"/>
          <w:sz w:val="26"/>
          <w:szCs w:val="26"/>
        </w:rPr>
        <w:t>«О назначении опроса граждан в Нефтеюганском районе». 99,4 % жителей ответили, что достаточно информированы о деятельности органов местного самоуправления Нефтеюганского района.</w:t>
      </w:r>
    </w:p>
    <w:p w14:paraId="6DA46F2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p>
    <w:p w14:paraId="58485C44"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i/>
          <w:iCs/>
          <w:sz w:val="26"/>
          <w:szCs w:val="26"/>
        </w:rPr>
      </w:pPr>
      <w:r w:rsidRPr="00A122F9">
        <w:rPr>
          <w:rFonts w:ascii="Times New Roman" w:hAnsi="Times New Roman" w:cs="Times New Roman"/>
          <w:i/>
          <w:iCs/>
          <w:sz w:val="26"/>
          <w:szCs w:val="26"/>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p w14:paraId="6B0892B6" w14:textId="77777777" w:rsidR="00A122F9" w:rsidRPr="00A122F9" w:rsidRDefault="00A122F9" w:rsidP="00A122F9">
      <w:pPr>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Внедрение современных информационных и коммуникационных технологий, инструментов электронного правительства все более востребованы жителями Нефтеюганского муниципального района. С каждым годом совершенствуется механизм предоставления государственных и муниципальных услуг, обеспечивается доступ граждан как к технологиям в целом, так и к услугам и сервисам.</w:t>
      </w:r>
    </w:p>
    <w:p w14:paraId="42F1538B" w14:textId="77777777" w:rsidR="00A122F9" w:rsidRPr="00A122F9" w:rsidRDefault="00A122F9" w:rsidP="00A122F9">
      <w:pPr>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За предоставлением государственных и муниципальных услуг жители района могут обратиться лично в органы местного самоуправления Нефтеюганского района, в подразделения многофункционального центра предоставления государственных и муниципальных услуг (далее – МФЦ), расположенные городском и сельских поселениях района и в г. Нефтеюганск (для граждан в МФЦ предусмотрена зона самообслуживания с возможностью выхода на ЕПГУ, также в МФЦ осуществляется регистрация граждан и подтверждение учетной записи на ЕПГУ).</w:t>
      </w:r>
    </w:p>
    <w:p w14:paraId="3F1EC60D" w14:textId="77777777" w:rsidR="00A122F9" w:rsidRPr="00A122F9" w:rsidRDefault="00A122F9" w:rsidP="00A122F9">
      <w:pPr>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настоящее время, не выходя из дома, можно подать заявление в электронной форме посредством ЕПГУ на предоставление массовых социально значимых государственных и муниципальных услуг в таких приоритетных сферах как образование, строительство, земельные отношения, архив, ЗАГС и другие, так и получить результат.</w:t>
      </w:r>
    </w:p>
    <w:p w14:paraId="1AA0B04D" w14:textId="77777777" w:rsidR="00A122F9" w:rsidRPr="00A122F9" w:rsidRDefault="00A122F9" w:rsidP="00A122F9">
      <w:pPr>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lastRenderedPageBreak/>
        <w:t>В 2023 году через ЕПГУ жителям района предоставлено 42 236 услуги (46,4% от общего числа предоставленных услуг). Непосредственно в органы местного самоуправления Нефтеюганского района обращений поступило гораздо меньше                7 474 обращений (8,2% от общего числа предоставленных услуг). Это свидетельствует о том, что внедрение современных информационных технологий, инструментов электронного правительства все более востребованы жителями Нефтеюганского района.</w:t>
      </w:r>
    </w:p>
    <w:p w14:paraId="219829B4" w14:textId="77777777" w:rsidR="00A122F9" w:rsidRPr="00A122F9" w:rsidRDefault="00A122F9" w:rsidP="00A122F9">
      <w:pPr>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Указом Президента Российской Федерации от 21.07.2020 № 474 «О национальных целях развития Российской Федерации на период до 2030 года» сформированы национальные цели и установлены целевые показатели, один из которых увеличение доли массовых социально значимых услуг, доступных в электронном виде, до 95,0% к 2030 году. В Нефтеюганском муниципальном районе ведётся активная работа по достижению данного показателя. На начало 2024 года переведены в электронный вид более 80,0% муниципальных услуг.</w:t>
      </w:r>
    </w:p>
    <w:p w14:paraId="6584ACEA" w14:textId="77777777" w:rsidR="00A122F9" w:rsidRPr="00A122F9" w:rsidRDefault="00A122F9" w:rsidP="00A122F9">
      <w:pPr>
        <w:spacing w:after="0" w:line="240" w:lineRule="auto"/>
        <w:ind w:firstLine="709"/>
        <w:jc w:val="both"/>
        <w:rPr>
          <w:rFonts w:ascii="Times New Roman" w:hAnsi="Times New Roman"/>
          <w:bCs/>
          <w:sz w:val="26"/>
          <w:szCs w:val="26"/>
        </w:rPr>
      </w:pPr>
      <w:r w:rsidRPr="00A122F9">
        <w:rPr>
          <w:rFonts w:ascii="Times New Roman" w:hAnsi="Times New Roman"/>
          <w:bCs/>
          <w:sz w:val="26"/>
          <w:szCs w:val="26"/>
        </w:rPr>
        <w:t>В области физической культуры и спорта.</w:t>
      </w:r>
    </w:p>
    <w:p w14:paraId="2DEA74A3" w14:textId="77777777" w:rsidR="00A122F9" w:rsidRPr="00A122F9" w:rsidRDefault="00A122F9" w:rsidP="00A122F9">
      <w:pPr>
        <w:spacing w:after="0" w:line="240" w:lineRule="auto"/>
        <w:ind w:firstLine="709"/>
        <w:jc w:val="both"/>
        <w:rPr>
          <w:rFonts w:ascii="Times New Roman" w:hAnsi="Times New Roman"/>
          <w:bCs/>
          <w:sz w:val="26"/>
          <w:szCs w:val="26"/>
        </w:rPr>
      </w:pPr>
      <w:r w:rsidRPr="00A122F9">
        <w:rPr>
          <w:rFonts w:ascii="Times New Roman" w:hAnsi="Times New Roman"/>
          <w:bCs/>
          <w:sz w:val="26"/>
          <w:szCs w:val="26"/>
        </w:rPr>
        <w:t>В Нефтеюганском районе особое внимание уделяется улучшению физического состояния жителей района и, в первую очередь, молодого поколения, развитию массовой физической культуры и спорта.</w:t>
      </w:r>
    </w:p>
    <w:p w14:paraId="16894CB6"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lang w:val="x-none"/>
        </w:rPr>
        <w:t>Для реализации мер по повышению качества предоставляемых населению муниципальных услуг производилось информирование населения о предоставляемых услугах, о вновь вводимых направлениях деятельности и создаваемых группах по видам спорта, в том числе с использованием средств телефонной и сотовой связи, размещения на информационных стендах спортивных сооружений и в средствах массовой информации и официальном сайте</w:t>
      </w:r>
      <w:r w:rsidRPr="00A122F9">
        <w:rPr>
          <w:rFonts w:ascii="Times New Roman" w:eastAsia="Calibri" w:hAnsi="Times New Roman" w:cs="Times New Roman"/>
          <w:sz w:val="26"/>
          <w:szCs w:val="26"/>
        </w:rPr>
        <w:t xml:space="preserve"> органов местного самоуправления</w:t>
      </w:r>
      <w:r w:rsidRPr="00A122F9">
        <w:rPr>
          <w:rFonts w:ascii="Times New Roman" w:eastAsia="Calibri" w:hAnsi="Times New Roman" w:cs="Times New Roman"/>
          <w:sz w:val="26"/>
          <w:szCs w:val="26"/>
          <w:lang w:val="x-none"/>
        </w:rPr>
        <w:t xml:space="preserve"> администрации Нефтеюганского района и подведомственных учреждений Департамента культуры и спорта</w:t>
      </w:r>
      <w:r w:rsidRPr="00A122F9">
        <w:rPr>
          <w:rFonts w:ascii="Times New Roman" w:eastAsia="Calibri" w:hAnsi="Times New Roman" w:cs="Times New Roman"/>
          <w:sz w:val="26"/>
          <w:szCs w:val="26"/>
        </w:rPr>
        <w:t xml:space="preserve"> Нефтеюганского района</w:t>
      </w:r>
      <w:r w:rsidRPr="00A122F9">
        <w:rPr>
          <w:rFonts w:ascii="Times New Roman" w:eastAsia="Calibri" w:hAnsi="Times New Roman" w:cs="Times New Roman"/>
          <w:sz w:val="26"/>
          <w:szCs w:val="26"/>
          <w:lang w:val="x-none"/>
        </w:rPr>
        <w:t>.</w:t>
      </w:r>
    </w:p>
    <w:p w14:paraId="2C509E23"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lang w:val="x-none"/>
        </w:rPr>
        <w:t xml:space="preserve">Во всех поселениях Нефтеюганского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наиболее полного развития своих способностей. 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14:paraId="2BCF6B26"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rPr>
        <w:t xml:space="preserve">- </w:t>
      </w:r>
      <w:r w:rsidRPr="00A122F9">
        <w:rPr>
          <w:rFonts w:ascii="Times New Roman" w:eastAsia="Calibri" w:hAnsi="Times New Roman" w:cs="Times New Roman"/>
          <w:sz w:val="26"/>
          <w:szCs w:val="26"/>
          <w:lang w:val="x-none"/>
        </w:rPr>
        <w:t xml:space="preserve">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14:paraId="4F4E60C1"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rPr>
        <w:t xml:space="preserve">- </w:t>
      </w:r>
      <w:r w:rsidRPr="00A122F9">
        <w:rPr>
          <w:rFonts w:ascii="Times New Roman" w:eastAsia="Calibri" w:hAnsi="Times New Roman" w:cs="Times New Roman"/>
          <w:sz w:val="26"/>
          <w:szCs w:val="26"/>
          <w:lang w:val="x-none"/>
        </w:rPr>
        <w:t xml:space="preserve">территориальном (занятия организованы в жилых районах, что минимизирует транспортные потребности и снижает сопутствующие издержки); </w:t>
      </w:r>
    </w:p>
    <w:p w14:paraId="0CE29EB0"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rPr>
        <w:t xml:space="preserve">- </w:t>
      </w:r>
      <w:r w:rsidRPr="00A122F9">
        <w:rPr>
          <w:rFonts w:ascii="Times New Roman" w:eastAsia="Calibri" w:hAnsi="Times New Roman" w:cs="Times New Roman"/>
          <w:sz w:val="26"/>
          <w:szCs w:val="26"/>
          <w:lang w:val="x-none"/>
        </w:rPr>
        <w:t>стоимостном (занятия организованы для всех возрастных групп и социальных категорий населения (в том числе: бесплатно для определённых возрастных групп).</w:t>
      </w:r>
    </w:p>
    <w:p w14:paraId="6CEE7FDB"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lang w:val="x-none"/>
        </w:rPr>
        <w:t>На платной основе осуществлялся прокат спортивного инвентаря</w:t>
      </w:r>
      <w:r w:rsidRPr="00A122F9">
        <w:rPr>
          <w:rFonts w:ascii="Times New Roman" w:eastAsia="Calibri" w:hAnsi="Times New Roman" w:cs="Times New Roman"/>
          <w:sz w:val="26"/>
          <w:szCs w:val="26"/>
        </w:rPr>
        <w:t>:</w:t>
      </w:r>
      <w:r w:rsidRPr="00A122F9">
        <w:rPr>
          <w:rFonts w:ascii="Times New Roman" w:eastAsia="Calibri" w:hAnsi="Times New Roman" w:cs="Times New Roman"/>
          <w:sz w:val="26"/>
          <w:szCs w:val="26"/>
          <w:lang w:val="x-none"/>
        </w:rPr>
        <w:t xml:space="preserve"> лыжный инвентарь, коньки, тренажерный зал </w:t>
      </w:r>
      <w:r w:rsidRPr="00A122F9">
        <w:rPr>
          <w:rFonts w:ascii="Times New Roman" w:eastAsia="Calibri" w:hAnsi="Times New Roman" w:cs="Times New Roman"/>
          <w:sz w:val="26"/>
          <w:szCs w:val="26"/>
        </w:rPr>
        <w:t xml:space="preserve">в </w:t>
      </w:r>
      <w:r w:rsidRPr="00A122F9">
        <w:rPr>
          <w:rFonts w:ascii="Times New Roman" w:eastAsia="Calibri" w:hAnsi="Times New Roman" w:cs="Times New Roman"/>
          <w:sz w:val="26"/>
          <w:szCs w:val="26"/>
          <w:lang w:val="x-none"/>
        </w:rPr>
        <w:t>БУНР «</w:t>
      </w:r>
      <w:r w:rsidRPr="00A122F9">
        <w:rPr>
          <w:rFonts w:ascii="Times New Roman" w:eastAsia="Calibri" w:hAnsi="Times New Roman" w:cs="Times New Roman"/>
          <w:sz w:val="26"/>
          <w:szCs w:val="26"/>
        </w:rPr>
        <w:t xml:space="preserve">Центр спорта и культуры» </w:t>
      </w:r>
      <w:r w:rsidRPr="00A122F9">
        <w:rPr>
          <w:rFonts w:ascii="Times New Roman" w:eastAsia="Calibri" w:hAnsi="Times New Roman" w:cs="Times New Roman"/>
          <w:sz w:val="26"/>
          <w:szCs w:val="26"/>
          <w:lang w:val="x-none"/>
        </w:rPr>
        <w:lastRenderedPageBreak/>
        <w:t>гп.Пойковский</w:t>
      </w:r>
      <w:r w:rsidRPr="00A122F9">
        <w:rPr>
          <w:rFonts w:ascii="Times New Roman" w:eastAsia="Calibri" w:hAnsi="Times New Roman" w:cs="Times New Roman"/>
          <w:sz w:val="26"/>
          <w:szCs w:val="26"/>
        </w:rPr>
        <w:t xml:space="preserve"> (далее – БУ НР «ЦСК»</w:t>
      </w:r>
      <w:r w:rsidRPr="00A122F9">
        <w:rPr>
          <w:rFonts w:ascii="Times New Roman" w:eastAsia="Calibri" w:hAnsi="Times New Roman" w:cs="Times New Roman"/>
          <w:sz w:val="26"/>
          <w:szCs w:val="26"/>
          <w:lang w:val="x-none"/>
        </w:rPr>
        <w:t xml:space="preserve">), плавательный бассейн </w:t>
      </w:r>
      <w:r w:rsidRPr="00A122F9">
        <w:rPr>
          <w:rFonts w:ascii="Times New Roman" w:eastAsia="Calibri" w:hAnsi="Times New Roman" w:cs="Times New Roman"/>
          <w:sz w:val="26"/>
          <w:szCs w:val="26"/>
        </w:rPr>
        <w:t xml:space="preserve">в </w:t>
      </w:r>
      <w:r w:rsidRPr="00A122F9">
        <w:rPr>
          <w:rFonts w:ascii="Times New Roman" w:eastAsia="Calibri" w:hAnsi="Times New Roman" w:cs="Times New Roman"/>
          <w:sz w:val="26"/>
          <w:szCs w:val="26"/>
          <w:lang w:val="x-none"/>
        </w:rPr>
        <w:t>НРБУ</w:t>
      </w:r>
      <w:r w:rsidRPr="00A122F9">
        <w:rPr>
          <w:rFonts w:ascii="Times New Roman" w:eastAsia="Calibri" w:hAnsi="Times New Roman" w:cs="Times New Roman"/>
          <w:sz w:val="26"/>
          <w:szCs w:val="26"/>
        </w:rPr>
        <w:t xml:space="preserve"> ДО</w:t>
      </w:r>
      <w:r w:rsidRPr="00A122F9">
        <w:rPr>
          <w:rFonts w:ascii="Times New Roman" w:eastAsia="Calibri" w:hAnsi="Times New Roman" w:cs="Times New Roman"/>
          <w:sz w:val="26"/>
          <w:szCs w:val="26"/>
          <w:lang w:val="x-none"/>
        </w:rPr>
        <w:t xml:space="preserve"> СШ «Нептун» гп.Пойковский. </w:t>
      </w:r>
    </w:p>
    <w:p w14:paraId="14ABDE10"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rPr>
      </w:pPr>
      <w:r w:rsidRPr="00A122F9">
        <w:rPr>
          <w:rFonts w:ascii="Times New Roman" w:eastAsia="Calibri" w:hAnsi="Times New Roman" w:cs="Times New Roman"/>
          <w:sz w:val="26"/>
          <w:szCs w:val="26"/>
          <w:lang w:val="x-none"/>
        </w:rPr>
        <w:t xml:space="preserve">На территории Нефтеюганского района проживает 1 </w:t>
      </w:r>
      <w:r w:rsidRPr="00A122F9">
        <w:rPr>
          <w:rFonts w:ascii="Times New Roman" w:eastAsia="Calibri" w:hAnsi="Times New Roman" w:cs="Times New Roman"/>
          <w:sz w:val="26"/>
          <w:szCs w:val="26"/>
        </w:rPr>
        <w:t>207</w:t>
      </w:r>
      <w:r w:rsidRPr="00A122F9">
        <w:rPr>
          <w:rFonts w:ascii="Times New Roman" w:eastAsia="Calibri" w:hAnsi="Times New Roman" w:cs="Times New Roman"/>
          <w:sz w:val="26"/>
          <w:szCs w:val="26"/>
          <w:lang w:val="x-none"/>
        </w:rPr>
        <w:t xml:space="preserve"> человек с инвалидностью</w:t>
      </w:r>
      <w:r w:rsidRPr="00A122F9">
        <w:rPr>
          <w:rFonts w:ascii="Times New Roman" w:eastAsia="Calibri" w:hAnsi="Times New Roman" w:cs="Times New Roman"/>
          <w:sz w:val="26"/>
          <w:szCs w:val="26"/>
        </w:rPr>
        <w:t>, и</w:t>
      </w:r>
      <w:r w:rsidRPr="00A122F9">
        <w:rPr>
          <w:rFonts w:ascii="Times New Roman" w:eastAsia="Calibri" w:hAnsi="Times New Roman" w:cs="Times New Roman"/>
          <w:sz w:val="26"/>
          <w:szCs w:val="26"/>
          <w:lang w:val="x-none"/>
        </w:rPr>
        <w:t xml:space="preserve">з них </w:t>
      </w:r>
      <w:r w:rsidRPr="00A122F9">
        <w:rPr>
          <w:rFonts w:ascii="Times New Roman" w:eastAsia="Calibri" w:hAnsi="Times New Roman" w:cs="Times New Roman"/>
          <w:sz w:val="26"/>
          <w:szCs w:val="26"/>
        </w:rPr>
        <w:t>142</w:t>
      </w:r>
      <w:r w:rsidRPr="00A122F9">
        <w:rPr>
          <w:rFonts w:ascii="Times New Roman" w:eastAsia="Calibri" w:hAnsi="Times New Roman" w:cs="Times New Roman"/>
          <w:sz w:val="26"/>
          <w:szCs w:val="26"/>
          <w:lang w:val="x-none"/>
        </w:rPr>
        <w:t xml:space="preserve"> </w:t>
      </w:r>
      <w:r w:rsidRPr="00A122F9">
        <w:rPr>
          <w:rFonts w:ascii="Times New Roman" w:eastAsia="Calibri" w:hAnsi="Times New Roman" w:cs="Times New Roman"/>
          <w:sz w:val="26"/>
          <w:szCs w:val="26"/>
        </w:rPr>
        <w:t>ребенка</w:t>
      </w:r>
      <w:r w:rsidRPr="00A122F9">
        <w:rPr>
          <w:rFonts w:ascii="Times New Roman" w:eastAsia="Calibri" w:hAnsi="Times New Roman" w:cs="Times New Roman"/>
          <w:sz w:val="26"/>
          <w:szCs w:val="26"/>
          <w:lang w:val="x-none"/>
        </w:rPr>
        <w:t xml:space="preserve">, </w:t>
      </w:r>
      <w:r w:rsidRPr="00A122F9">
        <w:rPr>
          <w:rFonts w:ascii="Times New Roman" w:eastAsia="Calibri" w:hAnsi="Times New Roman" w:cs="Times New Roman"/>
          <w:sz w:val="26"/>
          <w:szCs w:val="26"/>
        </w:rPr>
        <w:t xml:space="preserve">людей с </w:t>
      </w:r>
      <w:r w:rsidRPr="00A122F9">
        <w:rPr>
          <w:rFonts w:ascii="Times New Roman" w:eastAsia="Calibri" w:hAnsi="Times New Roman" w:cs="Times New Roman"/>
          <w:sz w:val="26"/>
          <w:szCs w:val="26"/>
          <w:lang w:val="x-none"/>
        </w:rPr>
        <w:t>инвалид</w:t>
      </w:r>
      <w:r w:rsidRPr="00A122F9">
        <w:rPr>
          <w:rFonts w:ascii="Times New Roman" w:eastAsia="Calibri" w:hAnsi="Times New Roman" w:cs="Times New Roman"/>
          <w:sz w:val="26"/>
          <w:szCs w:val="26"/>
        </w:rPr>
        <w:t>ностью</w:t>
      </w:r>
      <w:r w:rsidRPr="00A122F9">
        <w:rPr>
          <w:rFonts w:ascii="Times New Roman" w:eastAsia="Calibri" w:hAnsi="Times New Roman" w:cs="Times New Roman"/>
          <w:sz w:val="26"/>
          <w:szCs w:val="26"/>
          <w:lang w:val="x-none"/>
        </w:rPr>
        <w:t xml:space="preserve"> 1 группы 1</w:t>
      </w:r>
      <w:r w:rsidRPr="00A122F9">
        <w:rPr>
          <w:rFonts w:ascii="Times New Roman" w:eastAsia="Calibri" w:hAnsi="Times New Roman" w:cs="Times New Roman"/>
          <w:sz w:val="26"/>
          <w:szCs w:val="26"/>
        </w:rPr>
        <w:t>61</w:t>
      </w:r>
      <w:r w:rsidRPr="00A122F9">
        <w:rPr>
          <w:rFonts w:ascii="Times New Roman" w:eastAsia="Calibri" w:hAnsi="Times New Roman" w:cs="Times New Roman"/>
          <w:sz w:val="26"/>
          <w:szCs w:val="26"/>
          <w:lang w:val="x-none"/>
        </w:rPr>
        <w:t xml:space="preserve"> человек, </w:t>
      </w:r>
      <w:r w:rsidRPr="00A122F9">
        <w:rPr>
          <w:rFonts w:ascii="Times New Roman" w:eastAsia="Calibri" w:hAnsi="Times New Roman" w:cs="Times New Roman"/>
          <w:sz w:val="26"/>
          <w:szCs w:val="26"/>
        </w:rPr>
        <w:t xml:space="preserve">                </w:t>
      </w:r>
      <w:r w:rsidRPr="00A122F9">
        <w:rPr>
          <w:rFonts w:ascii="Times New Roman" w:eastAsia="Calibri" w:hAnsi="Times New Roman" w:cs="Times New Roman"/>
          <w:sz w:val="26"/>
          <w:szCs w:val="26"/>
          <w:lang w:val="x-none"/>
        </w:rPr>
        <w:t xml:space="preserve">2 группы </w:t>
      </w:r>
      <w:r w:rsidRPr="00A122F9">
        <w:rPr>
          <w:rFonts w:ascii="Times New Roman" w:eastAsia="Calibri" w:hAnsi="Times New Roman" w:cs="Times New Roman"/>
          <w:sz w:val="26"/>
          <w:szCs w:val="26"/>
        </w:rPr>
        <w:t>254</w:t>
      </w:r>
      <w:r w:rsidRPr="00A122F9">
        <w:rPr>
          <w:rFonts w:ascii="Times New Roman" w:eastAsia="Calibri" w:hAnsi="Times New Roman" w:cs="Times New Roman"/>
          <w:sz w:val="26"/>
          <w:szCs w:val="26"/>
          <w:lang w:val="x-none"/>
        </w:rPr>
        <w:t xml:space="preserve"> человек</w:t>
      </w:r>
      <w:r w:rsidRPr="00A122F9">
        <w:rPr>
          <w:rFonts w:ascii="Times New Roman" w:eastAsia="Calibri" w:hAnsi="Times New Roman" w:cs="Times New Roman"/>
          <w:sz w:val="26"/>
          <w:szCs w:val="26"/>
        </w:rPr>
        <w:t>а</w:t>
      </w:r>
      <w:r w:rsidRPr="00A122F9">
        <w:rPr>
          <w:rFonts w:ascii="Times New Roman" w:eastAsia="Calibri" w:hAnsi="Times New Roman" w:cs="Times New Roman"/>
          <w:sz w:val="26"/>
          <w:szCs w:val="26"/>
          <w:lang w:val="x-none"/>
        </w:rPr>
        <w:t xml:space="preserve">, 3 группы </w:t>
      </w:r>
      <w:r w:rsidRPr="00A122F9">
        <w:rPr>
          <w:rFonts w:ascii="Times New Roman" w:eastAsia="Calibri" w:hAnsi="Times New Roman" w:cs="Times New Roman"/>
          <w:sz w:val="26"/>
          <w:szCs w:val="26"/>
        </w:rPr>
        <w:t>523</w:t>
      </w:r>
      <w:r w:rsidRPr="00A122F9">
        <w:rPr>
          <w:rFonts w:ascii="Times New Roman" w:eastAsia="Calibri" w:hAnsi="Times New Roman" w:cs="Times New Roman"/>
          <w:sz w:val="26"/>
          <w:szCs w:val="26"/>
          <w:lang w:val="x-none"/>
        </w:rPr>
        <w:t xml:space="preserve"> человек</w:t>
      </w:r>
      <w:r w:rsidRPr="00A122F9">
        <w:rPr>
          <w:rFonts w:ascii="Times New Roman" w:eastAsia="Calibri" w:hAnsi="Times New Roman" w:cs="Times New Roman"/>
          <w:sz w:val="26"/>
          <w:szCs w:val="26"/>
        </w:rPr>
        <w:t>а</w:t>
      </w:r>
      <w:r w:rsidRPr="00A122F9">
        <w:rPr>
          <w:rFonts w:ascii="Times New Roman" w:eastAsia="Calibri" w:hAnsi="Times New Roman" w:cs="Times New Roman"/>
          <w:sz w:val="26"/>
          <w:szCs w:val="26"/>
          <w:lang w:val="x-none"/>
        </w:rPr>
        <w:t xml:space="preserve">. Ежегодно увеличивается доля людей с ограниченными возможностями здоровья, занимающихся адаптивной физической культурой и спортом. </w:t>
      </w:r>
    </w:p>
    <w:p w14:paraId="2072B5B3" w14:textId="36FE85DD"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lang w:val="x-none"/>
        </w:rPr>
        <w:t>БУ НР «</w:t>
      </w:r>
      <w:r w:rsidRPr="00A122F9">
        <w:rPr>
          <w:rFonts w:ascii="Times New Roman" w:eastAsia="Calibri" w:hAnsi="Times New Roman" w:cs="Times New Roman"/>
          <w:sz w:val="26"/>
          <w:szCs w:val="26"/>
        </w:rPr>
        <w:t>ЦСК</w:t>
      </w:r>
      <w:r w:rsidRPr="00A122F9">
        <w:rPr>
          <w:rFonts w:ascii="Times New Roman" w:eastAsia="Calibri" w:hAnsi="Times New Roman" w:cs="Times New Roman"/>
          <w:sz w:val="26"/>
          <w:szCs w:val="26"/>
          <w:lang w:val="x-none"/>
        </w:rPr>
        <w:t>» активно занимается физкультурно-оздоровительной  и спортивно массовой работой среди людей с инвалидностью вовлекая их сферу адаптивной физической культурой, прививая здоровый образ жизни и повышая уровень физического воспитания всех без исключения лиц с инвалидностью. Количество вовлеченных в сферу адаптивной физической культуры (далее – АФК) составляет</w:t>
      </w:r>
      <w:r>
        <w:rPr>
          <w:rFonts w:ascii="Times New Roman" w:eastAsia="Calibri" w:hAnsi="Times New Roman" w:cs="Times New Roman"/>
          <w:sz w:val="26"/>
          <w:szCs w:val="26"/>
        </w:rPr>
        <w:t xml:space="preserve"> </w:t>
      </w:r>
      <w:r w:rsidRPr="00A122F9">
        <w:rPr>
          <w:rFonts w:ascii="Times New Roman" w:eastAsia="Calibri" w:hAnsi="Times New Roman" w:cs="Times New Roman"/>
          <w:sz w:val="26"/>
          <w:szCs w:val="26"/>
        </w:rPr>
        <w:t>435</w:t>
      </w:r>
      <w:r w:rsidRPr="00A122F9">
        <w:rPr>
          <w:rFonts w:ascii="Times New Roman" w:eastAsia="Calibri" w:hAnsi="Times New Roman" w:cs="Times New Roman"/>
          <w:sz w:val="26"/>
          <w:szCs w:val="26"/>
          <w:lang w:val="x-none"/>
        </w:rPr>
        <w:t xml:space="preserve"> человек.</w:t>
      </w:r>
    </w:p>
    <w:p w14:paraId="6BB15C1B"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Все структурные подразделения БУ НР «ЦСК» имеют паспорта безопасности, паспорта доступности (7 спортивных комплексов). Все работники прошли обучение в сфере АФК и являются дипломированными специалистами. Ежегодно проходят курсы повышения квалификации. Общее количество сотрудников имеющих право работать с людьми с инвалидностью, включая аппарат управления и структурные подразделения, составляет 9 человек.</w:t>
      </w:r>
    </w:p>
    <w:p w14:paraId="0E276DF9"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Администрацией Нефтеюганского района принято решение о свободном посещении спортивных объектов лицами с инвалидностью и ограниченными возможностями на безвозмездной основе, при этом всегда на тренировочных занятиях по АФК, лица с инвалидностью находятся под присмотром инструкторов. Основными критериями качества предоставляемых услуг и доступности среды для инвалидов являются снижение уровня ограничения жизнедеятельности, выражающейся способностью к самообслуживанию, участие в организации тренировочного процесса, соревновательной деятельности, самостоятельному или с помощью других лиц передвижению, общению.</w:t>
      </w:r>
    </w:p>
    <w:p w14:paraId="19B2AE2B"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На базе отделения заключено соглашение с «Центром Адаптивного спорта ХМАО – Югры» о совместном реализации программы «физкультурно-оздоровительной направленности средствами АФК для детей инвалидов», также для лиц с инвалидностью от 18 лет, разработана программа спортивной подготовки по виду спорта легкая атлетика (спорт лиц с интеллектуальным нарушениями), (спорт лиц с поражением опорно-двигательного аппарата).</w:t>
      </w:r>
    </w:p>
    <w:p w14:paraId="76D070C0"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Основными программами, по которым ведется работа по реабилитации граждан инвалидов и людей с ОВЗ:</w:t>
      </w:r>
    </w:p>
    <w:p w14:paraId="35825A61"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 xml:space="preserve">- программа физкультурно-оздоровительной направленности средствами адаптивной физической культуры для детей инвалидов; </w:t>
      </w:r>
    </w:p>
    <w:p w14:paraId="64D212FA"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 программа физкультурно-оздоровительной направленности средствами адаптивной физической культуры для инвалидов старше 18 лет;</w:t>
      </w:r>
    </w:p>
    <w:p w14:paraId="6A2EF58E"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 xml:space="preserve">- программа физкультурно-оздоровительной направленности средствами адаптивной физической культуры «керлинг напольный» (керлинг без ограничений). </w:t>
      </w:r>
    </w:p>
    <w:p w14:paraId="268F48A4" w14:textId="77777777" w:rsidR="00A122F9" w:rsidRPr="00A122F9" w:rsidRDefault="00A122F9" w:rsidP="00A122F9">
      <w:pPr>
        <w:spacing w:after="0" w:line="240" w:lineRule="auto"/>
        <w:ind w:firstLine="709"/>
        <w:jc w:val="both"/>
        <w:rPr>
          <w:rFonts w:ascii="Times New Roman" w:hAnsi="Times New Roman"/>
          <w:sz w:val="26"/>
          <w:szCs w:val="26"/>
        </w:rPr>
      </w:pPr>
      <w:r w:rsidRPr="00A122F9">
        <w:rPr>
          <w:rFonts w:ascii="Times New Roman" w:hAnsi="Times New Roman"/>
          <w:sz w:val="26"/>
          <w:szCs w:val="26"/>
        </w:rPr>
        <w:t xml:space="preserve">За отчетный период в группы АФК БУ НР «ЦСК» зачислено 59 человек.  </w:t>
      </w:r>
    </w:p>
    <w:p w14:paraId="61E27F50" w14:textId="77777777" w:rsidR="00A122F9" w:rsidRPr="00A122F9" w:rsidRDefault="00A122F9" w:rsidP="00A122F9">
      <w:pPr>
        <w:spacing w:after="0" w:line="240" w:lineRule="auto"/>
        <w:ind w:firstLine="709"/>
        <w:jc w:val="both"/>
        <w:rPr>
          <w:rFonts w:ascii="Times New Roman" w:eastAsia="Calibri" w:hAnsi="Times New Roman" w:cs="Times New Roman"/>
          <w:sz w:val="26"/>
          <w:szCs w:val="26"/>
          <w:lang w:val="x-none"/>
        </w:rPr>
      </w:pPr>
      <w:r w:rsidRPr="00A122F9">
        <w:rPr>
          <w:rFonts w:ascii="Times New Roman" w:eastAsia="Calibri" w:hAnsi="Times New Roman" w:cs="Times New Roman"/>
          <w:sz w:val="26"/>
          <w:szCs w:val="26"/>
          <w:lang w:val="x-none"/>
        </w:rPr>
        <w:t>В целях изучения независимого мнения населения качеством предоставляемых муниципальных услуг проведен опрос среди 2 </w:t>
      </w:r>
      <w:r w:rsidRPr="00A122F9">
        <w:rPr>
          <w:rFonts w:ascii="Times New Roman" w:eastAsia="Calibri" w:hAnsi="Times New Roman" w:cs="Times New Roman"/>
          <w:sz w:val="26"/>
          <w:szCs w:val="26"/>
        </w:rPr>
        <w:t>620</w:t>
      </w:r>
      <w:r w:rsidRPr="00A122F9">
        <w:rPr>
          <w:rFonts w:ascii="Times New Roman" w:eastAsia="Calibri" w:hAnsi="Times New Roman" w:cs="Times New Roman"/>
          <w:sz w:val="26"/>
          <w:szCs w:val="26"/>
          <w:lang w:val="x-none"/>
        </w:rPr>
        <w:t xml:space="preserve"> респондентов. Большинство респондентов оценивают качество услуг, оказываемых учреждениями сферы физической культуры как «удовлетворительное». Совокупная степень удовлетворенности предоставляемых услуг БУНР «</w:t>
      </w:r>
      <w:r w:rsidRPr="00A122F9">
        <w:rPr>
          <w:rFonts w:ascii="Times New Roman" w:eastAsia="Calibri" w:hAnsi="Times New Roman" w:cs="Times New Roman"/>
          <w:sz w:val="26"/>
          <w:szCs w:val="26"/>
        </w:rPr>
        <w:t>ЦСК</w:t>
      </w:r>
      <w:r w:rsidRPr="00A122F9">
        <w:rPr>
          <w:rFonts w:ascii="Times New Roman" w:eastAsia="Calibri" w:hAnsi="Times New Roman" w:cs="Times New Roman"/>
          <w:sz w:val="26"/>
          <w:szCs w:val="26"/>
          <w:lang w:val="x-none"/>
        </w:rPr>
        <w:t xml:space="preserve">» </w:t>
      </w:r>
      <w:r w:rsidRPr="00A122F9">
        <w:rPr>
          <w:rFonts w:ascii="Times New Roman" w:eastAsia="Calibri" w:hAnsi="Times New Roman" w:cs="Times New Roman"/>
          <w:sz w:val="26"/>
          <w:szCs w:val="26"/>
        </w:rPr>
        <w:t>98,6</w:t>
      </w:r>
      <w:r w:rsidRPr="00A122F9">
        <w:rPr>
          <w:rFonts w:ascii="Times New Roman" w:eastAsia="Calibri" w:hAnsi="Times New Roman" w:cs="Times New Roman"/>
          <w:sz w:val="26"/>
          <w:szCs w:val="26"/>
          <w:lang w:val="x-none"/>
        </w:rPr>
        <w:t>% и НРБУ ДО</w:t>
      </w:r>
      <w:r w:rsidRPr="00A122F9">
        <w:rPr>
          <w:rFonts w:ascii="Times New Roman" w:eastAsia="Calibri" w:hAnsi="Times New Roman" w:cs="Times New Roman"/>
          <w:sz w:val="26"/>
          <w:szCs w:val="26"/>
        </w:rPr>
        <w:t xml:space="preserve"> СШ</w:t>
      </w:r>
      <w:r w:rsidRPr="00A122F9">
        <w:rPr>
          <w:rFonts w:ascii="Times New Roman" w:eastAsia="Calibri" w:hAnsi="Times New Roman" w:cs="Times New Roman"/>
          <w:sz w:val="26"/>
          <w:szCs w:val="26"/>
          <w:lang w:val="x-none"/>
        </w:rPr>
        <w:t xml:space="preserve"> </w:t>
      </w:r>
      <w:r w:rsidRPr="00A122F9">
        <w:rPr>
          <w:rFonts w:ascii="Times New Roman" w:eastAsia="Calibri" w:hAnsi="Times New Roman" w:cs="Times New Roman"/>
          <w:sz w:val="26"/>
          <w:szCs w:val="26"/>
          <w:lang w:val="x-none"/>
        </w:rPr>
        <w:lastRenderedPageBreak/>
        <w:t xml:space="preserve">ДЮСШ «Нептун» </w:t>
      </w:r>
      <w:r w:rsidRPr="00A122F9">
        <w:rPr>
          <w:rFonts w:ascii="Times New Roman" w:eastAsia="Calibri" w:hAnsi="Times New Roman" w:cs="Times New Roman"/>
          <w:sz w:val="26"/>
          <w:szCs w:val="26"/>
        </w:rPr>
        <w:t>97,4</w:t>
      </w:r>
      <w:r w:rsidRPr="00A122F9">
        <w:rPr>
          <w:rFonts w:ascii="Times New Roman" w:eastAsia="Calibri" w:hAnsi="Times New Roman" w:cs="Times New Roman"/>
          <w:sz w:val="26"/>
          <w:szCs w:val="26"/>
          <w:lang w:val="x-none"/>
        </w:rPr>
        <w:t>%</w:t>
      </w:r>
      <w:r w:rsidRPr="00A122F9">
        <w:rPr>
          <w:rFonts w:ascii="Times New Roman" w:eastAsia="Calibri" w:hAnsi="Times New Roman" w:cs="Times New Roman"/>
          <w:sz w:val="26"/>
          <w:szCs w:val="26"/>
        </w:rPr>
        <w:t>,</w:t>
      </w:r>
      <w:r w:rsidRPr="00A122F9">
        <w:rPr>
          <w:rFonts w:ascii="Times New Roman" w:eastAsia="Calibri" w:hAnsi="Times New Roman" w:cs="Times New Roman"/>
          <w:sz w:val="26"/>
          <w:szCs w:val="26"/>
          <w:lang w:val="x-none"/>
        </w:rPr>
        <w:t xml:space="preserve"> что говорит о качеств</w:t>
      </w:r>
      <w:r w:rsidRPr="00A122F9">
        <w:rPr>
          <w:rFonts w:ascii="Times New Roman" w:eastAsia="Calibri" w:hAnsi="Times New Roman" w:cs="Times New Roman"/>
          <w:sz w:val="26"/>
          <w:szCs w:val="26"/>
        </w:rPr>
        <w:t>а</w:t>
      </w:r>
      <w:r w:rsidRPr="00A122F9">
        <w:rPr>
          <w:rFonts w:ascii="Times New Roman" w:eastAsia="Calibri" w:hAnsi="Times New Roman" w:cs="Times New Roman"/>
          <w:sz w:val="26"/>
          <w:szCs w:val="26"/>
          <w:lang w:val="x-none"/>
        </w:rPr>
        <w:t xml:space="preserve"> предоставляемых услуг населению и рост</w:t>
      </w:r>
      <w:r w:rsidRPr="00A122F9">
        <w:rPr>
          <w:rFonts w:ascii="Times New Roman" w:eastAsia="Calibri" w:hAnsi="Times New Roman" w:cs="Times New Roman"/>
          <w:sz w:val="26"/>
          <w:szCs w:val="26"/>
        </w:rPr>
        <w:t>е</w:t>
      </w:r>
      <w:r w:rsidRPr="00A122F9">
        <w:rPr>
          <w:rFonts w:ascii="Times New Roman" w:eastAsia="Calibri" w:hAnsi="Times New Roman" w:cs="Times New Roman"/>
          <w:sz w:val="26"/>
          <w:szCs w:val="26"/>
          <w:lang w:val="x-none"/>
        </w:rPr>
        <w:t xml:space="preserve"> информированности населения о предоставляемых услугах. </w:t>
      </w:r>
    </w:p>
    <w:p w14:paraId="493B01B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В сфере культуры и искусства. </w:t>
      </w:r>
    </w:p>
    <w:p w14:paraId="77BCD723"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Культура в Нефтеюганском районе развивается в направлении максимальной доступности для граждан, услуг в сфере культуры, сохранения культурного наследия, расширения спектра и повышения качества предоставляемых услуг. Основная 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организации и проведению культурно-досуговых мероприятий для всех категорий граждан.</w:t>
      </w:r>
    </w:p>
    <w:p w14:paraId="229652E0"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созданию условий доступности объектов, организации и проведению культурно-досуговых мероприятий для всех категорий граждан.</w:t>
      </w:r>
    </w:p>
    <w:p w14:paraId="7BF62A45"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Объекты учреждений культуры обеспечены беспрепятственным доступом к объектам и предоставляемым услугам: входные группы оборудованы пандусами, дверные проёмы расширены, работники обучены навыкам сопровождения инвалидов в организации, имеется возможность предоставления услуг в дистанционном режиме или на дому, имеются специально оборудованные санитарно-гигиенические помещения и прочее оборудование. Подробные сведения о доступности для инвалидов и других маломобильных групп населения объектов социальной инфраструктуры внесены в Территориальную информационную систему Югры.</w:t>
      </w:r>
    </w:p>
    <w:p w14:paraId="2DC0A389"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целях вовлечения инвалидов и маломобильных групп населения в культурную жизнь района, учреждениями культуры организовано и проведено для данной категории свыше 680 досуговых мероприятий: концертные, тематические развлекательные и познавательные программы, выставки декоративно-прикладного творчества и изобразительного искусства, в том числе и онлайн формате: викторины, литературные гостиные и другие форматы мероприятий.</w:t>
      </w:r>
    </w:p>
    <w:p w14:paraId="524E8C05" w14:textId="5D624CB8"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На базе учреждений культуры действуют клубные формирования, занимающиеся популяризацией народного художественного творчества и повышения качества обслуживания посетителей, ориентированы на формирование условий доступности получения информации и услуг для особой категории, включающей в себя: людей с ограниченными возможностями здоровья различных групп, детей, оставшихся без попечения родителей и другие. В 2023 году действовало 179 объединений, из которых 15 являются инклюзивными, с количеством участников 160 человек. </w:t>
      </w:r>
    </w:p>
    <w:p w14:paraId="2A5E801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Значимую роль в предоставлении разносторонней помощи лицам с ограниченными возможностями здоровья оказывают библиотеки Нефтеюганского района. Они создают условия для реализации прав инвалидов на свободный доступ к информации, проведения досуга, развития и реализации творческого потенциала, повышения самооценки, приобщения к активной жизни в обществе и изменению позиции общества к инвалидам. </w:t>
      </w:r>
    </w:p>
    <w:p w14:paraId="06640DBB" w14:textId="141071C1"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Библиотеки Нефтеюганского района располагают 5 092 экземпляра библиотечного фонда (в 2022 году</w:t>
      </w:r>
      <w:r>
        <w:rPr>
          <w:rFonts w:ascii="Times New Roman" w:hAnsi="Times New Roman" w:cs="Times New Roman"/>
          <w:sz w:val="26"/>
          <w:szCs w:val="26"/>
        </w:rPr>
        <w:t xml:space="preserve"> </w:t>
      </w:r>
      <w:r w:rsidRPr="00A122F9">
        <w:rPr>
          <w:rFonts w:ascii="Times New Roman" w:hAnsi="Times New Roman" w:cs="Times New Roman"/>
          <w:sz w:val="26"/>
          <w:szCs w:val="26"/>
        </w:rPr>
        <w:t xml:space="preserve">5 063 экземпляра, в 2021 году 5 121 экземпляр). В 2023 году </w:t>
      </w:r>
      <w:r w:rsidRPr="00A122F9">
        <w:rPr>
          <w:rFonts w:ascii="Times New Roman" w:hAnsi="Times New Roman" w:cs="Times New Roman"/>
          <w:sz w:val="26"/>
          <w:szCs w:val="26"/>
        </w:rPr>
        <w:lastRenderedPageBreak/>
        <w:t>поступило 30 экземпляров документов для людей данной социальной группы, в том числе: «аудиовизуальные и звуковые книги и крупно шрифтовые издания».</w:t>
      </w:r>
    </w:p>
    <w:p w14:paraId="476F7495"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14:paraId="19D85412"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Во всех поселениях района функционируют 13 Центров общественного доступа (далее –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14:paraId="1B1DE526"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Работают Центры удалённого доступа к ресурсам Президентской библиотеки им. Б.Н. Ельцина: в Пойковской ПБ «Наследие», Салымской ПМБ им. А.С. Тарханова, Каркатеевской ПМБ, Сингапайской и Обь-Юганской ПБ.</w:t>
      </w:r>
    </w:p>
    <w:p w14:paraId="64EC9587"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Все библиотеки района имеют доступ к ресурсам электронной библиотеки «ЛитРес», где удаленные читатели 346 человек в 2023 году (в 2022 году 257 человек) имеют возможность бесплатно получить электронные книги 1 480 экземпляров (в                       2022 году 1 482 экземпляра).</w:t>
      </w:r>
    </w:p>
    <w:p w14:paraId="63315B1F"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Библиотечные специалисты особое внимание уделяют обслуживанию инвалидов вне стен библиотеки – нестационарные формы обслуживания оказывают                11 библиотек Нефтеюганского района, используя в своей деятельности метод книгоношества: 177 пользователей, 987 посещений, 4 126 экземпляров книговыдача.</w:t>
      </w:r>
    </w:p>
    <w:p w14:paraId="7781907F"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В Пойковской поселенческой детской библиотеке «Радость» и Чеускинской поселенческой библиотеке функционирую автоматизированные рабочее места со специализированным программным обеспечением для людей с ограничениями по зрению. Пойковская поселенческая детская библиотека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аппарата, а Чеускинская поселенческая библиотека - увеличивающим устройством. Светодиодными табло в виде бегущей строки для акцентирования внимания пользователей на важную информацию, а также в качестве информаторов для людей с ограниченной функцией слуха оборудованы Пойковская библиотека и Салымская поселенческая модельная библиотека им. А.С. Тарханова. </w:t>
      </w:r>
    </w:p>
    <w:p w14:paraId="409148FB"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целях расширения вариативности образовательных программ, рассчитанных на детей с разным уровнем и проявлениями способностей в учреждениях дополнительного образования сферы культуры, продолжили реализацию предпрофессиональные общеобразовательные программы, и инклюзивное обучение для детей с ограниченными возможностями здоровья. Образовательную услугу в двух детских школах искусств района, в рамках инклюзивного образования получают 4 ребенка с ограниченными возможностями здоровья, для которых сформирован индивидуальный образовательный маршрут. Используемые методы обучения и воспитания дают положительные результаты – участие и победы в конкурсах различного уровня, выступления на концертных площадках поселка и района.</w:t>
      </w:r>
    </w:p>
    <w:p w14:paraId="20A98DF1"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2023 году НРМБУДО «ДШИ» гп.Пойковский приобретено оборудование для адаптации объекта для беспрепятственного доступа людей с ограниченными возможностями, на сумму 39,8 тыс. рублей.</w:t>
      </w:r>
    </w:p>
    <w:p w14:paraId="23B71857"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lastRenderedPageBreak/>
        <w:t xml:space="preserve">Официальные сайты учреждений культуры, в том числе краеведческий портал Нефтеюганского района «Салымский край» обеспечены версиями для слабовидящих пользователей, позволяющие охватить культурно-досуговым и библиотечным обслуживанием всех жителей Нефтеюганского района не имеющих возможности посещать учреждения лично в силу ограничения жизнедеятельности. </w:t>
      </w:r>
    </w:p>
    <w:p w14:paraId="422D8784"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Таким образом, на постоянной основе ведется работа, направленная на создание благоприятных условий для удовлетворения культурных потребностей жителей Нефтеюганского района и их творческой самореализации, нравственного и патриотического воспитания населения, создаются условия для максимальной реализации творческого потенциала и сбережения здоровья каждого жителя района, особое внимание уделяется максимальной интеграции в общество детей с особенностями здоровья. </w:t>
      </w:r>
    </w:p>
    <w:p w14:paraId="67B4987C"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С целью определения уровня удовлетворенности граждан качеством условий оказания услуг не реже чем 1 раз в 3 года, проводится независимая оценка качества условий оказания услуг организациями культуры Нефтеюганского района. Так,                           в 2022 году проведена независимая оценка качества, в отношении: БУНР «Межпоселенческая библиотека»; БУ «Центр культуры НР»; ПМБУ ЦКиД «Родники»; НРМБУ ДО «Детская школа искусств»; НРМБУ ДО «Детская школа искусств им. Г.С. Райшева».</w:t>
      </w:r>
    </w:p>
    <w:p w14:paraId="164ABC78"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По результатам независимой оценки качества, сделано заключение, что в целом качество условий оказания услуг находится на высоком уровне. Итоговый балл Нефтеюганского района по отрасли культуры составил 97,8 баллов. </w:t>
      </w:r>
    </w:p>
    <w:p w14:paraId="4C2CFEE4"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 xml:space="preserve">Результаты оценки размещены: Сведения о результатах независимой оценки качества оказания услуг организациями (bus.gov.ru); https://noko.mipnv.ru/results/spisok2022.php </w:t>
      </w:r>
    </w:p>
    <w:p w14:paraId="753B4C9D" w14:textId="77777777" w:rsidR="00A122F9" w:rsidRPr="00A122F9" w:rsidRDefault="00A122F9" w:rsidP="00A122F9">
      <w:pPr>
        <w:autoSpaceDE w:val="0"/>
        <w:autoSpaceDN w:val="0"/>
        <w:adjustRightInd w:val="0"/>
        <w:spacing w:after="0" w:line="240" w:lineRule="auto"/>
        <w:ind w:firstLine="709"/>
        <w:jc w:val="both"/>
        <w:rPr>
          <w:rFonts w:ascii="Times New Roman" w:hAnsi="Times New Roman" w:cs="Times New Roman"/>
          <w:sz w:val="26"/>
          <w:szCs w:val="26"/>
        </w:rPr>
      </w:pPr>
      <w:r w:rsidRPr="00A122F9">
        <w:rPr>
          <w:rFonts w:ascii="Times New Roman" w:hAnsi="Times New Roman" w:cs="Times New Roman"/>
          <w:sz w:val="26"/>
          <w:szCs w:val="26"/>
        </w:rPr>
        <w:t>В 2023 году проводился опрос мнения населения района о качестве оказания муниципальных услуг за 2023 год, в котором приняли участие 404 человека, из них              388 человек или 96,0% удовлетворены качеством предоставляемых услуг учреждениями культуры поселения. Результаты опроса размещены на официальном сайте Нефтеюганского муниципального района: https://admoil.gosuslugi.ru/netcat_files/userfiles/Docs/1.anketirovanie_naseleniya_kultura-2023.xlsx.</w:t>
      </w:r>
    </w:p>
    <w:p w14:paraId="154B9A05" w14:textId="55C773D3" w:rsidR="002F47F3" w:rsidRDefault="002F47F3"/>
    <w:sectPr w:rsidR="002F47F3" w:rsidSect="002F47F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525A" w14:textId="77777777" w:rsidR="00507527" w:rsidRDefault="00507527" w:rsidP="00627505">
      <w:pPr>
        <w:spacing w:after="0" w:line="240" w:lineRule="auto"/>
      </w:pPr>
      <w:r>
        <w:separator/>
      </w:r>
    </w:p>
  </w:endnote>
  <w:endnote w:type="continuationSeparator" w:id="0">
    <w:p w14:paraId="5CB8D415" w14:textId="77777777" w:rsidR="00507527" w:rsidRDefault="00507527" w:rsidP="0062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E722" w14:textId="77777777" w:rsidR="00507527" w:rsidRDefault="00507527" w:rsidP="00627505">
      <w:pPr>
        <w:spacing w:after="0" w:line="240" w:lineRule="auto"/>
      </w:pPr>
      <w:r>
        <w:separator/>
      </w:r>
    </w:p>
  </w:footnote>
  <w:footnote w:type="continuationSeparator" w:id="0">
    <w:p w14:paraId="2693A01C" w14:textId="77777777" w:rsidR="00507527" w:rsidRDefault="00507527" w:rsidP="0062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433417"/>
      <w:docPartObj>
        <w:docPartGallery w:val="Page Numbers (Top of Page)"/>
        <w:docPartUnique/>
      </w:docPartObj>
    </w:sdtPr>
    <w:sdtEndPr/>
    <w:sdtContent>
      <w:p w14:paraId="5181F60A" w14:textId="0C3EEE1D" w:rsidR="00FF5FD8" w:rsidRDefault="00FF5FD8">
        <w:pPr>
          <w:pStyle w:val="a7"/>
          <w:jc w:val="center"/>
        </w:pPr>
        <w:r>
          <w:fldChar w:fldCharType="begin"/>
        </w:r>
        <w:r>
          <w:instrText>PAGE   \* MERGEFORMAT</w:instrText>
        </w:r>
        <w:r>
          <w:fldChar w:fldCharType="separate"/>
        </w:r>
        <w:r>
          <w:t>2</w:t>
        </w:r>
        <w:r>
          <w:fldChar w:fldCharType="end"/>
        </w:r>
      </w:p>
    </w:sdtContent>
  </w:sdt>
  <w:p w14:paraId="4E2CF890" w14:textId="77777777" w:rsidR="00627505" w:rsidRDefault="006275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57E"/>
    <w:multiLevelType w:val="hybridMultilevel"/>
    <w:tmpl w:val="9FEC9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0676FC"/>
    <w:multiLevelType w:val="hybridMultilevel"/>
    <w:tmpl w:val="D0CA5C10"/>
    <w:lvl w:ilvl="0" w:tplc="037E57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267CAD"/>
    <w:multiLevelType w:val="hybridMultilevel"/>
    <w:tmpl w:val="48DCB3D2"/>
    <w:lvl w:ilvl="0" w:tplc="BC00BC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8417549"/>
    <w:multiLevelType w:val="hybridMultilevel"/>
    <w:tmpl w:val="0CB4C4B8"/>
    <w:lvl w:ilvl="0" w:tplc="64266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1D61A86"/>
    <w:multiLevelType w:val="hybridMultilevel"/>
    <w:tmpl w:val="821852C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39BA4E26"/>
    <w:multiLevelType w:val="hybridMultilevel"/>
    <w:tmpl w:val="9D0A2488"/>
    <w:lvl w:ilvl="0" w:tplc="3EC45F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AD7007A"/>
    <w:multiLevelType w:val="hybridMultilevel"/>
    <w:tmpl w:val="B66E17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EA749C6"/>
    <w:multiLevelType w:val="hybridMultilevel"/>
    <w:tmpl w:val="BFB8ADE4"/>
    <w:lvl w:ilvl="0" w:tplc="F1B2F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270CE7"/>
    <w:multiLevelType w:val="hybridMultilevel"/>
    <w:tmpl w:val="765C2ED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4B901B15"/>
    <w:multiLevelType w:val="hybridMultilevel"/>
    <w:tmpl w:val="581A3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2A4B4F"/>
    <w:multiLevelType w:val="multilevel"/>
    <w:tmpl w:val="CF2441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151466E"/>
    <w:multiLevelType w:val="hybridMultilevel"/>
    <w:tmpl w:val="1A464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2FA1913"/>
    <w:multiLevelType w:val="hybridMultilevel"/>
    <w:tmpl w:val="34D43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53219C4"/>
    <w:multiLevelType w:val="hybridMultilevel"/>
    <w:tmpl w:val="82D6E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CC1020"/>
    <w:multiLevelType w:val="multilevel"/>
    <w:tmpl w:val="B5C6F304"/>
    <w:lvl w:ilvl="0">
      <w:start w:val="1"/>
      <w:numFmt w:val="decimal"/>
      <w:lvlText w:val="%1."/>
      <w:lvlJc w:val="left"/>
      <w:pPr>
        <w:ind w:left="390" w:hanging="390"/>
      </w:pPr>
      <w:rPr>
        <w:rFonts w:hint="default"/>
      </w:rPr>
    </w:lvl>
    <w:lvl w:ilvl="1">
      <w:start w:val="1"/>
      <w:numFmt w:val="decimal"/>
      <w:lvlText w:val="%1.%2."/>
      <w:lvlJc w:val="left"/>
      <w:pPr>
        <w:ind w:left="7762" w:hanging="390"/>
      </w:pPr>
      <w:rPr>
        <w:rFonts w:hint="default"/>
        <w:b w:val="0"/>
        <w:bCs w:val="0"/>
        <w:i/>
        <w:iCs/>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12637DE"/>
    <w:multiLevelType w:val="hybridMultilevel"/>
    <w:tmpl w:val="0D6E9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FF18CA"/>
    <w:multiLevelType w:val="hybridMultilevel"/>
    <w:tmpl w:val="5F641AF2"/>
    <w:lvl w:ilvl="0" w:tplc="E1C618AA">
      <w:start w:val="1"/>
      <w:numFmt w:val="bullet"/>
      <w:lvlText w:val=""/>
      <w:lvlJc w:val="left"/>
      <w:pPr>
        <w:ind w:left="716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CF54FF6"/>
    <w:multiLevelType w:val="multilevel"/>
    <w:tmpl w:val="2EBA0DDC"/>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EDB2236"/>
    <w:multiLevelType w:val="hybridMultilevel"/>
    <w:tmpl w:val="4866C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0E002CF"/>
    <w:multiLevelType w:val="multilevel"/>
    <w:tmpl w:val="B972E024"/>
    <w:lvl w:ilvl="0">
      <w:start w:val="1"/>
      <w:numFmt w:val="decimal"/>
      <w:lvlText w:val="%1."/>
      <w:lvlJc w:val="left"/>
      <w:pPr>
        <w:ind w:left="360" w:hanging="360"/>
      </w:pPr>
      <w:rPr>
        <w:rFonts w:eastAsia="Times New Roman" w:hint="default"/>
        <w:b/>
      </w:rPr>
    </w:lvl>
    <w:lvl w:ilvl="1">
      <w:start w:val="2"/>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2847" w:hanging="72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625" w:hanging="108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403" w:hanging="1440"/>
      </w:pPr>
      <w:rPr>
        <w:rFonts w:eastAsia="Times New Roman" w:hint="default"/>
        <w:b/>
      </w:rPr>
    </w:lvl>
    <w:lvl w:ilvl="8">
      <w:start w:val="1"/>
      <w:numFmt w:val="decimal"/>
      <w:lvlText w:val="%1.%2.%3.%4.%5.%6.%7.%8.%9."/>
      <w:lvlJc w:val="left"/>
      <w:pPr>
        <w:ind w:left="7472" w:hanging="1800"/>
      </w:pPr>
      <w:rPr>
        <w:rFonts w:eastAsia="Times New Roman" w:hint="default"/>
        <w:b/>
      </w:rPr>
    </w:lvl>
  </w:abstractNum>
  <w:num w:numId="1">
    <w:abstractNumId w:val="14"/>
  </w:num>
  <w:num w:numId="2">
    <w:abstractNumId w:val="7"/>
  </w:num>
  <w:num w:numId="3">
    <w:abstractNumId w:val="5"/>
  </w:num>
  <w:num w:numId="4">
    <w:abstractNumId w:val="6"/>
  </w:num>
  <w:num w:numId="5">
    <w:abstractNumId w:val="3"/>
  </w:num>
  <w:num w:numId="6">
    <w:abstractNumId w:val="12"/>
  </w:num>
  <w:num w:numId="7">
    <w:abstractNumId w:val="0"/>
  </w:num>
  <w:num w:numId="8">
    <w:abstractNumId w:val="10"/>
  </w:num>
  <w:num w:numId="9">
    <w:abstractNumId w:val="17"/>
  </w:num>
  <w:num w:numId="10">
    <w:abstractNumId w:val="8"/>
  </w:num>
  <w:num w:numId="11">
    <w:abstractNumId w:val="4"/>
  </w:num>
  <w:num w:numId="12">
    <w:abstractNumId w:val="15"/>
  </w:num>
  <w:num w:numId="13">
    <w:abstractNumId w:val="13"/>
  </w:num>
  <w:num w:numId="14">
    <w:abstractNumId w:val="18"/>
  </w:num>
  <w:num w:numId="15">
    <w:abstractNumId w:val="2"/>
  </w:num>
  <w:num w:numId="16">
    <w:abstractNumId w:val="11"/>
  </w:num>
  <w:num w:numId="17">
    <w:abstractNumId w:val="9"/>
  </w:num>
  <w:num w:numId="18">
    <w:abstractNumId w:val="1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B"/>
    <w:rsid w:val="00005E3C"/>
    <w:rsid w:val="000200E0"/>
    <w:rsid w:val="000244A9"/>
    <w:rsid w:val="00027A6B"/>
    <w:rsid w:val="001022D9"/>
    <w:rsid w:val="001126E0"/>
    <w:rsid w:val="00122683"/>
    <w:rsid w:val="00154BB3"/>
    <w:rsid w:val="00185595"/>
    <w:rsid w:val="001C056B"/>
    <w:rsid w:val="001C7910"/>
    <w:rsid w:val="001D701B"/>
    <w:rsid w:val="00223E0C"/>
    <w:rsid w:val="002350F8"/>
    <w:rsid w:val="002422AA"/>
    <w:rsid w:val="00261B7C"/>
    <w:rsid w:val="002730AC"/>
    <w:rsid w:val="002740E7"/>
    <w:rsid w:val="00280987"/>
    <w:rsid w:val="00285FF8"/>
    <w:rsid w:val="00293343"/>
    <w:rsid w:val="002E209E"/>
    <w:rsid w:val="002F1D19"/>
    <w:rsid w:val="002F47F3"/>
    <w:rsid w:val="00305A73"/>
    <w:rsid w:val="00314419"/>
    <w:rsid w:val="003262C9"/>
    <w:rsid w:val="0033389E"/>
    <w:rsid w:val="003532A4"/>
    <w:rsid w:val="00411A3E"/>
    <w:rsid w:val="0043111A"/>
    <w:rsid w:val="00432ED7"/>
    <w:rsid w:val="00465B0F"/>
    <w:rsid w:val="00486B21"/>
    <w:rsid w:val="004870E0"/>
    <w:rsid w:val="004C1E91"/>
    <w:rsid w:val="00507527"/>
    <w:rsid w:val="005077A6"/>
    <w:rsid w:val="00520125"/>
    <w:rsid w:val="00520997"/>
    <w:rsid w:val="005402E5"/>
    <w:rsid w:val="0055261D"/>
    <w:rsid w:val="00554727"/>
    <w:rsid w:val="005562F3"/>
    <w:rsid w:val="005A3A56"/>
    <w:rsid w:val="005A7D5A"/>
    <w:rsid w:val="0060052C"/>
    <w:rsid w:val="00600B72"/>
    <w:rsid w:val="00617E2E"/>
    <w:rsid w:val="00627505"/>
    <w:rsid w:val="006517C9"/>
    <w:rsid w:val="00653183"/>
    <w:rsid w:val="006804C1"/>
    <w:rsid w:val="006A0418"/>
    <w:rsid w:val="006F72A2"/>
    <w:rsid w:val="00701060"/>
    <w:rsid w:val="007160BD"/>
    <w:rsid w:val="00725CFA"/>
    <w:rsid w:val="00730FE0"/>
    <w:rsid w:val="007735B6"/>
    <w:rsid w:val="007828BB"/>
    <w:rsid w:val="007C0497"/>
    <w:rsid w:val="007C2F7D"/>
    <w:rsid w:val="007C555E"/>
    <w:rsid w:val="008A1590"/>
    <w:rsid w:val="008A63E2"/>
    <w:rsid w:val="008B7C32"/>
    <w:rsid w:val="008D46A4"/>
    <w:rsid w:val="008F0E1E"/>
    <w:rsid w:val="00917D22"/>
    <w:rsid w:val="009253C5"/>
    <w:rsid w:val="00941240"/>
    <w:rsid w:val="0096329C"/>
    <w:rsid w:val="009A4B00"/>
    <w:rsid w:val="009B62A3"/>
    <w:rsid w:val="009C0CFF"/>
    <w:rsid w:val="00A122F9"/>
    <w:rsid w:val="00A83E2C"/>
    <w:rsid w:val="00A92E2B"/>
    <w:rsid w:val="00AC3FD2"/>
    <w:rsid w:val="00AD1204"/>
    <w:rsid w:val="00AF7770"/>
    <w:rsid w:val="00B011FA"/>
    <w:rsid w:val="00B133A9"/>
    <w:rsid w:val="00B175C2"/>
    <w:rsid w:val="00B326C7"/>
    <w:rsid w:val="00B61D9C"/>
    <w:rsid w:val="00B81238"/>
    <w:rsid w:val="00BC5AF2"/>
    <w:rsid w:val="00C901B7"/>
    <w:rsid w:val="00D27D69"/>
    <w:rsid w:val="00D635A3"/>
    <w:rsid w:val="00D70DC9"/>
    <w:rsid w:val="00DA11BB"/>
    <w:rsid w:val="00DB6397"/>
    <w:rsid w:val="00DC1EA4"/>
    <w:rsid w:val="00DD6840"/>
    <w:rsid w:val="00DE7D15"/>
    <w:rsid w:val="00E005DF"/>
    <w:rsid w:val="00E02897"/>
    <w:rsid w:val="00E23A10"/>
    <w:rsid w:val="00E31F5B"/>
    <w:rsid w:val="00E44DD3"/>
    <w:rsid w:val="00E67F9A"/>
    <w:rsid w:val="00E83B10"/>
    <w:rsid w:val="00E93653"/>
    <w:rsid w:val="00E97E2E"/>
    <w:rsid w:val="00EA0B3F"/>
    <w:rsid w:val="00EC35C2"/>
    <w:rsid w:val="00EC7A86"/>
    <w:rsid w:val="00EE3613"/>
    <w:rsid w:val="00EF79DA"/>
    <w:rsid w:val="00FA0E96"/>
    <w:rsid w:val="00FE664E"/>
    <w:rsid w:val="00FF09C8"/>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2607"/>
  <w15:chartTrackingRefBased/>
  <w15:docId w15:val="{BEA58C94-7F58-47BA-84A6-8AB5193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4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7F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2F47F3"/>
    <w:pPr>
      <w:outlineLvl w:val="9"/>
    </w:pPr>
    <w:rPr>
      <w:lang w:eastAsia="ru-RU"/>
    </w:rPr>
  </w:style>
  <w:style w:type="paragraph" w:styleId="2">
    <w:name w:val="toc 2"/>
    <w:basedOn w:val="a"/>
    <w:next w:val="a"/>
    <w:autoRedefine/>
    <w:uiPriority w:val="39"/>
    <w:unhideWhenUsed/>
    <w:rsid w:val="002F47F3"/>
    <w:pPr>
      <w:spacing w:after="100"/>
      <w:ind w:left="220"/>
    </w:pPr>
  </w:style>
  <w:style w:type="paragraph" w:styleId="11">
    <w:name w:val="toc 1"/>
    <w:basedOn w:val="a"/>
    <w:next w:val="a"/>
    <w:autoRedefine/>
    <w:uiPriority w:val="39"/>
    <w:unhideWhenUsed/>
    <w:rsid w:val="002F47F3"/>
    <w:pPr>
      <w:spacing w:after="100"/>
    </w:pPr>
  </w:style>
  <w:style w:type="character" w:styleId="a4">
    <w:name w:val="Hyperlink"/>
    <w:basedOn w:val="a0"/>
    <w:uiPriority w:val="99"/>
    <w:unhideWhenUsed/>
    <w:rsid w:val="002F47F3"/>
    <w:rPr>
      <w:color w:val="0563C1" w:themeColor="hyperlink"/>
      <w:u w:val="single"/>
    </w:rPr>
  </w:style>
  <w:style w:type="paragraph" w:styleId="a5">
    <w:name w:val="List Paragraph"/>
    <w:basedOn w:val="a"/>
    <w:uiPriority w:val="34"/>
    <w:qFormat/>
    <w:rsid w:val="002F47F3"/>
    <w:pPr>
      <w:ind w:left="720"/>
      <w:contextualSpacing/>
    </w:pPr>
  </w:style>
  <w:style w:type="table" w:styleId="a6">
    <w:name w:val="Table Grid"/>
    <w:basedOn w:val="a1"/>
    <w:uiPriority w:val="39"/>
    <w:rsid w:val="002F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47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7F3"/>
  </w:style>
  <w:style w:type="paragraph" w:styleId="a9">
    <w:name w:val="footer"/>
    <w:basedOn w:val="a"/>
    <w:link w:val="aa"/>
    <w:uiPriority w:val="99"/>
    <w:unhideWhenUsed/>
    <w:rsid w:val="002F47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7F3"/>
  </w:style>
  <w:style w:type="paragraph" w:styleId="ab">
    <w:name w:val="Balloon Text"/>
    <w:basedOn w:val="a"/>
    <w:link w:val="ac"/>
    <w:uiPriority w:val="99"/>
    <w:semiHidden/>
    <w:unhideWhenUsed/>
    <w:rsid w:val="002F47F3"/>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2F47F3"/>
    <w:rPr>
      <w:rFonts w:ascii="Arial" w:hAnsi="Arial" w:cs="Arial"/>
      <w:sz w:val="18"/>
      <w:szCs w:val="18"/>
    </w:rPr>
  </w:style>
  <w:style w:type="paragraph" w:styleId="ad">
    <w:name w:val="No Spacing"/>
    <w:uiPriority w:val="1"/>
    <w:qFormat/>
    <w:rsid w:val="002F47F3"/>
    <w:pPr>
      <w:spacing w:after="0" w:line="240" w:lineRule="auto"/>
    </w:pPr>
  </w:style>
  <w:style w:type="paragraph" w:customStyle="1" w:styleId="ConsPlusCell">
    <w:name w:val="ConsPlusCell"/>
    <w:rsid w:val="002F47F3"/>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2F47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Другое_"/>
    <w:basedOn w:val="a0"/>
    <w:link w:val="af"/>
    <w:rsid w:val="002F47F3"/>
    <w:rPr>
      <w:rFonts w:ascii="Times New Roman" w:eastAsia="Times New Roman" w:hAnsi="Times New Roman" w:cs="Times New Roman"/>
      <w:shd w:val="clear" w:color="auto" w:fill="FFFFFF"/>
    </w:rPr>
  </w:style>
  <w:style w:type="paragraph" w:customStyle="1" w:styleId="af">
    <w:name w:val="Другое"/>
    <w:basedOn w:val="a"/>
    <w:link w:val="ae"/>
    <w:rsid w:val="002F47F3"/>
    <w:pPr>
      <w:widowControl w:val="0"/>
      <w:shd w:val="clear" w:color="auto" w:fill="FFFFFF"/>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2F47F3"/>
    <w:rPr>
      <w:sz w:val="16"/>
      <w:szCs w:val="16"/>
    </w:rPr>
  </w:style>
  <w:style w:type="paragraph" w:styleId="af1">
    <w:name w:val="annotation text"/>
    <w:basedOn w:val="a"/>
    <w:link w:val="af2"/>
    <w:uiPriority w:val="99"/>
    <w:semiHidden/>
    <w:unhideWhenUsed/>
    <w:rsid w:val="002F47F3"/>
    <w:pPr>
      <w:spacing w:line="240" w:lineRule="auto"/>
    </w:pPr>
    <w:rPr>
      <w:sz w:val="20"/>
      <w:szCs w:val="20"/>
    </w:rPr>
  </w:style>
  <w:style w:type="character" w:customStyle="1" w:styleId="af2">
    <w:name w:val="Текст примечания Знак"/>
    <w:basedOn w:val="a0"/>
    <w:link w:val="af1"/>
    <w:uiPriority w:val="99"/>
    <w:semiHidden/>
    <w:rsid w:val="002F47F3"/>
    <w:rPr>
      <w:sz w:val="20"/>
      <w:szCs w:val="20"/>
    </w:rPr>
  </w:style>
  <w:style w:type="paragraph" w:styleId="af3">
    <w:name w:val="annotation subject"/>
    <w:basedOn w:val="af1"/>
    <w:next w:val="af1"/>
    <w:link w:val="af4"/>
    <w:uiPriority w:val="99"/>
    <w:semiHidden/>
    <w:unhideWhenUsed/>
    <w:rsid w:val="002F47F3"/>
    <w:rPr>
      <w:b/>
      <w:bCs/>
    </w:rPr>
  </w:style>
  <w:style w:type="character" w:customStyle="1" w:styleId="af4">
    <w:name w:val="Тема примечания Знак"/>
    <w:basedOn w:val="af2"/>
    <w:link w:val="af3"/>
    <w:uiPriority w:val="99"/>
    <w:semiHidden/>
    <w:rsid w:val="002F47F3"/>
    <w:rPr>
      <w:b/>
      <w:bCs/>
      <w:sz w:val="20"/>
      <w:szCs w:val="20"/>
    </w:rPr>
  </w:style>
  <w:style w:type="paragraph" w:styleId="af5">
    <w:name w:val="Body Text Indent"/>
    <w:basedOn w:val="a"/>
    <w:link w:val="af6"/>
    <w:uiPriority w:val="99"/>
    <w:semiHidden/>
    <w:unhideWhenUsed/>
    <w:rsid w:val="002F47F3"/>
    <w:pPr>
      <w:spacing w:after="120" w:line="276" w:lineRule="auto"/>
      <w:ind w:left="283"/>
    </w:pPr>
    <w:rPr>
      <w:rFonts w:ascii="Calibri" w:eastAsia="Calibri" w:hAnsi="Calibri" w:cs="Times New Roman"/>
      <w:lang w:val="x-none"/>
    </w:rPr>
  </w:style>
  <w:style w:type="character" w:customStyle="1" w:styleId="af6">
    <w:name w:val="Основной текст с отступом Знак"/>
    <w:basedOn w:val="a0"/>
    <w:link w:val="af5"/>
    <w:uiPriority w:val="99"/>
    <w:semiHidden/>
    <w:rsid w:val="002F47F3"/>
    <w:rPr>
      <w:rFonts w:ascii="Calibri" w:eastAsia="Calibri" w:hAnsi="Calibri" w:cs="Times New Roman"/>
      <w:lang w:val="x-none"/>
    </w:rPr>
  </w:style>
  <w:style w:type="numbering" w:customStyle="1" w:styleId="12">
    <w:name w:val="Нет списка1"/>
    <w:next w:val="a2"/>
    <w:uiPriority w:val="99"/>
    <w:semiHidden/>
    <w:unhideWhenUsed/>
    <w:rsid w:val="00293343"/>
  </w:style>
  <w:style w:type="table" w:customStyle="1" w:styleId="13">
    <w:name w:val="Сетка таблицы1"/>
    <w:basedOn w:val="a1"/>
    <w:next w:val="a6"/>
    <w:uiPriority w:val="39"/>
    <w:rsid w:val="0029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F79DA"/>
    <w:rPr>
      <w:color w:val="800080"/>
      <w:u w:val="single"/>
    </w:rPr>
  </w:style>
  <w:style w:type="paragraph" w:customStyle="1" w:styleId="msonormal0">
    <w:name w:val="msonormal"/>
    <w:basedOn w:val="a"/>
    <w:rsid w:val="00EF7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F79D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EF79D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F79D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EF79DA"/>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8">
    <w:name w:val="xl68"/>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9">
    <w:name w:val="xl69"/>
    <w:basedOn w:val="a"/>
    <w:rsid w:val="00EF79DA"/>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1">
    <w:name w:val="xl71"/>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2">
    <w:name w:val="xl72"/>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3">
    <w:name w:val="xl73"/>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4">
    <w:name w:val="xl74"/>
    <w:basedOn w:val="a"/>
    <w:rsid w:val="00EF79DA"/>
    <w:pPr>
      <w:pBdr>
        <w:left w:val="single" w:sz="4" w:space="0" w:color="000000"/>
        <w:right w:val="single" w:sz="4" w:space="0" w:color="000000"/>
      </w:pBd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5">
    <w:name w:val="xl75"/>
    <w:basedOn w:val="a"/>
    <w:rsid w:val="00EF79DA"/>
    <w:pPr>
      <w:pBdr>
        <w:left w:val="single" w:sz="4" w:space="0" w:color="000000"/>
        <w:right w:val="single" w:sz="4" w:space="0" w:color="000000"/>
      </w:pBdr>
      <w:shd w:val="clear" w:color="000000" w:fill="D7D7D7"/>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76">
    <w:name w:val="xl76"/>
    <w:basedOn w:val="a"/>
    <w:rsid w:val="00EF79DA"/>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EF79D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F79D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EF79DA"/>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6219">
      <w:bodyDiv w:val="1"/>
      <w:marLeft w:val="0"/>
      <w:marRight w:val="0"/>
      <w:marTop w:val="0"/>
      <w:marBottom w:val="0"/>
      <w:divBdr>
        <w:top w:val="none" w:sz="0" w:space="0" w:color="auto"/>
        <w:left w:val="none" w:sz="0" w:space="0" w:color="auto"/>
        <w:bottom w:val="none" w:sz="0" w:space="0" w:color="auto"/>
        <w:right w:val="none" w:sz="0" w:space="0" w:color="auto"/>
      </w:divBdr>
    </w:div>
    <w:div w:id="392436205">
      <w:bodyDiv w:val="1"/>
      <w:marLeft w:val="0"/>
      <w:marRight w:val="0"/>
      <w:marTop w:val="0"/>
      <w:marBottom w:val="0"/>
      <w:divBdr>
        <w:top w:val="none" w:sz="0" w:space="0" w:color="auto"/>
        <w:left w:val="none" w:sz="0" w:space="0" w:color="auto"/>
        <w:bottom w:val="none" w:sz="0" w:space="0" w:color="auto"/>
        <w:right w:val="none" w:sz="0" w:space="0" w:color="auto"/>
      </w:divBdr>
    </w:div>
    <w:div w:id="20547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vernyj_hozy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sykhyv\AppData\Local\Microsoft\Windows\INetCache\Content.MSO\CB8E932C.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sykhyv\AppData\Local\Microsoft\Windows\INetCache\Content.MSO\CB8E932C.xlsx" TargetMode="External"/><Relationship Id="rId5" Type="http://schemas.openxmlformats.org/officeDocument/2006/relationships/webSettings" Target="webSettings.xml"/><Relationship Id="rId15" Type="http://schemas.openxmlformats.org/officeDocument/2006/relationships/hyperlink" Target="consultantplus://offline/ref=43840970DB99467810C7D0F31E5741CDFB30936DF1BCBCCCEDDE750ECFC198CC49FD66B794872AF0A797AAEA3553C590220AD541E6082533206233FEu7G8E" TargetMode="External"/><Relationship Id="rId10" Type="http://schemas.openxmlformats.org/officeDocument/2006/relationships/hyperlink" Target="file:///C:\Users\kosykhyv\AppData\Local\Microsoft\Windows\INetCache\Content.MSO\CB8E932C.xlsx" TargetMode="External"/><Relationship Id="rId4" Type="http://schemas.openxmlformats.org/officeDocument/2006/relationships/settings" Target="settings.xml"/><Relationship Id="rId9" Type="http://schemas.openxmlformats.org/officeDocument/2006/relationships/hyperlink" Target="file:///C:\Users\kosykhyv\AppData\Local\Microsoft\Windows\INetCache\Content.MSO\CB8E932C.xls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94B5-51E5-42CE-BB69-B5C9E590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22617</Words>
  <Characters>128917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Амирджанян Валентина Ашотовна</dc:creator>
  <cp:keywords/>
  <dc:description/>
  <cp:lastModifiedBy>Амирджанян Валентина Ашотовна</cp:lastModifiedBy>
  <cp:revision>2</cp:revision>
  <cp:lastPrinted>2024-04-25T09:29:00Z</cp:lastPrinted>
  <dcterms:created xsi:type="dcterms:W3CDTF">2024-05-29T03:36:00Z</dcterms:created>
  <dcterms:modified xsi:type="dcterms:W3CDTF">2024-05-29T03:36:00Z</dcterms:modified>
</cp:coreProperties>
</file>