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B94" w:rsidRPr="00E36F9A" w:rsidRDefault="00494B94" w:rsidP="00494B94">
      <w:pPr>
        <w:pStyle w:val="ConsPlusNormal"/>
        <w:ind w:firstLine="5529"/>
        <w:rPr>
          <w:rFonts w:ascii="Times New Roman" w:hAnsi="Times New Roman" w:cs="Times New Roman"/>
          <w:sz w:val="26"/>
          <w:szCs w:val="26"/>
        </w:rPr>
      </w:pPr>
      <w:r w:rsidRPr="00E36F9A">
        <w:rPr>
          <w:rFonts w:ascii="Times New Roman" w:hAnsi="Times New Roman" w:cs="Times New Roman"/>
          <w:sz w:val="26"/>
          <w:szCs w:val="26"/>
        </w:rPr>
        <w:t xml:space="preserve">Приложение к приказу </w:t>
      </w:r>
    </w:p>
    <w:p w:rsidR="00494B94" w:rsidRPr="00E36F9A" w:rsidRDefault="00494B94" w:rsidP="00494B94">
      <w:pPr>
        <w:pStyle w:val="ConsPlusNormal"/>
        <w:ind w:firstLine="5529"/>
        <w:rPr>
          <w:rFonts w:ascii="Times New Roman" w:hAnsi="Times New Roman" w:cs="Times New Roman"/>
          <w:sz w:val="26"/>
          <w:szCs w:val="26"/>
        </w:rPr>
      </w:pPr>
      <w:r w:rsidRPr="00E36F9A">
        <w:rPr>
          <w:rFonts w:ascii="Times New Roman" w:hAnsi="Times New Roman" w:cs="Times New Roman"/>
          <w:sz w:val="26"/>
          <w:szCs w:val="26"/>
        </w:rPr>
        <w:t>Департамента финансов</w:t>
      </w:r>
    </w:p>
    <w:p w:rsidR="00494B94" w:rsidRPr="00E36F9A" w:rsidRDefault="00494B94" w:rsidP="00494B94">
      <w:pPr>
        <w:pStyle w:val="ConsPlusNormal"/>
        <w:ind w:firstLine="5529"/>
        <w:rPr>
          <w:rFonts w:ascii="Times New Roman" w:hAnsi="Times New Roman" w:cs="Times New Roman"/>
          <w:sz w:val="26"/>
          <w:szCs w:val="26"/>
        </w:rPr>
      </w:pPr>
      <w:r w:rsidRPr="00E36F9A">
        <w:rPr>
          <w:rFonts w:ascii="Times New Roman" w:hAnsi="Times New Roman" w:cs="Times New Roman"/>
          <w:sz w:val="26"/>
          <w:szCs w:val="26"/>
        </w:rPr>
        <w:t>Нефтеюганского района</w:t>
      </w:r>
    </w:p>
    <w:p w:rsidR="005A282D" w:rsidRDefault="00AA2A38" w:rsidP="00494B94">
      <w:pPr>
        <w:pStyle w:val="ConsPlusNormal"/>
        <w:ind w:firstLine="5529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6"/>
          <w:szCs w:val="26"/>
        </w:rPr>
        <w:t xml:space="preserve">от  « 09 </w:t>
      </w:r>
      <w:r w:rsidR="00494B94" w:rsidRPr="00E36F9A">
        <w:rPr>
          <w:rFonts w:ascii="Times New Roman" w:hAnsi="Times New Roman" w:cs="Times New Roman"/>
          <w:sz w:val="26"/>
          <w:szCs w:val="26"/>
        </w:rPr>
        <w:t>» декабря 202</w:t>
      </w:r>
      <w:r w:rsidR="00494B94">
        <w:rPr>
          <w:rFonts w:ascii="Times New Roman" w:hAnsi="Times New Roman" w:cs="Times New Roman"/>
          <w:sz w:val="26"/>
          <w:szCs w:val="26"/>
        </w:rPr>
        <w:t>4</w:t>
      </w:r>
      <w:r w:rsidR="00494B94" w:rsidRPr="00E36F9A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69</w:t>
      </w:r>
      <w:bookmarkStart w:id="0" w:name="_GoBack"/>
      <w:bookmarkEnd w:id="0"/>
      <w:r w:rsidR="00494B94" w:rsidRPr="00E36F9A">
        <w:rPr>
          <w:rFonts w:ascii="Times New Roman" w:hAnsi="Times New Roman" w:cs="Times New Roman"/>
          <w:sz w:val="26"/>
          <w:szCs w:val="26"/>
        </w:rPr>
        <w:t>-п</w:t>
      </w:r>
    </w:p>
    <w:p w:rsidR="00494B94" w:rsidRDefault="00494B94">
      <w:pPr>
        <w:pStyle w:val="ConsPlusNormal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94B94" w:rsidRPr="005F3A48" w:rsidRDefault="00494B94">
      <w:pPr>
        <w:pStyle w:val="ConsPlusNormal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A282D" w:rsidRPr="005F3A48" w:rsidRDefault="005A282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2"/>
      <w:bookmarkEnd w:id="1"/>
      <w:r w:rsidRPr="005F3A48">
        <w:rPr>
          <w:rFonts w:ascii="Times New Roman" w:hAnsi="Times New Roman" w:cs="Times New Roman"/>
          <w:sz w:val="24"/>
          <w:szCs w:val="24"/>
        </w:rPr>
        <w:t>ПОРЯДОК</w:t>
      </w:r>
    </w:p>
    <w:p w:rsidR="005063C2" w:rsidRPr="005F3A48" w:rsidRDefault="005A282D" w:rsidP="005063C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F3A48">
        <w:rPr>
          <w:rFonts w:ascii="Times New Roman" w:hAnsi="Times New Roman" w:cs="Times New Roman"/>
          <w:sz w:val="24"/>
          <w:szCs w:val="24"/>
        </w:rPr>
        <w:t xml:space="preserve">ЗАВЕРШЕНИЯ ОПЕРАЦИЙ ПО ИСПОЛНЕНИЮ БЮДЖЕТА </w:t>
      </w:r>
      <w:r w:rsidR="005063C2" w:rsidRPr="005F3A48">
        <w:rPr>
          <w:rFonts w:ascii="Times New Roman" w:hAnsi="Times New Roman" w:cs="Times New Roman"/>
          <w:sz w:val="24"/>
          <w:szCs w:val="24"/>
        </w:rPr>
        <w:t>НЕФТЕЮГАНСКОГО РАЙОНА</w:t>
      </w:r>
    </w:p>
    <w:p w:rsidR="005A282D" w:rsidRPr="005F3A48" w:rsidRDefault="005A282D" w:rsidP="005063C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F3A48">
        <w:rPr>
          <w:rFonts w:ascii="Times New Roman" w:hAnsi="Times New Roman" w:cs="Times New Roman"/>
          <w:sz w:val="24"/>
          <w:szCs w:val="24"/>
        </w:rPr>
        <w:t xml:space="preserve"> В ТЕКУЩЕМ ФИНАНСОВОМ ГОДУ</w:t>
      </w:r>
    </w:p>
    <w:p w:rsidR="005A282D" w:rsidRPr="005F3A48" w:rsidRDefault="005A282D">
      <w:pPr>
        <w:pStyle w:val="ConsPlusNormal"/>
        <w:spacing w:after="1"/>
        <w:rPr>
          <w:rFonts w:ascii="Times New Roman" w:hAnsi="Times New Roman" w:cs="Times New Roman"/>
          <w:sz w:val="24"/>
          <w:szCs w:val="24"/>
        </w:rPr>
      </w:pPr>
    </w:p>
    <w:p w:rsidR="005A282D" w:rsidRPr="005F3A48" w:rsidRDefault="005A282D">
      <w:pPr>
        <w:pStyle w:val="ConsPlusNormal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A282D" w:rsidRPr="00B71EDF" w:rsidRDefault="005A282D" w:rsidP="00B71EDF">
      <w:pPr>
        <w:pStyle w:val="ConsPlusNormal"/>
        <w:numPr>
          <w:ilvl w:val="0"/>
          <w:numId w:val="4"/>
        </w:numPr>
        <w:ind w:left="0" w:firstLine="660"/>
        <w:jc w:val="both"/>
        <w:rPr>
          <w:rFonts w:ascii="Times New Roman" w:hAnsi="Times New Roman" w:cs="Times New Roman"/>
          <w:sz w:val="26"/>
          <w:szCs w:val="26"/>
        </w:rPr>
      </w:pPr>
      <w:r w:rsidRPr="00B71EDF">
        <w:rPr>
          <w:rFonts w:ascii="Times New Roman" w:hAnsi="Times New Roman" w:cs="Times New Roman"/>
          <w:sz w:val="26"/>
          <w:szCs w:val="26"/>
        </w:rPr>
        <w:t xml:space="preserve">В соответствии со статьей 242 Бюджетного кодекса Российской Федерации исполнение бюджета </w:t>
      </w:r>
      <w:r w:rsidR="005063C2" w:rsidRPr="00B71EDF">
        <w:rPr>
          <w:rFonts w:ascii="Times New Roman" w:hAnsi="Times New Roman" w:cs="Times New Roman"/>
          <w:sz w:val="26"/>
          <w:szCs w:val="26"/>
        </w:rPr>
        <w:t>Нефтеюганского района</w:t>
      </w:r>
      <w:r w:rsidRPr="00B71EDF">
        <w:rPr>
          <w:rFonts w:ascii="Times New Roman" w:hAnsi="Times New Roman" w:cs="Times New Roman"/>
          <w:sz w:val="26"/>
          <w:szCs w:val="26"/>
        </w:rPr>
        <w:t xml:space="preserve"> завершается в части:</w:t>
      </w:r>
    </w:p>
    <w:p w:rsidR="005A282D" w:rsidRPr="00B71EDF" w:rsidRDefault="005A282D">
      <w:pPr>
        <w:pStyle w:val="ConsPlusNormal"/>
        <w:spacing w:before="220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B71EDF">
        <w:rPr>
          <w:rFonts w:ascii="Times New Roman" w:hAnsi="Times New Roman" w:cs="Times New Roman"/>
          <w:sz w:val="26"/>
          <w:szCs w:val="26"/>
        </w:rPr>
        <w:t xml:space="preserve">кассовых операций по расходам бюджета </w:t>
      </w:r>
      <w:r w:rsidR="005063C2" w:rsidRPr="00B71EDF">
        <w:rPr>
          <w:rFonts w:ascii="Times New Roman" w:hAnsi="Times New Roman" w:cs="Times New Roman"/>
          <w:sz w:val="26"/>
          <w:szCs w:val="26"/>
        </w:rPr>
        <w:t xml:space="preserve">Нефтеюганского района </w:t>
      </w:r>
      <w:r w:rsidRPr="00B71EDF">
        <w:rPr>
          <w:rFonts w:ascii="Times New Roman" w:hAnsi="Times New Roman" w:cs="Times New Roman"/>
          <w:sz w:val="26"/>
          <w:szCs w:val="26"/>
        </w:rPr>
        <w:t xml:space="preserve">и источникам финансирования дефицита бюджета </w:t>
      </w:r>
      <w:r w:rsidR="005063C2" w:rsidRPr="00B71EDF">
        <w:rPr>
          <w:rFonts w:ascii="Times New Roman" w:hAnsi="Times New Roman" w:cs="Times New Roman"/>
          <w:sz w:val="26"/>
          <w:szCs w:val="26"/>
        </w:rPr>
        <w:t xml:space="preserve">Нефтеюганского района </w:t>
      </w:r>
      <w:r w:rsidRPr="00B71EDF">
        <w:rPr>
          <w:rFonts w:ascii="Times New Roman" w:hAnsi="Times New Roman" w:cs="Times New Roman"/>
          <w:sz w:val="26"/>
          <w:szCs w:val="26"/>
        </w:rPr>
        <w:t>в последний рабочий день текущего финансового года;</w:t>
      </w:r>
    </w:p>
    <w:p w:rsidR="005A282D" w:rsidRPr="00B71EDF" w:rsidRDefault="005A282D">
      <w:pPr>
        <w:pStyle w:val="ConsPlusNormal"/>
        <w:spacing w:before="220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B71EDF">
        <w:rPr>
          <w:rFonts w:ascii="Times New Roman" w:hAnsi="Times New Roman" w:cs="Times New Roman"/>
          <w:sz w:val="26"/>
          <w:szCs w:val="26"/>
        </w:rPr>
        <w:t xml:space="preserve">зачисления в бюджет </w:t>
      </w:r>
      <w:r w:rsidR="005063C2" w:rsidRPr="00B71EDF">
        <w:rPr>
          <w:rFonts w:ascii="Times New Roman" w:hAnsi="Times New Roman" w:cs="Times New Roman"/>
          <w:sz w:val="26"/>
          <w:szCs w:val="26"/>
        </w:rPr>
        <w:t xml:space="preserve">Нефтеюганского района </w:t>
      </w:r>
      <w:r w:rsidRPr="00B71EDF">
        <w:rPr>
          <w:rFonts w:ascii="Times New Roman" w:hAnsi="Times New Roman" w:cs="Times New Roman"/>
          <w:sz w:val="26"/>
          <w:szCs w:val="26"/>
        </w:rPr>
        <w:t xml:space="preserve">поступлений завершенного финансового года, распределенных в установленном порядке Управлением Федерального казначейства по Ханты-Мансийскому автономному округу - Югре между бюджетами бюджетной системы Российской Федерации, и их отражения в отчетности об исполнении бюджета </w:t>
      </w:r>
      <w:r w:rsidR="005063C2" w:rsidRPr="00B71EDF">
        <w:rPr>
          <w:rFonts w:ascii="Times New Roman" w:hAnsi="Times New Roman" w:cs="Times New Roman"/>
          <w:sz w:val="26"/>
          <w:szCs w:val="26"/>
        </w:rPr>
        <w:t xml:space="preserve">Нефтеюганского района </w:t>
      </w:r>
      <w:r w:rsidRPr="00B71EDF">
        <w:rPr>
          <w:rFonts w:ascii="Times New Roman" w:hAnsi="Times New Roman" w:cs="Times New Roman"/>
          <w:sz w:val="26"/>
          <w:szCs w:val="26"/>
        </w:rPr>
        <w:t xml:space="preserve">завершенного финансового года - в первые пять </w:t>
      </w:r>
      <w:r w:rsidR="00CE686F" w:rsidRPr="00B71EDF">
        <w:rPr>
          <w:rFonts w:ascii="Times New Roman" w:hAnsi="Times New Roman" w:cs="Times New Roman"/>
          <w:sz w:val="26"/>
          <w:szCs w:val="26"/>
        </w:rPr>
        <w:t>рабочих дней</w:t>
      </w:r>
      <w:r w:rsidRPr="00B71EDF">
        <w:rPr>
          <w:rFonts w:ascii="Times New Roman" w:hAnsi="Times New Roman" w:cs="Times New Roman"/>
          <w:sz w:val="26"/>
          <w:szCs w:val="26"/>
        </w:rPr>
        <w:t xml:space="preserve"> очередного финансового года.</w:t>
      </w:r>
    </w:p>
    <w:p w:rsidR="005A282D" w:rsidRPr="00B71EDF" w:rsidRDefault="005A282D" w:rsidP="00B71EDF">
      <w:pPr>
        <w:pStyle w:val="ConsPlusNormal"/>
        <w:numPr>
          <w:ilvl w:val="0"/>
          <w:numId w:val="4"/>
        </w:numPr>
        <w:spacing w:before="220"/>
        <w:ind w:left="0" w:firstLine="660"/>
        <w:jc w:val="both"/>
        <w:rPr>
          <w:rFonts w:ascii="Times New Roman" w:hAnsi="Times New Roman" w:cs="Times New Roman"/>
          <w:sz w:val="26"/>
          <w:szCs w:val="26"/>
        </w:rPr>
      </w:pPr>
      <w:r w:rsidRPr="00B71EDF">
        <w:rPr>
          <w:rFonts w:ascii="Times New Roman" w:hAnsi="Times New Roman" w:cs="Times New Roman"/>
          <w:sz w:val="26"/>
          <w:szCs w:val="26"/>
        </w:rPr>
        <w:t xml:space="preserve">Главные распорядители средств бюджета </w:t>
      </w:r>
      <w:r w:rsidR="005063C2" w:rsidRPr="00B71EDF">
        <w:rPr>
          <w:rFonts w:ascii="Times New Roman" w:hAnsi="Times New Roman" w:cs="Times New Roman"/>
          <w:sz w:val="26"/>
          <w:szCs w:val="26"/>
        </w:rPr>
        <w:t>Нефтеюганского района</w:t>
      </w:r>
      <w:r w:rsidRPr="00B71EDF">
        <w:rPr>
          <w:rFonts w:ascii="Times New Roman" w:hAnsi="Times New Roman" w:cs="Times New Roman"/>
          <w:sz w:val="26"/>
          <w:szCs w:val="26"/>
        </w:rPr>
        <w:t xml:space="preserve">, главные администраторы источников финансирования дефицита бюджета </w:t>
      </w:r>
      <w:r w:rsidR="005063C2" w:rsidRPr="00B71EDF">
        <w:rPr>
          <w:rFonts w:ascii="Times New Roman" w:hAnsi="Times New Roman" w:cs="Times New Roman"/>
          <w:sz w:val="26"/>
          <w:szCs w:val="26"/>
        </w:rPr>
        <w:t xml:space="preserve">Нефтеюганского района </w:t>
      </w:r>
      <w:r w:rsidRPr="00B71EDF">
        <w:rPr>
          <w:rFonts w:ascii="Times New Roman" w:hAnsi="Times New Roman" w:cs="Times New Roman"/>
          <w:sz w:val="26"/>
          <w:szCs w:val="26"/>
        </w:rPr>
        <w:t xml:space="preserve">представляют в Департамент финансов </w:t>
      </w:r>
      <w:r w:rsidR="005063C2" w:rsidRPr="00B71EDF">
        <w:rPr>
          <w:rFonts w:ascii="Times New Roman" w:hAnsi="Times New Roman" w:cs="Times New Roman"/>
          <w:sz w:val="26"/>
          <w:szCs w:val="26"/>
        </w:rPr>
        <w:t xml:space="preserve">Нефтеюганского района </w:t>
      </w:r>
      <w:r w:rsidRPr="00B71EDF">
        <w:rPr>
          <w:rFonts w:ascii="Times New Roman" w:hAnsi="Times New Roman" w:cs="Times New Roman"/>
          <w:sz w:val="26"/>
          <w:szCs w:val="26"/>
        </w:rPr>
        <w:t xml:space="preserve">(далее - Департамент финансов) документы об изменении показателей сводной бюджетной росписи расходов и лимитов бюджетных обязательств не позднее чем за десять рабочих дней до окончания текущего финансового года, за исключением расходов на исполнение требований по исполнительным документам и межбюджетных трансфертов, предоставляемых за счет средств федерального бюджета и средств бюджета </w:t>
      </w:r>
      <w:r w:rsidR="00CE686F" w:rsidRPr="00B71EDF">
        <w:rPr>
          <w:rFonts w:ascii="Times New Roman" w:hAnsi="Times New Roman" w:cs="Times New Roman"/>
          <w:sz w:val="26"/>
          <w:szCs w:val="26"/>
        </w:rPr>
        <w:t xml:space="preserve">Ханты-Мансийского </w:t>
      </w:r>
      <w:r w:rsidRPr="00B71EDF">
        <w:rPr>
          <w:rFonts w:ascii="Times New Roman" w:hAnsi="Times New Roman" w:cs="Times New Roman"/>
          <w:sz w:val="26"/>
          <w:szCs w:val="26"/>
        </w:rPr>
        <w:t>автономного округа</w:t>
      </w:r>
      <w:r w:rsidR="00CE686F" w:rsidRPr="00B71EDF">
        <w:rPr>
          <w:rFonts w:ascii="Times New Roman" w:hAnsi="Times New Roman" w:cs="Times New Roman"/>
          <w:sz w:val="26"/>
          <w:szCs w:val="26"/>
        </w:rPr>
        <w:t xml:space="preserve"> - Югры</w:t>
      </w:r>
      <w:r w:rsidRPr="00B71EDF">
        <w:rPr>
          <w:rFonts w:ascii="Times New Roman" w:hAnsi="Times New Roman" w:cs="Times New Roman"/>
          <w:sz w:val="26"/>
          <w:szCs w:val="26"/>
        </w:rPr>
        <w:t xml:space="preserve"> на обеспечение доли софинансирования межбюджетных субсидий из федерального бюджета.</w:t>
      </w:r>
    </w:p>
    <w:p w:rsidR="005A282D" w:rsidRPr="00D30854" w:rsidRDefault="005A282D" w:rsidP="00B71EDF">
      <w:pPr>
        <w:pStyle w:val="ConsPlusNormal"/>
        <w:numPr>
          <w:ilvl w:val="0"/>
          <w:numId w:val="4"/>
        </w:numPr>
        <w:spacing w:before="220"/>
        <w:ind w:left="0" w:firstLine="660"/>
        <w:jc w:val="both"/>
        <w:rPr>
          <w:rFonts w:ascii="Times New Roman" w:hAnsi="Times New Roman" w:cs="Times New Roman"/>
          <w:sz w:val="26"/>
          <w:szCs w:val="26"/>
        </w:rPr>
      </w:pPr>
      <w:r w:rsidRPr="00B71EDF">
        <w:rPr>
          <w:rFonts w:ascii="Times New Roman" w:hAnsi="Times New Roman" w:cs="Times New Roman"/>
          <w:sz w:val="26"/>
          <w:szCs w:val="26"/>
        </w:rPr>
        <w:t xml:space="preserve">Главные распорядители, распорядители и получатели средств бюджета </w:t>
      </w:r>
      <w:r w:rsidR="005063C2" w:rsidRPr="00B71EDF">
        <w:rPr>
          <w:rFonts w:ascii="Times New Roman" w:hAnsi="Times New Roman" w:cs="Times New Roman"/>
          <w:sz w:val="26"/>
          <w:szCs w:val="26"/>
        </w:rPr>
        <w:t>Нефтеюганского района</w:t>
      </w:r>
      <w:r w:rsidR="005F3A48" w:rsidRPr="00B71EDF">
        <w:rPr>
          <w:rFonts w:ascii="Times New Roman" w:hAnsi="Times New Roman" w:cs="Times New Roman"/>
          <w:sz w:val="26"/>
          <w:szCs w:val="26"/>
        </w:rPr>
        <w:t>,</w:t>
      </w:r>
      <w:r w:rsidRPr="00B71EDF">
        <w:rPr>
          <w:rFonts w:ascii="Times New Roman" w:hAnsi="Times New Roman" w:cs="Times New Roman"/>
          <w:sz w:val="26"/>
          <w:szCs w:val="26"/>
        </w:rPr>
        <w:t xml:space="preserve"> </w:t>
      </w:r>
      <w:r w:rsidR="005F3A48" w:rsidRPr="00B71EDF">
        <w:rPr>
          <w:rFonts w:ascii="Times New Roman" w:hAnsi="Times New Roman" w:cs="Times New Roman"/>
          <w:sz w:val="26"/>
          <w:szCs w:val="26"/>
        </w:rPr>
        <w:t xml:space="preserve">поселения, входящие в состав Нефтеюганского </w:t>
      </w:r>
      <w:r w:rsidR="00CE686F" w:rsidRPr="00B71EDF">
        <w:rPr>
          <w:rFonts w:ascii="Times New Roman" w:hAnsi="Times New Roman" w:cs="Times New Roman"/>
          <w:sz w:val="26"/>
          <w:szCs w:val="26"/>
        </w:rPr>
        <w:t>района,</w:t>
      </w:r>
      <w:r w:rsidR="005F3A48" w:rsidRPr="00B71EDF">
        <w:rPr>
          <w:rFonts w:ascii="Times New Roman" w:hAnsi="Times New Roman" w:cs="Times New Roman"/>
          <w:sz w:val="26"/>
          <w:szCs w:val="26"/>
        </w:rPr>
        <w:t xml:space="preserve"> </w:t>
      </w:r>
      <w:r w:rsidRPr="00B71EDF">
        <w:rPr>
          <w:rFonts w:ascii="Times New Roman" w:hAnsi="Times New Roman" w:cs="Times New Roman"/>
          <w:sz w:val="26"/>
          <w:szCs w:val="26"/>
        </w:rPr>
        <w:t xml:space="preserve">представляют расчетные документы на осуществление кассовых расходов бюджета </w:t>
      </w:r>
      <w:r w:rsidR="005063C2" w:rsidRPr="00B71EDF">
        <w:rPr>
          <w:rFonts w:ascii="Times New Roman" w:hAnsi="Times New Roman" w:cs="Times New Roman"/>
          <w:sz w:val="26"/>
          <w:szCs w:val="26"/>
        </w:rPr>
        <w:t xml:space="preserve">Нефтеюганского района </w:t>
      </w:r>
      <w:r w:rsidRPr="00B71EDF">
        <w:rPr>
          <w:rFonts w:ascii="Times New Roman" w:hAnsi="Times New Roman" w:cs="Times New Roman"/>
          <w:sz w:val="26"/>
          <w:szCs w:val="26"/>
        </w:rPr>
        <w:t xml:space="preserve">не позднее чем за два рабочих дня до окончания </w:t>
      </w:r>
      <w:r w:rsidRPr="00D30854">
        <w:rPr>
          <w:rFonts w:ascii="Times New Roman" w:hAnsi="Times New Roman" w:cs="Times New Roman"/>
          <w:sz w:val="26"/>
          <w:szCs w:val="26"/>
        </w:rPr>
        <w:t>текущего финансового года, за исключением отдельных кассовых расходов:</w:t>
      </w:r>
    </w:p>
    <w:p w:rsidR="005A282D" w:rsidRPr="00D30854" w:rsidRDefault="005A282D">
      <w:pPr>
        <w:pStyle w:val="ConsPlusNormal"/>
        <w:spacing w:before="220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D30854">
        <w:rPr>
          <w:rFonts w:ascii="Times New Roman" w:hAnsi="Times New Roman" w:cs="Times New Roman"/>
          <w:sz w:val="26"/>
          <w:szCs w:val="26"/>
        </w:rPr>
        <w:t>для осуществления операций по выплатам за счет наличных денег на банковские счета, предназначенные для выдачи и внесения наличных денежных средств, открытые Управлению Федерального казначейства по Ханты-Мансийскому автономному округу - Югре, - не позднее чем за четыре рабочих дня до окончания текущего финансового года;</w:t>
      </w:r>
    </w:p>
    <w:p w:rsidR="005A282D" w:rsidRPr="00D30854" w:rsidRDefault="005A282D">
      <w:pPr>
        <w:pStyle w:val="ConsPlusNormal"/>
        <w:spacing w:before="220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D30854">
        <w:rPr>
          <w:rFonts w:ascii="Times New Roman" w:hAnsi="Times New Roman" w:cs="Times New Roman"/>
          <w:sz w:val="26"/>
          <w:szCs w:val="26"/>
        </w:rPr>
        <w:lastRenderedPageBreak/>
        <w:t xml:space="preserve">для осуществления возврата платежей с казначейского счета для осуществления и отражения операций с денежными средствами, поступающими во временное распоряжение получателей средств бюджета </w:t>
      </w:r>
      <w:r w:rsidR="005063C2" w:rsidRPr="00D30854">
        <w:rPr>
          <w:rFonts w:ascii="Times New Roman" w:hAnsi="Times New Roman" w:cs="Times New Roman"/>
          <w:sz w:val="26"/>
          <w:szCs w:val="26"/>
        </w:rPr>
        <w:t xml:space="preserve">Нефтеюганского района </w:t>
      </w:r>
      <w:r w:rsidRPr="00D30854">
        <w:rPr>
          <w:rFonts w:ascii="Times New Roman" w:hAnsi="Times New Roman" w:cs="Times New Roman"/>
          <w:sz w:val="26"/>
          <w:szCs w:val="26"/>
        </w:rPr>
        <w:t>- не позднее чем за один рабочий день до окончания текущего финансового года</w:t>
      </w:r>
      <w:r w:rsidR="00CE686F" w:rsidRPr="00D30854">
        <w:rPr>
          <w:rFonts w:ascii="Times New Roman" w:hAnsi="Times New Roman" w:cs="Times New Roman"/>
          <w:sz w:val="26"/>
          <w:szCs w:val="26"/>
        </w:rPr>
        <w:t>.</w:t>
      </w:r>
    </w:p>
    <w:p w:rsidR="00D30854" w:rsidRDefault="00D30854" w:rsidP="00B71EDF">
      <w:pPr>
        <w:pStyle w:val="ConsPlusNormal"/>
        <w:numPr>
          <w:ilvl w:val="0"/>
          <w:numId w:val="4"/>
        </w:numPr>
        <w:spacing w:before="220"/>
        <w:ind w:left="0" w:firstLine="6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Pr="00D30854">
        <w:rPr>
          <w:rFonts w:ascii="Times New Roman" w:hAnsi="Times New Roman" w:cs="Times New Roman"/>
          <w:sz w:val="26"/>
          <w:szCs w:val="26"/>
        </w:rPr>
        <w:t xml:space="preserve">о завершения текущего финансового года </w:t>
      </w:r>
      <w:r>
        <w:rPr>
          <w:rFonts w:ascii="Times New Roman" w:hAnsi="Times New Roman" w:cs="Times New Roman"/>
          <w:sz w:val="26"/>
          <w:szCs w:val="26"/>
        </w:rPr>
        <w:t>м</w:t>
      </w:r>
      <w:r w:rsidR="00B35EFF" w:rsidRPr="00D30854">
        <w:rPr>
          <w:rFonts w:ascii="Times New Roman" w:hAnsi="Times New Roman" w:cs="Times New Roman"/>
          <w:sz w:val="26"/>
          <w:szCs w:val="26"/>
        </w:rPr>
        <w:t>униципальным бюджетным и автономным учреждениям обеспечить возврат</w:t>
      </w:r>
      <w:r w:rsidRPr="00D30854">
        <w:rPr>
          <w:rFonts w:ascii="Times New Roman" w:hAnsi="Times New Roman" w:cs="Times New Roman"/>
          <w:sz w:val="26"/>
          <w:szCs w:val="26"/>
        </w:rPr>
        <w:t xml:space="preserve"> главным распорядителям бюджетных средств, осуществляющих функции и полномочия учредителя</w:t>
      </w:r>
      <w:r w:rsidR="00B71EDF" w:rsidRPr="00D30854">
        <w:rPr>
          <w:rFonts w:ascii="Times New Roman" w:hAnsi="Times New Roman" w:cs="Times New Roman"/>
          <w:sz w:val="26"/>
          <w:szCs w:val="26"/>
        </w:rPr>
        <w:t xml:space="preserve"> остатков средств со счета № 03234643718180008700 «Казначейский счет для осуществления и отражения операций с денежными средствами бюджетных и автономных учреждений» на счет № 03231643718180008700 «Единый счет бюджета»</w:t>
      </w:r>
      <w:r w:rsidR="006A6B22">
        <w:rPr>
          <w:rFonts w:ascii="Times New Roman" w:hAnsi="Times New Roman" w:cs="Times New Roman"/>
          <w:sz w:val="26"/>
          <w:szCs w:val="26"/>
        </w:rPr>
        <w:t xml:space="preserve"> за исключением остатков прошлых лет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B71EDF" w:rsidRPr="00D30854" w:rsidRDefault="00B71EDF" w:rsidP="00B71EDF">
      <w:pPr>
        <w:pStyle w:val="ConsPlusNormal"/>
        <w:numPr>
          <w:ilvl w:val="0"/>
          <w:numId w:val="4"/>
        </w:numPr>
        <w:spacing w:before="220"/>
        <w:ind w:left="0" w:firstLine="660"/>
        <w:jc w:val="both"/>
        <w:rPr>
          <w:rFonts w:ascii="Times New Roman" w:hAnsi="Times New Roman" w:cs="Times New Roman"/>
          <w:sz w:val="26"/>
          <w:szCs w:val="26"/>
        </w:rPr>
      </w:pPr>
      <w:r w:rsidRPr="00D30854">
        <w:rPr>
          <w:rFonts w:ascii="Times New Roman" w:hAnsi="Times New Roman" w:cs="Times New Roman"/>
          <w:sz w:val="26"/>
          <w:szCs w:val="26"/>
        </w:rPr>
        <w:t>Администраторам доходов бюджета района обеспечить полное уточнение невыясненных платежей по администрируемым видам доходов бюджета до завершения текущего финансового года.</w:t>
      </w:r>
    </w:p>
    <w:p w:rsidR="005A282D" w:rsidRPr="00B71EDF" w:rsidRDefault="005A282D" w:rsidP="00B71EDF">
      <w:pPr>
        <w:pStyle w:val="ConsPlusNormal"/>
        <w:numPr>
          <w:ilvl w:val="0"/>
          <w:numId w:val="4"/>
        </w:numPr>
        <w:spacing w:before="220"/>
        <w:ind w:left="0" w:firstLine="660"/>
        <w:jc w:val="both"/>
        <w:rPr>
          <w:rFonts w:ascii="Times New Roman" w:hAnsi="Times New Roman" w:cs="Times New Roman"/>
          <w:sz w:val="26"/>
          <w:szCs w:val="26"/>
        </w:rPr>
      </w:pPr>
      <w:r w:rsidRPr="00D30854">
        <w:rPr>
          <w:rFonts w:ascii="Times New Roman" w:hAnsi="Times New Roman" w:cs="Times New Roman"/>
          <w:sz w:val="26"/>
          <w:szCs w:val="26"/>
        </w:rPr>
        <w:t>Главные администраторы</w:t>
      </w:r>
      <w:r w:rsidRPr="00B71EDF">
        <w:rPr>
          <w:rFonts w:ascii="Times New Roman" w:hAnsi="Times New Roman" w:cs="Times New Roman"/>
          <w:sz w:val="26"/>
          <w:szCs w:val="26"/>
        </w:rPr>
        <w:t xml:space="preserve"> источников финансирования дефицита бюджета </w:t>
      </w:r>
      <w:r w:rsidR="005063C2" w:rsidRPr="00B71EDF">
        <w:rPr>
          <w:rFonts w:ascii="Times New Roman" w:hAnsi="Times New Roman" w:cs="Times New Roman"/>
          <w:sz w:val="26"/>
          <w:szCs w:val="26"/>
        </w:rPr>
        <w:t xml:space="preserve">Нефтеюганского района </w:t>
      </w:r>
      <w:r w:rsidRPr="00B71EDF">
        <w:rPr>
          <w:rFonts w:ascii="Times New Roman" w:hAnsi="Times New Roman" w:cs="Times New Roman"/>
          <w:sz w:val="26"/>
          <w:szCs w:val="26"/>
        </w:rPr>
        <w:t xml:space="preserve">предоставляют расчетные документы для осуществления кассовых выплат по источникам финансирования дефицита бюджета </w:t>
      </w:r>
      <w:r w:rsidR="005063C2" w:rsidRPr="00B71EDF">
        <w:rPr>
          <w:rFonts w:ascii="Times New Roman" w:hAnsi="Times New Roman" w:cs="Times New Roman"/>
          <w:sz w:val="26"/>
          <w:szCs w:val="26"/>
        </w:rPr>
        <w:t xml:space="preserve">Нефтеюганского района </w:t>
      </w:r>
      <w:r w:rsidRPr="00B71EDF">
        <w:rPr>
          <w:rFonts w:ascii="Times New Roman" w:hAnsi="Times New Roman" w:cs="Times New Roman"/>
          <w:sz w:val="26"/>
          <w:szCs w:val="26"/>
        </w:rPr>
        <w:t xml:space="preserve">не позднее чем за один </w:t>
      </w:r>
      <w:r w:rsidR="005F3A48" w:rsidRPr="00B71EDF">
        <w:rPr>
          <w:rFonts w:ascii="Times New Roman" w:hAnsi="Times New Roman" w:cs="Times New Roman"/>
          <w:sz w:val="26"/>
          <w:szCs w:val="26"/>
        </w:rPr>
        <w:t xml:space="preserve">рабочий </w:t>
      </w:r>
      <w:r w:rsidRPr="00B71EDF">
        <w:rPr>
          <w:rFonts w:ascii="Times New Roman" w:hAnsi="Times New Roman" w:cs="Times New Roman"/>
          <w:sz w:val="26"/>
          <w:szCs w:val="26"/>
        </w:rPr>
        <w:t>день до окончания текущего финансового года.</w:t>
      </w:r>
    </w:p>
    <w:p w:rsidR="005A282D" w:rsidRPr="0016466E" w:rsidRDefault="005A282D" w:rsidP="00B71EDF">
      <w:pPr>
        <w:pStyle w:val="ConsPlusNormal"/>
        <w:numPr>
          <w:ilvl w:val="0"/>
          <w:numId w:val="4"/>
        </w:numPr>
        <w:spacing w:before="220"/>
        <w:ind w:left="0" w:firstLine="660"/>
        <w:jc w:val="both"/>
        <w:rPr>
          <w:rFonts w:ascii="Times New Roman" w:hAnsi="Times New Roman" w:cs="Times New Roman"/>
          <w:sz w:val="26"/>
          <w:szCs w:val="26"/>
        </w:rPr>
      </w:pPr>
      <w:r w:rsidRPr="0016466E">
        <w:rPr>
          <w:rFonts w:ascii="Times New Roman" w:hAnsi="Times New Roman" w:cs="Times New Roman"/>
          <w:sz w:val="26"/>
          <w:szCs w:val="26"/>
        </w:rPr>
        <w:t xml:space="preserve">Ежегодно правовым актом Департамента финансов, обязательным к применению получателями средств бюджета </w:t>
      </w:r>
      <w:r w:rsidR="005063C2" w:rsidRPr="0016466E">
        <w:rPr>
          <w:rFonts w:ascii="Times New Roman" w:hAnsi="Times New Roman" w:cs="Times New Roman"/>
          <w:sz w:val="26"/>
          <w:szCs w:val="26"/>
        </w:rPr>
        <w:t>Нефтеюганского района</w:t>
      </w:r>
      <w:r w:rsidRPr="0016466E">
        <w:rPr>
          <w:rFonts w:ascii="Times New Roman" w:hAnsi="Times New Roman" w:cs="Times New Roman"/>
          <w:sz w:val="26"/>
          <w:szCs w:val="26"/>
        </w:rPr>
        <w:t xml:space="preserve">, устанавливаются сроки выплаты заработной платы и стипендий за последний месяц текущего финансового года, а также сроки выплаты пособий, </w:t>
      </w:r>
      <w:r w:rsidR="0016466E" w:rsidRPr="0016466E">
        <w:rPr>
          <w:rFonts w:ascii="Times New Roman" w:hAnsi="Times New Roman" w:cs="Times New Roman"/>
          <w:sz w:val="26"/>
          <w:szCs w:val="26"/>
        </w:rPr>
        <w:t xml:space="preserve">пенсии за выслугу лет, </w:t>
      </w:r>
      <w:r w:rsidRPr="0016466E">
        <w:rPr>
          <w:rFonts w:ascii="Times New Roman" w:hAnsi="Times New Roman" w:cs="Times New Roman"/>
          <w:sz w:val="26"/>
          <w:szCs w:val="26"/>
        </w:rPr>
        <w:t xml:space="preserve">компенсаций и </w:t>
      </w:r>
      <w:r w:rsidR="0016466E" w:rsidRPr="0016466E">
        <w:rPr>
          <w:rFonts w:ascii="Times New Roman" w:hAnsi="Times New Roman" w:cs="Times New Roman"/>
          <w:sz w:val="26"/>
          <w:szCs w:val="26"/>
        </w:rPr>
        <w:t>ежемесячных денежных выплат гражданам</w:t>
      </w:r>
      <w:r w:rsidRPr="0016466E">
        <w:rPr>
          <w:rFonts w:ascii="Times New Roman" w:hAnsi="Times New Roman" w:cs="Times New Roman"/>
          <w:sz w:val="26"/>
          <w:szCs w:val="26"/>
        </w:rPr>
        <w:t xml:space="preserve"> за первый месяц очередного финансового года.</w:t>
      </w:r>
    </w:p>
    <w:p w:rsidR="005A282D" w:rsidRPr="00B71EDF" w:rsidRDefault="005A282D" w:rsidP="00B71EDF">
      <w:pPr>
        <w:pStyle w:val="ConsPlusNormal"/>
        <w:numPr>
          <w:ilvl w:val="0"/>
          <w:numId w:val="4"/>
        </w:numPr>
        <w:spacing w:before="220"/>
        <w:ind w:left="0" w:firstLine="660"/>
        <w:jc w:val="both"/>
        <w:rPr>
          <w:rFonts w:ascii="Times New Roman" w:hAnsi="Times New Roman" w:cs="Times New Roman"/>
          <w:sz w:val="26"/>
          <w:szCs w:val="26"/>
        </w:rPr>
      </w:pPr>
      <w:r w:rsidRPr="0016466E">
        <w:rPr>
          <w:rFonts w:ascii="Times New Roman" w:hAnsi="Times New Roman" w:cs="Times New Roman"/>
          <w:sz w:val="26"/>
          <w:szCs w:val="26"/>
        </w:rPr>
        <w:t>Остатки неиспользованных</w:t>
      </w:r>
      <w:r w:rsidRPr="00B71EDF">
        <w:rPr>
          <w:rFonts w:ascii="Times New Roman" w:hAnsi="Times New Roman" w:cs="Times New Roman"/>
          <w:sz w:val="26"/>
          <w:szCs w:val="26"/>
        </w:rPr>
        <w:t xml:space="preserve"> лимитов бюджетных обязательств, бюджетных ассигнований текущего финансового года, отраженные на лицевых счетах, открытых в Департаменте финансов получателям средств бюджета </w:t>
      </w:r>
      <w:r w:rsidR="005063C2" w:rsidRPr="00B71EDF">
        <w:rPr>
          <w:rFonts w:ascii="Times New Roman" w:hAnsi="Times New Roman" w:cs="Times New Roman"/>
          <w:sz w:val="26"/>
          <w:szCs w:val="26"/>
        </w:rPr>
        <w:t>Нефтеюганского района</w:t>
      </w:r>
      <w:r w:rsidRPr="00B71EDF">
        <w:rPr>
          <w:rFonts w:ascii="Times New Roman" w:hAnsi="Times New Roman" w:cs="Times New Roman"/>
          <w:sz w:val="26"/>
          <w:szCs w:val="26"/>
        </w:rPr>
        <w:t xml:space="preserve">, главным администраторам источников финансирования дефицита бюджета </w:t>
      </w:r>
      <w:r w:rsidR="005063C2" w:rsidRPr="00B71EDF">
        <w:rPr>
          <w:rFonts w:ascii="Times New Roman" w:hAnsi="Times New Roman" w:cs="Times New Roman"/>
          <w:sz w:val="26"/>
          <w:szCs w:val="26"/>
        </w:rPr>
        <w:t>Нефтеюганского района</w:t>
      </w:r>
      <w:r w:rsidRPr="00B71EDF">
        <w:rPr>
          <w:rFonts w:ascii="Times New Roman" w:hAnsi="Times New Roman" w:cs="Times New Roman"/>
          <w:sz w:val="26"/>
          <w:szCs w:val="26"/>
        </w:rPr>
        <w:t>, не подлежат учету на указанных лицевых счетах в качестве остатков на начало очередного финансового года.</w:t>
      </w:r>
    </w:p>
    <w:p w:rsidR="005A282D" w:rsidRPr="00B71EDF" w:rsidRDefault="005A282D" w:rsidP="00B71EDF">
      <w:pPr>
        <w:pStyle w:val="ConsPlusNormal"/>
        <w:numPr>
          <w:ilvl w:val="0"/>
          <w:numId w:val="4"/>
        </w:numPr>
        <w:spacing w:before="220"/>
        <w:ind w:left="0" w:firstLine="660"/>
        <w:jc w:val="both"/>
        <w:rPr>
          <w:rFonts w:ascii="Times New Roman" w:hAnsi="Times New Roman" w:cs="Times New Roman"/>
          <w:sz w:val="26"/>
          <w:szCs w:val="26"/>
        </w:rPr>
      </w:pPr>
      <w:r w:rsidRPr="00B71EDF">
        <w:rPr>
          <w:rFonts w:ascii="Times New Roman" w:hAnsi="Times New Roman" w:cs="Times New Roman"/>
          <w:sz w:val="26"/>
          <w:szCs w:val="26"/>
        </w:rPr>
        <w:t xml:space="preserve">Завершение операций по исполнению плана финансово-хозяйственной деятельности в текущем финансовом году </w:t>
      </w:r>
      <w:r w:rsidR="005063C2" w:rsidRPr="00B71EDF">
        <w:rPr>
          <w:rFonts w:ascii="Times New Roman" w:hAnsi="Times New Roman" w:cs="Times New Roman"/>
          <w:sz w:val="26"/>
          <w:szCs w:val="26"/>
        </w:rPr>
        <w:t>муниципальными</w:t>
      </w:r>
      <w:r w:rsidRPr="00B71EDF">
        <w:rPr>
          <w:rFonts w:ascii="Times New Roman" w:hAnsi="Times New Roman" w:cs="Times New Roman"/>
          <w:sz w:val="26"/>
          <w:szCs w:val="26"/>
        </w:rPr>
        <w:t xml:space="preserve"> бюджетными и автономными учреждениями, лицевые счета которым открыты в Департаменте финансов, осуществляется в соответствии с настоящим порядком.</w:t>
      </w:r>
    </w:p>
    <w:p w:rsidR="005A282D" w:rsidRPr="00B71EDF" w:rsidRDefault="005A282D" w:rsidP="00B71EDF">
      <w:pPr>
        <w:pStyle w:val="ConsPlusNormal"/>
        <w:numPr>
          <w:ilvl w:val="0"/>
          <w:numId w:val="4"/>
        </w:numPr>
        <w:spacing w:before="220"/>
        <w:ind w:left="0" w:firstLine="660"/>
        <w:jc w:val="both"/>
        <w:rPr>
          <w:rFonts w:ascii="Times New Roman" w:hAnsi="Times New Roman" w:cs="Times New Roman"/>
          <w:sz w:val="26"/>
          <w:szCs w:val="26"/>
        </w:rPr>
      </w:pPr>
      <w:r w:rsidRPr="00B71EDF">
        <w:rPr>
          <w:rFonts w:ascii="Times New Roman" w:hAnsi="Times New Roman" w:cs="Times New Roman"/>
          <w:sz w:val="26"/>
          <w:szCs w:val="26"/>
        </w:rPr>
        <w:t xml:space="preserve">Остатки средств бюджета </w:t>
      </w:r>
      <w:r w:rsidR="00CE686F" w:rsidRPr="00B71EDF">
        <w:rPr>
          <w:rFonts w:ascii="Times New Roman" w:hAnsi="Times New Roman" w:cs="Times New Roman"/>
          <w:sz w:val="26"/>
          <w:szCs w:val="26"/>
        </w:rPr>
        <w:t>Нефтеюганского района</w:t>
      </w:r>
      <w:r w:rsidRPr="00B71EDF">
        <w:rPr>
          <w:rFonts w:ascii="Times New Roman" w:hAnsi="Times New Roman" w:cs="Times New Roman"/>
          <w:sz w:val="26"/>
          <w:szCs w:val="26"/>
        </w:rPr>
        <w:t xml:space="preserve"> завершенного финансового года, поступившие на единый счет бюджета </w:t>
      </w:r>
      <w:r w:rsidR="00CE686F" w:rsidRPr="00B71EDF">
        <w:rPr>
          <w:rFonts w:ascii="Times New Roman" w:hAnsi="Times New Roman" w:cs="Times New Roman"/>
          <w:sz w:val="26"/>
          <w:szCs w:val="26"/>
        </w:rPr>
        <w:t xml:space="preserve">Нефтеюганского района </w:t>
      </w:r>
      <w:r w:rsidRPr="00B71EDF">
        <w:rPr>
          <w:rFonts w:ascii="Times New Roman" w:hAnsi="Times New Roman" w:cs="Times New Roman"/>
          <w:sz w:val="26"/>
          <w:szCs w:val="26"/>
        </w:rPr>
        <w:t xml:space="preserve">в очередном финансовом году, подлежат перечислению в доход бюджета </w:t>
      </w:r>
      <w:r w:rsidR="00CE686F" w:rsidRPr="00B71EDF">
        <w:rPr>
          <w:rFonts w:ascii="Times New Roman" w:hAnsi="Times New Roman" w:cs="Times New Roman"/>
          <w:sz w:val="26"/>
          <w:szCs w:val="26"/>
        </w:rPr>
        <w:t xml:space="preserve">Нефтеюганского района </w:t>
      </w:r>
      <w:r w:rsidRPr="00B71EDF">
        <w:rPr>
          <w:rFonts w:ascii="Times New Roman" w:hAnsi="Times New Roman" w:cs="Times New Roman"/>
          <w:sz w:val="26"/>
          <w:szCs w:val="26"/>
        </w:rPr>
        <w:t xml:space="preserve">в порядке, установленном для возврата дебиторской задолженности прошлых лет получателей средств бюджета </w:t>
      </w:r>
      <w:r w:rsidR="00CE686F" w:rsidRPr="00B71EDF">
        <w:rPr>
          <w:rFonts w:ascii="Times New Roman" w:hAnsi="Times New Roman" w:cs="Times New Roman"/>
          <w:sz w:val="26"/>
          <w:szCs w:val="26"/>
        </w:rPr>
        <w:t>Нефтеюганского района</w:t>
      </w:r>
      <w:r w:rsidRPr="00B71EDF">
        <w:rPr>
          <w:rFonts w:ascii="Times New Roman" w:hAnsi="Times New Roman" w:cs="Times New Roman"/>
          <w:sz w:val="26"/>
          <w:szCs w:val="26"/>
        </w:rPr>
        <w:t>.</w:t>
      </w:r>
    </w:p>
    <w:p w:rsidR="005A282D" w:rsidRPr="00B71EDF" w:rsidRDefault="005A282D">
      <w:pPr>
        <w:pStyle w:val="ConsPlusNormal"/>
        <w:spacing w:before="220"/>
        <w:ind w:firstLine="660"/>
        <w:jc w:val="both"/>
        <w:rPr>
          <w:rFonts w:ascii="Times New Roman" w:hAnsi="Times New Roman" w:cs="Times New Roman"/>
          <w:sz w:val="26"/>
          <w:szCs w:val="26"/>
        </w:rPr>
      </w:pPr>
      <w:r w:rsidRPr="00B71EDF">
        <w:rPr>
          <w:rFonts w:ascii="Times New Roman" w:hAnsi="Times New Roman" w:cs="Times New Roman"/>
          <w:sz w:val="26"/>
          <w:szCs w:val="26"/>
        </w:rPr>
        <w:t xml:space="preserve">В случае, если средства бюджета завершенного финансового года, направленные на осуществление социальных выплат в соответствии с </w:t>
      </w:r>
      <w:r w:rsidRPr="00B71EDF">
        <w:rPr>
          <w:rFonts w:ascii="Times New Roman" w:hAnsi="Times New Roman" w:cs="Times New Roman"/>
          <w:sz w:val="26"/>
          <w:szCs w:val="26"/>
        </w:rPr>
        <w:lastRenderedPageBreak/>
        <w:t xml:space="preserve">законодательством, возвращены в очередном финансовом году подразделениями Банка России или кредитными организациями на единый счет бюджета </w:t>
      </w:r>
      <w:r w:rsidR="00C148D0">
        <w:rPr>
          <w:rFonts w:ascii="Times New Roman" w:hAnsi="Times New Roman" w:cs="Times New Roman"/>
          <w:sz w:val="26"/>
          <w:szCs w:val="26"/>
        </w:rPr>
        <w:t>Нефтеюганского района</w:t>
      </w:r>
      <w:r w:rsidRPr="00B71EDF">
        <w:rPr>
          <w:rFonts w:ascii="Times New Roman" w:hAnsi="Times New Roman" w:cs="Times New Roman"/>
          <w:sz w:val="26"/>
          <w:szCs w:val="26"/>
        </w:rPr>
        <w:t xml:space="preserve"> по причине неверного указания в платежных поручениях реквизитов получателя платежа, получатели средств бюджета </w:t>
      </w:r>
      <w:r w:rsidR="00C148D0">
        <w:rPr>
          <w:rFonts w:ascii="Times New Roman" w:hAnsi="Times New Roman" w:cs="Times New Roman"/>
          <w:sz w:val="26"/>
          <w:szCs w:val="26"/>
        </w:rPr>
        <w:t>Нефтеюганского района</w:t>
      </w:r>
      <w:r w:rsidRPr="00B71EDF">
        <w:rPr>
          <w:rFonts w:ascii="Times New Roman" w:hAnsi="Times New Roman" w:cs="Times New Roman"/>
          <w:sz w:val="26"/>
          <w:szCs w:val="26"/>
        </w:rPr>
        <w:t xml:space="preserve"> вправе представить в Департамент финансов расчетные документы для перечисления указанных средств по уточненным реквизитам.</w:t>
      </w:r>
    </w:p>
    <w:p w:rsidR="005A282D" w:rsidRPr="00B71EDF" w:rsidRDefault="005A282D" w:rsidP="00B71EDF">
      <w:pPr>
        <w:pStyle w:val="ConsPlusNormal"/>
        <w:numPr>
          <w:ilvl w:val="0"/>
          <w:numId w:val="4"/>
        </w:numPr>
        <w:spacing w:before="220"/>
        <w:ind w:left="0" w:firstLine="66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69"/>
      <w:bookmarkEnd w:id="2"/>
      <w:r w:rsidRPr="00B71EDF">
        <w:rPr>
          <w:rFonts w:ascii="Times New Roman" w:hAnsi="Times New Roman" w:cs="Times New Roman"/>
          <w:sz w:val="26"/>
          <w:szCs w:val="26"/>
        </w:rPr>
        <w:t xml:space="preserve"> Суммы, поступившие в бюджет </w:t>
      </w:r>
      <w:r w:rsidR="005063C2" w:rsidRPr="00B71EDF">
        <w:rPr>
          <w:rFonts w:ascii="Times New Roman" w:hAnsi="Times New Roman" w:cs="Times New Roman"/>
          <w:sz w:val="26"/>
          <w:szCs w:val="26"/>
        </w:rPr>
        <w:t xml:space="preserve">Нефтеюганского района </w:t>
      </w:r>
      <w:r w:rsidRPr="00B71EDF">
        <w:rPr>
          <w:rFonts w:ascii="Times New Roman" w:hAnsi="Times New Roman" w:cs="Times New Roman"/>
          <w:sz w:val="26"/>
          <w:szCs w:val="26"/>
        </w:rPr>
        <w:t xml:space="preserve">от распределения в установленном порядке Управлением Федерального казначейства по Ханты-Мансийскому автономному округу - Югре поступлений завершенного финансового года, зачисляются в бюджет </w:t>
      </w:r>
      <w:r w:rsidR="005063C2" w:rsidRPr="00B71EDF">
        <w:rPr>
          <w:rFonts w:ascii="Times New Roman" w:hAnsi="Times New Roman" w:cs="Times New Roman"/>
          <w:sz w:val="26"/>
          <w:szCs w:val="26"/>
        </w:rPr>
        <w:t xml:space="preserve">Нефтеюганского района </w:t>
      </w:r>
      <w:r w:rsidRPr="00B71EDF">
        <w:rPr>
          <w:rFonts w:ascii="Times New Roman" w:hAnsi="Times New Roman" w:cs="Times New Roman"/>
          <w:sz w:val="26"/>
          <w:szCs w:val="26"/>
        </w:rPr>
        <w:t xml:space="preserve">в первые пять рабочих дней очередного финансового года и учитываются как доходы бюджета </w:t>
      </w:r>
      <w:r w:rsidR="005063C2" w:rsidRPr="00B71EDF">
        <w:rPr>
          <w:rFonts w:ascii="Times New Roman" w:hAnsi="Times New Roman" w:cs="Times New Roman"/>
          <w:sz w:val="26"/>
          <w:szCs w:val="26"/>
        </w:rPr>
        <w:t xml:space="preserve">Нефтеюганского района </w:t>
      </w:r>
      <w:r w:rsidRPr="00B71EDF">
        <w:rPr>
          <w:rFonts w:ascii="Times New Roman" w:hAnsi="Times New Roman" w:cs="Times New Roman"/>
          <w:sz w:val="26"/>
          <w:szCs w:val="26"/>
        </w:rPr>
        <w:t>завершенного финансового года.</w:t>
      </w:r>
    </w:p>
    <w:p w:rsidR="005A282D" w:rsidRPr="00B71EDF" w:rsidRDefault="005A282D">
      <w:pPr>
        <w:pStyle w:val="ConsPlusNormal"/>
        <w:ind w:firstLine="660"/>
        <w:jc w:val="both"/>
        <w:rPr>
          <w:rFonts w:ascii="Times New Roman" w:hAnsi="Times New Roman" w:cs="Times New Roman"/>
          <w:sz w:val="26"/>
          <w:szCs w:val="26"/>
        </w:rPr>
      </w:pPr>
    </w:p>
    <w:p w:rsidR="005A282D" w:rsidRPr="00B71EDF" w:rsidRDefault="005A282D">
      <w:pPr>
        <w:pStyle w:val="ConsPlusNormal"/>
        <w:ind w:firstLine="660"/>
        <w:jc w:val="both"/>
        <w:rPr>
          <w:rFonts w:ascii="Times New Roman" w:hAnsi="Times New Roman" w:cs="Times New Roman"/>
          <w:sz w:val="26"/>
          <w:szCs w:val="26"/>
        </w:rPr>
      </w:pPr>
    </w:p>
    <w:p w:rsidR="00D55A26" w:rsidRPr="00B71EDF" w:rsidRDefault="00D55A26">
      <w:pPr>
        <w:ind w:firstLine="660"/>
        <w:rPr>
          <w:sz w:val="26"/>
          <w:szCs w:val="26"/>
        </w:rPr>
      </w:pPr>
    </w:p>
    <w:sectPr w:rsidR="00D55A26" w:rsidRPr="00B71EDF" w:rsidSect="00413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523763"/>
    <w:multiLevelType w:val="multilevel"/>
    <w:tmpl w:val="85DCC2C8"/>
    <w:lvl w:ilvl="0">
      <w:start w:val="1"/>
      <w:numFmt w:val="decimal"/>
      <w:lvlText w:val="%1."/>
      <w:lvlJc w:val="left"/>
      <w:pPr>
        <w:ind w:left="1620" w:hanging="9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00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 w:hint="default"/>
      </w:rPr>
    </w:lvl>
  </w:abstractNum>
  <w:abstractNum w:abstractNumId="1" w15:restartNumberingAfterBreak="0">
    <w:nsid w:val="3FC819DD"/>
    <w:multiLevelType w:val="multilevel"/>
    <w:tmpl w:val="85DCC2C8"/>
    <w:lvl w:ilvl="0">
      <w:start w:val="1"/>
      <w:numFmt w:val="decimal"/>
      <w:lvlText w:val="%1."/>
      <w:lvlJc w:val="left"/>
      <w:pPr>
        <w:ind w:left="1620" w:hanging="9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00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 w:hint="default"/>
      </w:rPr>
    </w:lvl>
  </w:abstractNum>
  <w:abstractNum w:abstractNumId="2" w15:restartNumberingAfterBreak="0">
    <w:nsid w:val="42421F4F"/>
    <w:multiLevelType w:val="multilevel"/>
    <w:tmpl w:val="85DCC2C8"/>
    <w:lvl w:ilvl="0">
      <w:start w:val="1"/>
      <w:numFmt w:val="decimal"/>
      <w:lvlText w:val="%1."/>
      <w:lvlJc w:val="left"/>
      <w:pPr>
        <w:ind w:left="1620" w:hanging="9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00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 w:hint="default"/>
      </w:rPr>
    </w:lvl>
  </w:abstractNum>
  <w:abstractNum w:abstractNumId="3" w15:restartNumberingAfterBreak="0">
    <w:nsid w:val="4AB0060B"/>
    <w:multiLevelType w:val="hybridMultilevel"/>
    <w:tmpl w:val="148CA8E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5E8A2CB1"/>
    <w:multiLevelType w:val="multilevel"/>
    <w:tmpl w:val="85DCC2C8"/>
    <w:lvl w:ilvl="0">
      <w:start w:val="1"/>
      <w:numFmt w:val="decimal"/>
      <w:lvlText w:val="%1."/>
      <w:lvlJc w:val="left"/>
      <w:pPr>
        <w:ind w:left="1620" w:hanging="9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00" w:hanging="11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114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14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1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82D"/>
    <w:rsid w:val="00037205"/>
    <w:rsid w:val="0016466E"/>
    <w:rsid w:val="00372B88"/>
    <w:rsid w:val="00494B94"/>
    <w:rsid w:val="005063C2"/>
    <w:rsid w:val="005A282D"/>
    <w:rsid w:val="005D5BAC"/>
    <w:rsid w:val="005F3A48"/>
    <w:rsid w:val="006A6B22"/>
    <w:rsid w:val="00AA2A38"/>
    <w:rsid w:val="00AD4EA2"/>
    <w:rsid w:val="00B35EFF"/>
    <w:rsid w:val="00B71EDF"/>
    <w:rsid w:val="00BD031D"/>
    <w:rsid w:val="00C148D0"/>
    <w:rsid w:val="00C83ECD"/>
    <w:rsid w:val="00CE686F"/>
    <w:rsid w:val="00D30854"/>
    <w:rsid w:val="00D55A26"/>
    <w:rsid w:val="00E7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24518"/>
  <w15:chartTrackingRefBased/>
  <w15:docId w15:val="{004CE3A6-EC72-4ED2-94BA-309373038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4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A282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A282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A282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E686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686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494B94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882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Хадиева Олеся Сергеевна</dc:creator>
  <cp:keywords/>
  <dc:description/>
  <cp:lastModifiedBy>Ротарь Надежда Вениаминовна</cp:lastModifiedBy>
  <cp:revision>18</cp:revision>
  <cp:lastPrinted>2024-12-09T06:57:00Z</cp:lastPrinted>
  <dcterms:created xsi:type="dcterms:W3CDTF">2024-12-06T10:12:00Z</dcterms:created>
  <dcterms:modified xsi:type="dcterms:W3CDTF">2024-12-10T10:40:00Z</dcterms:modified>
</cp:coreProperties>
</file>