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0"/>
        <w:jc w:val="center"/>
        <w:spacing w:line="276" w:lineRule="auto"/>
        <w:tabs>
          <w:tab w:val="left" w:pos="396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проекту решения Думы Нефтеюганского района «О внесении изменений в решение Думы Нефтеюганского района от 26.11.2024 № 1100 «О бюджете Нефтеюганского района на 2025 год и плановый период 2026 и 2027 годов»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0"/>
        <w:jc w:val="right"/>
        <w:spacing w:line="276" w:lineRule="auto"/>
        <w:tabs>
          <w:tab w:val="left" w:pos="396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тыс. рублей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9905" w:type="dxa"/>
        <w:tblInd w:w="-7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093"/>
        <w:gridCol w:w="2835"/>
        <w:gridCol w:w="2513"/>
        <w:gridCol w:w="87"/>
        <w:gridCol w:w="2377"/>
      </w:tblGrid>
      <w:tr>
        <w:tblPrEx/>
        <w:trPr/>
        <w:tc>
          <w:tcPr>
            <w:tcW w:w="209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781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2025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spacing w:line="276" w:lineRule="auto"/>
              <w:tabs>
                <w:tab w:val="left" w:pos="945" w:leader="none"/>
                <w:tab w:val="center" w:pos="1124" w:leader="none"/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Утвержденный план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0"/>
              <w:spacing w:line="276" w:lineRule="auto"/>
              <w:tabs>
                <w:tab w:val="left" w:pos="945" w:leader="none"/>
                <w:tab w:val="center" w:pos="1124" w:leader="none"/>
                <w:tab w:val="left" w:pos="3960" w:leader="none"/>
              </w:tabs>
              <w:rPr>
                <w:bCs/>
                <w:color w:val="00206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(решение Думы от 26.11.2024 года № 1100)</w:t>
            </w:r>
            <w:r>
              <w:rPr>
                <w:bCs/>
                <w:color w:val="002060"/>
                <w:sz w:val="24"/>
                <w:szCs w:val="24"/>
              </w:rPr>
              <w:tab/>
            </w:r>
            <w:r>
              <w:rPr>
                <w:bCs/>
                <w:color w:val="002060"/>
                <w:sz w:val="24"/>
                <w:szCs w:val="24"/>
              </w:rPr>
            </w:r>
            <w:r>
              <w:rPr>
                <w:bCs/>
                <w:color w:val="002060"/>
                <w:sz w:val="24"/>
                <w:szCs w:val="24"/>
              </w:rPr>
            </w:r>
          </w:p>
        </w:tc>
        <w:tc>
          <w:tcPr>
            <w:tcW w:w="251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(+;-)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464" w:type="dxa"/>
            <w:textDirection w:val="lrTb"/>
            <w:noWrap w:val="false"/>
          </w:tcPr>
          <w:p>
            <w:pPr>
              <w:ind w:firstLine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Уточненный план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8 024 851,09356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51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(+)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highlight w:val="green"/>
              </w:rPr>
              <w:t xml:space="preserve">134 673,74851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464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green"/>
              </w:rPr>
              <w:t xml:space="preserve">8 159 524,84207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РАСХОДЫ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8 024 851,09356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51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(+) </w:t>
            </w:r>
            <w:r>
              <w:rPr>
                <w:bCs/>
                <w:sz w:val="24"/>
                <w:szCs w:val="24"/>
                <w:highlight w:val="green"/>
              </w:rPr>
              <w:t xml:space="preserve">1 99</w:t>
            </w:r>
            <w:r>
              <w:rPr>
                <w:bCs/>
                <w:sz w:val="24"/>
                <w:szCs w:val="24"/>
                <w:highlight w:val="green"/>
              </w:rPr>
              <w:t xml:space="preserve">2 </w:t>
            </w:r>
            <w:r>
              <w:rPr>
                <w:bCs/>
                <w:sz w:val="24"/>
                <w:szCs w:val="24"/>
                <w:highlight w:val="green"/>
              </w:rPr>
              <w:t xml:space="preserve">912</w:t>
            </w:r>
            <w:r>
              <w:rPr>
                <w:bCs/>
                <w:sz w:val="24"/>
                <w:szCs w:val="24"/>
                <w:highlight w:val="green"/>
              </w:rPr>
              <w:t xml:space="preserve">,37303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464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green"/>
              </w:rPr>
              <w:t xml:space="preserve">10 017 </w:t>
            </w:r>
            <w:r>
              <w:rPr>
                <w:bCs/>
                <w:sz w:val="24"/>
                <w:szCs w:val="24"/>
                <w:highlight w:val="green"/>
              </w:rPr>
              <w:t xml:space="preserve">763</w:t>
            </w:r>
            <w:r>
              <w:rPr>
                <w:bCs/>
                <w:sz w:val="24"/>
                <w:szCs w:val="24"/>
                <w:highlight w:val="green"/>
              </w:rPr>
              <w:t xml:space="preserve">,46659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ДЕФИЦИТ (-)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51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(+) </w:t>
            </w:r>
            <w:r>
              <w:rPr>
                <w:bCs/>
                <w:sz w:val="24"/>
                <w:szCs w:val="24"/>
              </w:rPr>
              <w:t xml:space="preserve">1 858 238,62452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464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1 858 238,62452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781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2026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spacing w:line="276" w:lineRule="auto"/>
              <w:tabs>
                <w:tab w:val="left" w:pos="945" w:leader="none"/>
                <w:tab w:val="center" w:pos="1124" w:leader="none"/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Утвержденный план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0"/>
              <w:spacing w:line="276" w:lineRule="auto"/>
              <w:tabs>
                <w:tab w:val="left" w:pos="945" w:leader="none"/>
                <w:tab w:val="center" w:pos="1124" w:leader="none"/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(решение Думы от 26.11.2024 года № 1100)</w:t>
            </w:r>
            <w:r>
              <w:rPr>
                <w:bCs/>
                <w:sz w:val="24"/>
                <w:szCs w:val="24"/>
              </w:rPr>
              <w:tab/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600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(+;-)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77" w:type="dxa"/>
            <w:textDirection w:val="lrTb"/>
            <w:noWrap w:val="false"/>
          </w:tcPr>
          <w:p>
            <w:pPr>
              <w:ind w:firstLine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Уточненный план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ДОХОДЫ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6 789 691,90622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600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37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6 789 691,90622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РАСХОДЫ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6 789 691,90622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600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37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6 789 691,90622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ДЕФИЦИТ (-)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600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37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7812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2027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024"/>
        </w:trPr>
        <w:tc>
          <w:tcPr>
            <w:tcW w:w="209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spacing w:line="276" w:lineRule="auto"/>
              <w:tabs>
                <w:tab w:val="left" w:pos="945" w:leader="none"/>
                <w:tab w:val="center" w:pos="1124" w:leader="none"/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Утвержденный план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0"/>
              <w:spacing w:line="276" w:lineRule="auto"/>
              <w:tabs>
                <w:tab w:val="left" w:pos="945" w:leader="none"/>
                <w:tab w:val="center" w:pos="1124" w:leader="none"/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(решение Думы от 26.11.2024 года № 1100)</w:t>
            </w:r>
            <w:r>
              <w:rPr>
                <w:bCs/>
                <w:sz w:val="24"/>
                <w:szCs w:val="24"/>
              </w:rPr>
              <w:tab/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600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(+;-)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77" w:type="dxa"/>
            <w:textDirection w:val="lrTb"/>
            <w:noWrap w:val="false"/>
          </w:tcPr>
          <w:p>
            <w:pPr>
              <w:ind w:firstLine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Уточненный план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7 123 040,60351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600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377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7 123 040,60351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РАСХОДЫ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7 123 040,60351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600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377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7 123 040,60351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ДЕФИЦИТ (-)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2600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377" w:type="dxa"/>
            <w:textDirection w:val="lrTb"/>
            <w:noWrap w:val="false"/>
          </w:tcPr>
          <w:p>
            <w:pPr>
              <w:ind w:firstLine="0"/>
              <w:jc w:val="center"/>
              <w:spacing w:line="276" w:lineRule="auto"/>
              <w:tabs>
                <w:tab w:val="left" w:pos="396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ind w:firstLine="360"/>
        <w:jc w:val="both"/>
        <w:spacing w:line="276" w:lineRule="auto"/>
        <w:rPr>
          <w:b/>
          <w:bCs/>
          <w:color w:val="ff0000"/>
          <w:sz w:val="28"/>
          <w:szCs w:val="28"/>
        </w:rPr>
      </w:pPr>
      <w:r>
        <w:rPr>
          <w:bCs/>
          <w:color w:val="ff0000"/>
          <w:sz w:val="28"/>
          <w:szCs w:val="28"/>
        </w:rPr>
        <w:t xml:space="preserve">   </w:t>
      </w:r>
      <w:r>
        <w:rPr>
          <w:b/>
          <w:bCs/>
          <w:color w:val="ff0000"/>
          <w:sz w:val="28"/>
          <w:szCs w:val="28"/>
        </w:rPr>
        <w:t xml:space="preserve">                                         </w:t>
      </w:r>
      <w:r>
        <w:rPr>
          <w:b/>
          <w:bCs/>
          <w:color w:val="ff0000"/>
          <w:sz w:val="28"/>
          <w:szCs w:val="28"/>
        </w:rPr>
      </w:r>
      <w:r>
        <w:rPr>
          <w:b/>
          <w:bCs/>
          <w:color w:val="ff0000"/>
          <w:sz w:val="28"/>
          <w:szCs w:val="28"/>
        </w:rPr>
      </w:r>
    </w:p>
    <w:p>
      <w:pPr>
        <w:numPr>
          <w:ilvl w:val="0"/>
          <w:numId w:val="29"/>
        </w:numPr>
        <w:ind w:left="0" w:righ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Доходы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360"/>
        <w:jc w:val="center"/>
        <w:spacing w:line="360" w:lineRule="auto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</w:p>
    <w:p>
      <w:pPr>
        <w:ind w:left="-142" w:firstLine="851"/>
        <w:jc w:val="both"/>
        <w:spacing w:line="276" w:lineRule="auto"/>
        <w:widowControl w:val="off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Предлагаемым проектом решения вносятся изменения в решение Думы Нефтеюганского района </w:t>
      </w:r>
      <w:r>
        <w:rPr>
          <w:bCs/>
          <w:color w:val="000000"/>
          <w:sz w:val="26"/>
          <w:szCs w:val="26"/>
        </w:rPr>
        <w:t xml:space="preserve">от 26.11.2024 № 1100 «О бюджете Нефтеюганского района на 2025 год и плановый период 2026 и 2027 годов».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852"/>
        <w:numPr>
          <w:ilvl w:val="0"/>
          <w:numId w:val="43"/>
        </w:numPr>
        <w:ind w:left="-142" w:firstLine="851"/>
        <w:jc w:val="both"/>
        <w:spacing w:line="276" w:lineRule="auto"/>
        <w:rPr>
          <w:bCs/>
          <w:sz w:val="26"/>
          <w:szCs w:val="26"/>
        </w:rPr>
      </w:pPr>
      <w:r>
        <w:rPr>
          <w:sz w:val="26"/>
          <w:szCs w:val="26"/>
        </w:rPr>
        <w:t xml:space="preserve">Доходы</w:t>
      </w:r>
      <w:r>
        <w:rPr>
          <w:bCs/>
          <w:sz w:val="26"/>
          <w:szCs w:val="26"/>
        </w:rPr>
        <w:t xml:space="preserve"> бюджета Нефтеюганского района </w:t>
      </w:r>
      <w:r>
        <w:rPr>
          <w:b/>
          <w:bCs/>
          <w:sz w:val="26"/>
          <w:szCs w:val="26"/>
        </w:rPr>
        <w:t xml:space="preserve">на 2025 год</w:t>
      </w:r>
      <w:r>
        <w:rPr>
          <w:bCs/>
          <w:sz w:val="26"/>
          <w:szCs w:val="26"/>
        </w:rPr>
        <w:t xml:space="preserve"> уточняются в сторону увеличения в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сумме</w:t>
      </w:r>
      <w:r>
        <w:rPr>
          <w:b/>
          <w:bCs/>
          <w:sz w:val="26"/>
          <w:szCs w:val="26"/>
        </w:rPr>
        <w:t xml:space="preserve"> (</w:t>
      </w:r>
      <w:r>
        <w:rPr>
          <w:b/>
          <w:bCs/>
          <w:sz w:val="26"/>
          <w:szCs w:val="26"/>
          <w:highlight w:val="green"/>
        </w:rPr>
        <w:t xml:space="preserve">+) </w:t>
      </w:r>
      <w:r>
        <w:rPr>
          <w:b/>
          <w:bCs/>
          <w:sz w:val="26"/>
          <w:szCs w:val="26"/>
          <w:highlight w:val="green"/>
        </w:rPr>
        <w:t xml:space="preserve">134 673,74851</w:t>
      </w:r>
      <w:r>
        <w:rPr>
          <w:b/>
          <w:bCs/>
          <w:sz w:val="26"/>
          <w:szCs w:val="26"/>
          <w:highlight w:val="green"/>
        </w:rPr>
        <w:t xml:space="preserve"> </w:t>
      </w:r>
      <w:r>
        <w:rPr>
          <w:b/>
          <w:bCs/>
          <w:sz w:val="26"/>
          <w:szCs w:val="26"/>
        </w:rPr>
        <w:t xml:space="preserve">тыс. рублей, </w:t>
      </w:r>
      <w:r>
        <w:rPr>
          <w:sz w:val="26"/>
          <w:szCs w:val="26"/>
        </w:rPr>
        <w:t xml:space="preserve">в том числе</w:t>
      </w:r>
      <w:r>
        <w:rPr>
          <w:bCs/>
          <w:sz w:val="26"/>
          <w:szCs w:val="26"/>
        </w:rPr>
        <w:t xml:space="preserve">: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left="-142" w:firstLine="142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по налоговым и неналоговым доходам на </w:t>
      </w:r>
      <w:r>
        <w:rPr>
          <w:b/>
          <w:sz w:val="26"/>
          <w:szCs w:val="26"/>
        </w:rPr>
        <w:t xml:space="preserve">(+) 2</w:t>
      </w:r>
      <w:r>
        <w:rPr>
          <w:b/>
          <w:sz w:val="26"/>
          <w:szCs w:val="26"/>
        </w:rPr>
        <w:t xml:space="preserve"> 153,50700</w:t>
      </w:r>
      <w:r>
        <w:rPr>
          <w:b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тыс. рублей;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- по безвозмездным поступлениям увеличиваются плановые назначения на (+) </w:t>
      </w:r>
      <w:r>
        <w:rPr>
          <w:b/>
          <w:sz w:val="26"/>
          <w:szCs w:val="26"/>
        </w:rPr>
        <w:t xml:space="preserve">132 520,24151</w:t>
      </w:r>
      <w:r>
        <w:rPr>
          <w:b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тыс. рублей.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852"/>
        <w:ind w:left="-142" w:firstLine="633"/>
        <w:jc w:val="both"/>
        <w:spacing w:line="276" w:lineRule="auto"/>
        <w:rPr>
          <w:sz w:val="26"/>
          <w:szCs w:val="26"/>
        </w:rPr>
      </w:pPr>
      <w:r>
        <w:rPr>
          <w:bCs/>
          <w:sz w:val="26"/>
          <w:szCs w:val="26"/>
          <w:highlight w:val="none"/>
        </w:rPr>
      </w:r>
      <w:r>
        <w:rPr>
          <w:bCs/>
          <w:sz w:val="26"/>
          <w:szCs w:val="26"/>
          <w:highlight w:val="none"/>
        </w:rPr>
      </w:r>
      <w:r>
        <w:rPr>
          <w:sz w:val="26"/>
          <w:szCs w:val="26"/>
        </w:rPr>
      </w:r>
    </w:p>
    <w:p>
      <w:pPr>
        <w:pStyle w:val="852"/>
        <w:ind w:left="-142" w:right="0" w:firstLine="851"/>
        <w:jc w:val="both"/>
        <w:spacing w:line="276" w:lineRule="auto"/>
        <w:rPr>
          <w:sz w:val="26"/>
          <w:szCs w:val="26"/>
          <w:highlight w:val="none"/>
        </w:rPr>
      </w:pPr>
      <w:r>
        <w:rPr>
          <w:bCs/>
          <w:sz w:val="26"/>
          <w:szCs w:val="26"/>
        </w:rPr>
        <w:t xml:space="preserve">1.1. План </w:t>
      </w:r>
      <w:r>
        <w:rPr>
          <w:b/>
          <w:i/>
          <w:sz w:val="26"/>
          <w:szCs w:val="26"/>
        </w:rPr>
        <w:t xml:space="preserve">по неналоговым доходам</w:t>
      </w:r>
      <w:r>
        <w:rPr>
          <w:bCs/>
          <w:sz w:val="26"/>
          <w:szCs w:val="26"/>
        </w:rPr>
        <w:t xml:space="preserve"> увеличивается на </w:t>
      </w:r>
      <w:r>
        <w:rPr>
          <w:b/>
          <w:bCs/>
          <w:sz w:val="26"/>
          <w:szCs w:val="26"/>
        </w:rPr>
        <w:t xml:space="preserve">(+) 2</w:t>
      </w:r>
      <w:r>
        <w:rPr>
          <w:b/>
          <w:bCs/>
          <w:sz w:val="26"/>
          <w:szCs w:val="26"/>
        </w:rPr>
        <w:t xml:space="preserve"> 153,50700 </w:t>
      </w:r>
      <w:r>
        <w:rPr>
          <w:bCs/>
          <w:sz w:val="26"/>
          <w:szCs w:val="26"/>
        </w:rPr>
        <w:t xml:space="preserve">тыс. рублей, в том числе: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52"/>
        <w:ind w:left="-142" w:firstLine="633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 в соответствии с письмом Департамента образования Нефтеюганского района от 10.04.2025 № 11-Исх-1699 «О внесении изменений в планы по доходам» уменьшены плановые назначения прочих доходов от компенсации затрат бюджетов муниципальных районов на </w:t>
      </w:r>
      <w:r>
        <w:rPr>
          <w:bCs/>
          <w:i/>
          <w:iCs/>
          <w:sz w:val="26"/>
          <w:szCs w:val="26"/>
        </w:rPr>
        <w:t xml:space="preserve">(-) 332,9</w:t>
      </w:r>
      <w:r>
        <w:rPr>
          <w:bCs/>
          <w:sz w:val="26"/>
          <w:szCs w:val="26"/>
        </w:rPr>
        <w:t xml:space="preserve"> тыс. рублей;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852"/>
        <w:ind w:left="-142" w:firstLine="633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в соответствии с письмом Отдела планирования, анализа и отчетности от 15.04.2025 № 37-Исх-182 «О предоставлении информации» увеличены плановые назначения по и</w:t>
      </w:r>
      <w:r>
        <w:rPr>
          <w:bCs/>
          <w:sz w:val="26"/>
          <w:szCs w:val="26"/>
        </w:rPr>
        <w:t xml:space="preserve">нициативны</w:t>
      </w:r>
      <w:r>
        <w:rPr>
          <w:bCs/>
          <w:sz w:val="26"/>
          <w:szCs w:val="26"/>
        </w:rPr>
        <w:t xml:space="preserve">м</w:t>
      </w:r>
      <w:r>
        <w:rPr>
          <w:bCs/>
          <w:sz w:val="26"/>
          <w:szCs w:val="26"/>
        </w:rPr>
        <w:t xml:space="preserve"> платеж</w:t>
      </w:r>
      <w:r>
        <w:rPr>
          <w:bCs/>
          <w:sz w:val="26"/>
          <w:szCs w:val="26"/>
        </w:rPr>
        <w:t xml:space="preserve">ам</w:t>
      </w:r>
      <w:r>
        <w:rPr>
          <w:bCs/>
          <w:sz w:val="26"/>
          <w:szCs w:val="26"/>
        </w:rPr>
        <w:t xml:space="preserve">, зачисляемы</w:t>
      </w:r>
      <w:r>
        <w:rPr>
          <w:bCs/>
          <w:sz w:val="26"/>
          <w:szCs w:val="26"/>
        </w:rPr>
        <w:t xml:space="preserve">м</w:t>
      </w:r>
      <w:r>
        <w:rPr>
          <w:bCs/>
          <w:sz w:val="26"/>
          <w:szCs w:val="26"/>
        </w:rPr>
        <w:t xml:space="preserve"> в бюджеты муниципальных районов </w:t>
      </w:r>
      <w:r>
        <w:rPr>
          <w:bCs/>
          <w:sz w:val="26"/>
          <w:szCs w:val="26"/>
        </w:rPr>
        <w:t xml:space="preserve">по трем инициативным проектам </w:t>
      </w:r>
      <w:r>
        <w:rPr>
          <w:bCs/>
          <w:sz w:val="26"/>
          <w:szCs w:val="26"/>
        </w:rPr>
        <w:t xml:space="preserve">(Образовательное пространство «Первые на Луне»</w:t>
      </w:r>
      <w:r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«Ледовая аренда будущего»</w:t>
      </w:r>
      <w:r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Комплексная площадка «Ов хар» Югорский дворик)</w:t>
      </w:r>
      <w:r>
        <w:rPr>
          <w:bCs/>
          <w:sz w:val="26"/>
          <w:szCs w:val="26"/>
        </w:rPr>
        <w:t xml:space="preserve"> на сумму </w:t>
      </w:r>
      <w:r>
        <w:rPr>
          <w:bCs/>
          <w:i/>
          <w:iCs/>
          <w:sz w:val="26"/>
          <w:szCs w:val="26"/>
        </w:rPr>
        <w:t xml:space="preserve">(+) </w:t>
      </w:r>
      <w:r>
        <w:rPr>
          <w:bCs/>
          <w:i/>
          <w:iCs/>
          <w:sz w:val="26"/>
          <w:szCs w:val="26"/>
        </w:rPr>
        <w:t xml:space="preserve">2</w:t>
      </w:r>
      <w:r>
        <w:rPr>
          <w:bCs/>
          <w:i/>
          <w:iCs/>
          <w:sz w:val="26"/>
          <w:szCs w:val="26"/>
        </w:rPr>
        <w:t xml:space="preserve"> 486,40700</w:t>
      </w:r>
      <w:r>
        <w:rPr>
          <w:bCs/>
          <w:sz w:val="26"/>
          <w:szCs w:val="26"/>
        </w:rPr>
        <w:t xml:space="preserve"> тыс. рублей.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left="0" w:right="0" w:firstLine="567"/>
        <w:jc w:val="both"/>
        <w:spacing w:line="276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highlight w:val="none"/>
        </w:rPr>
      </w:r>
      <w:r>
        <w:rPr>
          <w:color w:val="000000"/>
          <w:sz w:val="26"/>
          <w:szCs w:val="26"/>
          <w:highlight w:val="none"/>
        </w:rPr>
      </w:r>
      <w:r>
        <w:rPr>
          <w:color w:val="000000"/>
          <w:sz w:val="26"/>
          <w:szCs w:val="26"/>
        </w:rPr>
      </w:r>
    </w:p>
    <w:p>
      <w:pPr>
        <w:ind w:left="0" w:right="0" w:firstLine="709"/>
        <w:jc w:val="both"/>
        <w:spacing w:line="276" w:lineRule="auto"/>
        <w:rPr>
          <w:color w:val="000000"/>
          <w:sz w:val="26"/>
          <w:szCs w:val="26"/>
          <w:highlight w:val="none"/>
        </w:rPr>
      </w:pPr>
      <w:r>
        <w:rPr>
          <w:color w:val="000000"/>
          <w:sz w:val="26"/>
          <w:szCs w:val="26"/>
        </w:rPr>
        <w:t xml:space="preserve">1.2. По межбюджетным трансфертам, предоставляемым из бюджета Ханты-Мансийского автономного округа – Югры, на 2025 год план увеличивается на </w:t>
      </w:r>
      <w:r>
        <w:rPr>
          <w:b/>
          <w:bCs/>
          <w:color w:val="000000"/>
          <w:sz w:val="26"/>
          <w:szCs w:val="26"/>
        </w:rPr>
        <w:t xml:space="preserve">(+) </w:t>
      </w:r>
      <w:r>
        <w:rPr>
          <w:b/>
          <w:bCs/>
          <w:color w:val="000000"/>
          <w:sz w:val="26"/>
          <w:szCs w:val="26"/>
          <w:highlight w:val="green"/>
        </w:rPr>
        <w:t xml:space="preserve">148 698,67650</w:t>
      </w:r>
      <w:r>
        <w:rPr>
          <w:b/>
          <w:bCs/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из них:</w:t>
      </w:r>
      <w:r>
        <w:rPr>
          <w:color w:val="000000"/>
          <w:sz w:val="26"/>
          <w:szCs w:val="26"/>
          <w:highlight w:val="none"/>
        </w:rPr>
      </w:r>
      <w:r>
        <w:rPr>
          <w:color w:val="000000"/>
          <w:sz w:val="26"/>
          <w:szCs w:val="26"/>
          <w:highlight w:val="none"/>
        </w:rPr>
      </w:r>
    </w:p>
    <w:p>
      <w:pPr>
        <w:ind w:firstLine="491"/>
        <w:jc w:val="both"/>
        <w:spacing w:line="276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>
        <w:rPr>
          <w:i/>
          <w:color w:val="000000"/>
          <w:sz w:val="26"/>
          <w:szCs w:val="26"/>
        </w:rPr>
        <w:t xml:space="preserve">по субсидиям</w:t>
      </w:r>
      <w:r>
        <w:rPr>
          <w:color w:val="000000"/>
          <w:sz w:val="26"/>
          <w:szCs w:val="26"/>
        </w:rPr>
        <w:t xml:space="preserve"> план увеличивается на (+) </w:t>
      </w:r>
      <w:r>
        <w:rPr>
          <w:b/>
          <w:bCs/>
          <w:color w:val="000000"/>
          <w:sz w:val="26"/>
          <w:szCs w:val="26"/>
        </w:rPr>
        <w:t xml:space="preserve">102 012,17650 </w:t>
      </w:r>
      <w:r>
        <w:rPr>
          <w:color w:val="000000"/>
          <w:sz w:val="26"/>
          <w:szCs w:val="26"/>
        </w:rPr>
        <w:t xml:space="preserve">тыс. рублей;</w:t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firstLine="491"/>
        <w:jc w:val="both"/>
        <w:spacing w:line="276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>
        <w:rPr>
          <w:i/>
          <w:iCs/>
          <w:color w:val="000000"/>
          <w:sz w:val="26"/>
          <w:szCs w:val="26"/>
        </w:rPr>
        <w:t xml:space="preserve">по субвенциям </w:t>
      </w:r>
      <w:r>
        <w:rPr>
          <w:color w:val="000000"/>
          <w:sz w:val="26"/>
          <w:szCs w:val="26"/>
        </w:rPr>
        <w:t xml:space="preserve">план увеличивается</w:t>
      </w:r>
      <w:r>
        <w:rPr>
          <w:bCs/>
          <w:color w:val="000000"/>
          <w:sz w:val="26"/>
          <w:szCs w:val="26"/>
        </w:rPr>
        <w:t xml:space="preserve"> на (+) </w:t>
      </w:r>
      <w:r>
        <w:rPr>
          <w:b/>
          <w:bCs/>
          <w:color w:val="000000"/>
          <w:sz w:val="26"/>
          <w:szCs w:val="26"/>
        </w:rPr>
        <w:t xml:space="preserve">5 229,6 </w:t>
      </w:r>
      <w:r>
        <w:rPr>
          <w:bCs/>
          <w:color w:val="000000"/>
          <w:sz w:val="26"/>
          <w:szCs w:val="26"/>
        </w:rPr>
        <w:t xml:space="preserve">тыс. рублей</w:t>
      </w:r>
      <w:r>
        <w:rPr>
          <w:color w:val="000000"/>
          <w:sz w:val="26"/>
          <w:szCs w:val="26"/>
        </w:rPr>
        <w:t xml:space="preserve">;</w:t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firstLine="491"/>
        <w:jc w:val="both"/>
        <w:spacing w:line="276" w:lineRule="auto"/>
        <w:rPr>
          <w:bCs/>
          <w:color w:val="000000"/>
          <w:sz w:val="26"/>
          <w:szCs w:val="26"/>
          <w:highlight w:val="green"/>
        </w:rPr>
      </w:pPr>
      <w:r>
        <w:rPr>
          <w:color w:val="000000"/>
          <w:sz w:val="26"/>
          <w:szCs w:val="26"/>
        </w:rPr>
        <w:t xml:space="preserve">- </w:t>
      </w:r>
      <w:r>
        <w:rPr>
          <w:i/>
          <w:iCs/>
          <w:color w:val="000000"/>
          <w:sz w:val="26"/>
          <w:szCs w:val="26"/>
        </w:rPr>
        <w:t xml:space="preserve">по иным межбюджетным трансфертам </w:t>
      </w:r>
      <w:r>
        <w:rPr>
          <w:color w:val="000000"/>
          <w:sz w:val="26"/>
          <w:szCs w:val="26"/>
        </w:rPr>
        <w:t xml:space="preserve">план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увеличивается</w:t>
      </w:r>
      <w:r>
        <w:rPr>
          <w:bCs/>
          <w:color w:val="000000"/>
          <w:sz w:val="26"/>
          <w:szCs w:val="26"/>
        </w:rPr>
        <w:t xml:space="preserve"> на </w:t>
      </w:r>
      <w:r>
        <w:rPr>
          <w:bCs/>
          <w:color w:val="000000"/>
          <w:sz w:val="26"/>
          <w:szCs w:val="26"/>
          <w:highlight w:val="green"/>
        </w:rPr>
        <w:t xml:space="preserve">(+) </w:t>
      </w:r>
      <w:r>
        <w:rPr>
          <w:b/>
          <w:color w:val="000000"/>
          <w:sz w:val="26"/>
          <w:szCs w:val="26"/>
          <w:highlight w:val="green"/>
        </w:rPr>
        <w:t xml:space="preserve">41 456,9 </w:t>
      </w:r>
      <w:r>
        <w:rPr>
          <w:bCs/>
          <w:color w:val="000000"/>
          <w:sz w:val="26"/>
          <w:szCs w:val="26"/>
          <w:highlight w:val="green"/>
        </w:rPr>
        <w:t xml:space="preserve">тыс. рублей.</w:t>
      </w:r>
      <w:r>
        <w:rPr>
          <w:bCs/>
          <w:color w:val="000000"/>
          <w:sz w:val="26"/>
          <w:szCs w:val="26"/>
          <w:highlight w:val="green"/>
        </w:rPr>
      </w:r>
      <w:r>
        <w:rPr>
          <w:bCs/>
          <w:color w:val="000000"/>
          <w:sz w:val="26"/>
          <w:szCs w:val="26"/>
          <w:highlight w:val="green"/>
        </w:rPr>
      </w:r>
    </w:p>
    <w:p>
      <w:pPr>
        <w:pStyle w:val="852"/>
        <w:ind w:left="0" w:right="0" w:firstLine="709"/>
        <w:jc w:val="both"/>
        <w:spacing w:line="276" w:lineRule="auto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852"/>
        <w:ind w:left="0" w:right="0" w:firstLine="709"/>
        <w:jc w:val="both"/>
        <w:spacing w:line="276" w:lineRule="auto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1.3.  По межбюджетным трансфертам, передаваемым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соглашениями, план </w:t>
      </w:r>
      <w:bookmarkStart w:id="0" w:name="_Hlk184215100"/>
      <w:r>
        <w:rPr>
          <w:bCs/>
          <w:color w:val="000000"/>
          <w:sz w:val="26"/>
          <w:szCs w:val="26"/>
        </w:rPr>
        <w:t xml:space="preserve">уменьшается на </w:t>
      </w:r>
      <w:r>
        <w:rPr>
          <w:b/>
          <w:bCs/>
          <w:color w:val="000000"/>
          <w:sz w:val="26"/>
          <w:szCs w:val="26"/>
        </w:rPr>
        <w:t xml:space="preserve">(-) 20 093,13499 </w:t>
      </w:r>
      <w:r>
        <w:rPr>
          <w:bCs/>
          <w:color w:val="000000"/>
          <w:sz w:val="26"/>
          <w:szCs w:val="26"/>
        </w:rPr>
        <w:t xml:space="preserve">тыс. рублей.</w:t>
      </w:r>
      <w:bookmarkEnd w:id="0"/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left="0" w:right="0" w:firstLine="567"/>
        <w:jc w:val="both"/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</w:rPr>
      </w:r>
    </w:p>
    <w:p>
      <w:pPr>
        <w:ind w:left="0" w:right="0" w:firstLine="709"/>
        <w:jc w:val="both"/>
        <w:spacing w:line="276" w:lineRule="auto"/>
        <w:rPr>
          <w:b/>
          <w:bCs/>
          <w:sz w:val="26"/>
          <w:szCs w:val="26"/>
          <w:highlight w:val="none"/>
        </w:rPr>
      </w:pPr>
      <w:r>
        <w:rPr>
          <w:bCs/>
          <w:color w:val="000000"/>
          <w:sz w:val="26"/>
          <w:szCs w:val="26"/>
        </w:rPr>
        <w:t xml:space="preserve">1.4. П</w:t>
      </w:r>
      <w:r>
        <w:rPr>
          <w:sz w:val="26"/>
          <w:szCs w:val="26"/>
        </w:rPr>
        <w:t xml:space="preserve">о безвозмездным поступлениям от негосударственных организаций (благотворительность) план увеличивается на </w:t>
      </w:r>
      <w:r>
        <w:rPr>
          <w:b/>
          <w:bCs/>
          <w:sz w:val="26"/>
          <w:szCs w:val="26"/>
        </w:rPr>
        <w:t xml:space="preserve">(+) 3 914,7 тыс. рублей.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ind w:left="0" w:right="0" w:firstLine="709"/>
        <w:jc w:val="both"/>
        <w:spacing w:line="276" w:lineRule="auto"/>
        <w:rPr>
          <w:color w:val="000000"/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color w:val="000000"/>
          <w:sz w:val="26"/>
          <w:szCs w:val="26"/>
        </w:rPr>
      </w:r>
    </w:p>
    <w:p>
      <w:pPr>
        <w:ind w:left="0" w:right="0" w:firstLine="709"/>
        <w:jc w:val="both"/>
        <w:spacing w:line="276" w:lineRule="auto"/>
        <w:rPr>
          <w:sz w:val="26"/>
          <w:szCs w:val="26"/>
          <w:highlight w:val="none"/>
        </w:rPr>
      </w:pPr>
      <w:r>
        <w:rPr>
          <w:sz w:val="26"/>
          <w:szCs w:val="26"/>
        </w:rPr>
      </w:r>
      <w:bookmarkStart w:id="1" w:name="_Hlk148365381"/>
      <w:r>
        <w:rPr>
          <w:bCs/>
          <w:color w:val="000000"/>
          <w:sz w:val="26"/>
          <w:szCs w:val="26"/>
        </w:rPr>
        <w:t xml:space="preserve">С учетом изменений </w:t>
      </w:r>
      <w:r>
        <w:rPr>
          <w:b/>
          <w:bCs/>
          <w:color w:val="000000"/>
          <w:sz w:val="26"/>
          <w:szCs w:val="26"/>
        </w:rPr>
        <w:t xml:space="preserve">уточненный план по доходам</w:t>
      </w:r>
      <w:r>
        <w:rPr>
          <w:bCs/>
          <w:color w:val="000000"/>
          <w:sz w:val="26"/>
          <w:szCs w:val="26"/>
        </w:rPr>
        <w:t xml:space="preserve"> бюджета муниципального района </w:t>
      </w:r>
      <w:r>
        <w:rPr>
          <w:b/>
          <w:bCs/>
          <w:color w:val="000000"/>
          <w:sz w:val="26"/>
          <w:szCs w:val="26"/>
        </w:rPr>
        <w:t xml:space="preserve">на 2025 год</w:t>
      </w:r>
      <w:r>
        <w:rPr>
          <w:bCs/>
          <w:color w:val="000000"/>
          <w:sz w:val="26"/>
          <w:szCs w:val="26"/>
        </w:rPr>
        <w:t xml:space="preserve"> составит</w:t>
      </w:r>
      <w:r>
        <w:rPr>
          <w:b/>
          <w:bCs/>
          <w:color w:val="000000"/>
          <w:sz w:val="26"/>
          <w:szCs w:val="26"/>
        </w:rPr>
        <w:t xml:space="preserve"> 8 159 524,84207 тыс. рублей</w:t>
      </w:r>
      <w:r>
        <w:rPr>
          <w:bCs/>
          <w:color w:val="000000"/>
          <w:sz w:val="26"/>
          <w:szCs w:val="26"/>
        </w:rPr>
        <w:t xml:space="preserve">.</w:t>
      </w:r>
      <w:bookmarkEnd w:id="1"/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line="276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Изменение доходов бюджета </w:t>
      </w:r>
      <w:r>
        <w:rPr>
          <w:bCs/>
          <w:color w:val="000000"/>
          <w:sz w:val="26"/>
          <w:szCs w:val="26"/>
        </w:rPr>
        <w:t xml:space="preserve">Нефтеюганского района</w:t>
      </w:r>
      <w:r>
        <w:rPr>
          <w:color w:val="000000"/>
          <w:sz w:val="26"/>
          <w:szCs w:val="26"/>
        </w:rPr>
        <w:t xml:space="preserve"> в разрезе видов доходов представлены в приложении к настоящей пояснительной записке.</w:t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firstLine="360"/>
        <w:jc w:val="center"/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</w:rPr>
      </w:r>
    </w:p>
    <w:p>
      <w:pPr>
        <w:ind w:firstLine="360"/>
        <w:jc w:val="center"/>
        <w:spacing w:line="276" w:lineRule="auto"/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lang w:val="en-US"/>
        </w:rPr>
        <w:t xml:space="preserve">II</w:t>
      </w:r>
      <w:r>
        <w:rPr>
          <w:b/>
          <w:bCs/>
          <w:sz w:val="26"/>
          <w:szCs w:val="26"/>
        </w:rPr>
        <w:t xml:space="preserve">. Расходы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ind w:firstLine="1080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Расходная часть бюджета муниципального района на 2025 год увеличена на общую сумму </w:t>
      </w:r>
      <w:r>
        <w:rPr>
          <w:b/>
          <w:bCs/>
          <w:sz w:val="26"/>
          <w:szCs w:val="26"/>
          <w:highlight w:val="green"/>
        </w:rPr>
        <w:t xml:space="preserve">1</w:t>
      </w:r>
      <w:r>
        <w:rPr>
          <w:b/>
          <w:bCs/>
          <w:sz w:val="26"/>
          <w:szCs w:val="26"/>
          <w:highlight w:val="green"/>
        </w:rPr>
        <w:t xml:space="preserve"> 992 </w:t>
      </w:r>
      <w:r>
        <w:rPr>
          <w:b/>
          <w:bCs/>
          <w:sz w:val="26"/>
          <w:szCs w:val="26"/>
          <w:highlight w:val="green"/>
        </w:rPr>
        <w:t xml:space="preserve">912</w:t>
      </w:r>
      <w:r>
        <w:rPr>
          <w:b/>
          <w:bCs/>
          <w:sz w:val="26"/>
          <w:szCs w:val="26"/>
          <w:highlight w:val="green"/>
        </w:rPr>
        <w:t xml:space="preserve">,37303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тыс. рублей, в том числе: 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1080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numPr>
          <w:ilvl w:val="0"/>
          <w:numId w:val="36"/>
        </w:numPr>
        <w:ind w:left="0" w:firstLine="567"/>
        <w:jc w:val="both"/>
        <w:spacing w:line="276" w:lineRule="auto"/>
        <w:tabs>
          <w:tab w:val="left" w:pos="0" w:leader="none"/>
          <w:tab w:val="left" w:pos="851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Межбюджетные трансферты от Департамента финансов ХМАО-Югры на 2025 год увеличены на</w:t>
      </w:r>
      <w:r>
        <w:rPr>
          <w:b/>
          <w:bCs/>
          <w:sz w:val="26"/>
          <w:szCs w:val="26"/>
        </w:rPr>
        <w:t xml:space="preserve"> (+) </w:t>
      </w:r>
      <w:r>
        <w:rPr>
          <w:b/>
          <w:bCs/>
          <w:sz w:val="26"/>
          <w:szCs w:val="26"/>
          <w:highlight w:val="green"/>
        </w:rPr>
        <w:t xml:space="preserve">148 6</w:t>
      </w:r>
      <w:r>
        <w:rPr>
          <w:b/>
          <w:bCs/>
          <w:sz w:val="26"/>
          <w:szCs w:val="26"/>
          <w:highlight w:val="green"/>
        </w:rPr>
        <w:t xml:space="preserve">9</w:t>
      </w:r>
      <w:r>
        <w:rPr>
          <w:b/>
          <w:bCs/>
          <w:sz w:val="26"/>
          <w:szCs w:val="26"/>
          <w:highlight w:val="green"/>
        </w:rPr>
        <w:t xml:space="preserve">8,67650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тыс. рублей, в т.ч.: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851" w:leader="none"/>
        </w:tabs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 Субсидии</w:t>
      </w:r>
      <w:r>
        <w:rPr>
          <w:bCs/>
          <w:sz w:val="26"/>
          <w:szCs w:val="26"/>
        </w:rPr>
        <w:t xml:space="preserve"> в сумме (+) </w:t>
      </w:r>
      <w:r>
        <w:rPr>
          <w:b/>
          <w:sz w:val="26"/>
          <w:szCs w:val="26"/>
        </w:rPr>
        <w:t xml:space="preserve">102 012,17650</w:t>
      </w:r>
      <w:r>
        <w:rPr>
          <w:bCs/>
          <w:sz w:val="26"/>
          <w:szCs w:val="26"/>
        </w:rPr>
        <w:t xml:space="preserve"> тыс. рублей, в т.ч.: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(+) 100 625,83069 тыс. рублей субсидии на реконструкцию, расширение, модернизацию, строительство коммунальных объектов;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(+) 1 386,34581 тыс. рублей субсидии на обеспечение комплексного развития сельских территорий (реализация проектов по благоустройству общественных пространств на сельских территориях);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</w:tabs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 Субвенции</w:t>
      </w:r>
      <w:r>
        <w:rPr>
          <w:bCs/>
          <w:sz w:val="26"/>
          <w:szCs w:val="26"/>
        </w:rPr>
        <w:t xml:space="preserve"> в сумме (+) </w:t>
      </w:r>
      <w:r>
        <w:rPr>
          <w:b/>
          <w:sz w:val="26"/>
          <w:szCs w:val="26"/>
        </w:rPr>
        <w:t xml:space="preserve">5 229,6</w:t>
      </w:r>
      <w:r>
        <w:rPr>
          <w:bCs/>
          <w:sz w:val="26"/>
          <w:szCs w:val="26"/>
        </w:rPr>
        <w:t xml:space="preserve"> тыс. рублей, в т.ч.: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(+) 5 229,6 тыс. рублей субвенции на организацию мероприятий при осуществлении деятельности по обращению с животными без владельцев;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Иные межбюджетные трансферты</w:t>
      </w:r>
      <w:r>
        <w:rPr>
          <w:bCs/>
          <w:sz w:val="26"/>
          <w:szCs w:val="26"/>
        </w:rPr>
        <w:t xml:space="preserve"> в сумме (+) </w:t>
      </w:r>
      <w:r>
        <w:rPr>
          <w:b/>
          <w:sz w:val="26"/>
          <w:szCs w:val="26"/>
          <w:highlight w:val="green"/>
        </w:rPr>
        <w:t xml:space="preserve">41 </w:t>
      </w:r>
      <w:r>
        <w:rPr>
          <w:b/>
          <w:sz w:val="26"/>
          <w:szCs w:val="26"/>
          <w:highlight w:val="green"/>
        </w:rPr>
        <w:t xml:space="preserve">456</w:t>
      </w:r>
      <w:r>
        <w:rPr>
          <w:b/>
          <w:sz w:val="26"/>
          <w:szCs w:val="26"/>
          <w:highlight w:val="green"/>
        </w:rPr>
        <w:t xml:space="preserve">,9</w:t>
      </w:r>
      <w:r>
        <w:rPr>
          <w:bCs/>
          <w:sz w:val="26"/>
          <w:szCs w:val="26"/>
        </w:rPr>
        <w:t xml:space="preserve"> тыс. рублей,  в т.ч.: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(+) </w:t>
      </w:r>
      <w:r>
        <w:rPr>
          <w:bCs/>
          <w:sz w:val="26"/>
          <w:szCs w:val="26"/>
          <w:highlight w:val="green"/>
        </w:rPr>
        <w:t xml:space="preserve">360</w:t>
      </w:r>
      <w:r>
        <w:rPr>
          <w:bCs/>
          <w:sz w:val="26"/>
          <w:szCs w:val="26"/>
          <w:highlight w:val="green"/>
        </w:rPr>
        <w:t xml:space="preserve">,0</w:t>
      </w:r>
      <w:r>
        <w:rPr>
          <w:bCs/>
          <w:sz w:val="26"/>
          <w:szCs w:val="26"/>
        </w:rPr>
        <w:t xml:space="preserve"> тыс. рублей иные межбюджетные</w:t>
      </w:r>
      <w:r>
        <w:rPr>
          <w:bCs/>
          <w:sz w:val="26"/>
          <w:szCs w:val="26"/>
        </w:rPr>
        <w:t xml:space="preserve">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(+) 3 500,0 тыс. рублей иные межбюджетные трансферты на реализацию наказов избирателей депутатам Думы Ханты-Мансийского автономного округа – Югры, в т.ч.: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tbl>
      <w:tblPr>
        <w:tblW w:w="932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>
        <w:tblPrEx/>
        <w:trPr>
          <w:trHeight w:val="514"/>
        </w:trPr>
        <w:tc>
          <w:tcPr>
            <w:tcW w:w="9322" w:type="dxa"/>
            <w:textDirection w:val="lrTb"/>
            <w:noWrap w:val="false"/>
          </w:tcPr>
          <w:p>
            <w:pPr>
              <w:pStyle w:val="1043"/>
              <w:jc w:val="bot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- 1 500,00 тыс. рублей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НР БУ дополнительного образования Спортивная школа "Нептун", пгт. Пойковский Нефтеюганского района для оказания финансовой помощи на приобретение сборно-разборной металлоконструкции (сцены), подготовку площадки для установки сцены;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043"/>
              <w:jc w:val="bot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- 2 000,0 тыс. рублей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БУ НР "Центр спорта и культуры", п. Сингапай Нефтеюганского района для оказания финансовой помощи на приобретение хоккейного корта, спортивного инвентаря для спортивного комплекса в п. Усть-Юган;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044"/>
              <w:ind w:firstLine="540"/>
              <w:jc w:val="both"/>
              <w:spacing w:before="22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(+) 37 596,9 тыс. рублей 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ацию наказов избирателей депутатам Думы Ханты-Мансийского автономного округа – Югры (на финансовое обеспечение непредвиденных расходов, в целях оплаты задолженности организаций коммунального комплекса за потребленный газ, электрическую и тепловую энергию).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044"/>
              <w:ind w:firstLine="540"/>
              <w:jc w:val="both"/>
              <w:spacing w:before="22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0"/>
        <w:jc w:val="both"/>
        <w:spacing w:line="276" w:lineRule="auto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>
        <w:rPr>
          <w:b/>
          <w:bCs/>
          <w:sz w:val="26"/>
          <w:szCs w:val="26"/>
        </w:rPr>
        <w:t xml:space="preserve">2.</w:t>
      </w:r>
      <w:r>
        <w:rPr>
          <w:bCs/>
          <w:sz w:val="26"/>
          <w:szCs w:val="26"/>
        </w:rPr>
        <w:t xml:space="preserve"> Увеличены </w:t>
      </w:r>
      <w:r>
        <w:rPr>
          <w:b/>
          <w:bCs/>
          <w:sz w:val="26"/>
          <w:szCs w:val="26"/>
        </w:rPr>
        <w:t xml:space="preserve">остатки </w:t>
      </w:r>
      <w:r>
        <w:rPr>
          <w:bCs/>
          <w:sz w:val="26"/>
          <w:szCs w:val="26"/>
        </w:rPr>
        <w:t xml:space="preserve">денежных средств на </w:t>
      </w:r>
      <w:r>
        <w:rPr>
          <w:b/>
          <w:bCs/>
          <w:sz w:val="26"/>
          <w:szCs w:val="26"/>
        </w:rPr>
        <w:t xml:space="preserve">2025</w:t>
      </w:r>
      <w:r>
        <w:rPr>
          <w:bCs/>
          <w:sz w:val="26"/>
          <w:szCs w:val="26"/>
        </w:rPr>
        <w:t xml:space="preserve"> год в сумме </w:t>
      </w:r>
      <w:r>
        <w:rPr>
          <w:b/>
          <w:bCs/>
          <w:sz w:val="26"/>
          <w:szCs w:val="26"/>
        </w:rPr>
        <w:t xml:space="preserve">1 709 006,04736 </w:t>
      </w:r>
      <w:r>
        <w:rPr>
          <w:bCs/>
          <w:sz w:val="26"/>
          <w:szCs w:val="26"/>
        </w:rPr>
        <w:t xml:space="preserve">тыс. рублей, в том числе: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rPr>
          <w:bCs/>
          <w:i/>
          <w:sz w:val="26"/>
          <w:szCs w:val="26"/>
        </w:rPr>
      </w:pPr>
      <w:r>
        <w:rPr>
          <w:bCs/>
          <w:sz w:val="26"/>
          <w:szCs w:val="26"/>
        </w:rPr>
        <w:t xml:space="preserve">      2.1. благотворительные средства, имеющие </w:t>
      </w:r>
      <w:r>
        <w:rPr>
          <w:b/>
          <w:bCs/>
          <w:sz w:val="26"/>
          <w:szCs w:val="26"/>
        </w:rPr>
        <w:t xml:space="preserve">целевое направление</w:t>
      </w:r>
      <w:r>
        <w:rPr>
          <w:bCs/>
          <w:sz w:val="26"/>
          <w:szCs w:val="26"/>
        </w:rPr>
        <w:t xml:space="preserve"> на сумму  </w:t>
      </w:r>
      <w:r>
        <w:rPr>
          <w:b/>
          <w:bCs/>
          <w:sz w:val="26"/>
          <w:szCs w:val="26"/>
        </w:rPr>
        <w:t xml:space="preserve">339 231,54434</w:t>
      </w:r>
      <w:r>
        <w:rPr>
          <w:bCs/>
          <w:sz w:val="26"/>
          <w:szCs w:val="26"/>
        </w:rPr>
        <w:t xml:space="preserve"> тыс. рублей (исполнитель Департамент строительства и жилищно-коммунального комплекса);</w:t>
      </w:r>
      <w:r>
        <w:rPr>
          <w:bCs/>
          <w:i/>
          <w:sz w:val="26"/>
          <w:szCs w:val="26"/>
        </w:rPr>
      </w:r>
      <w:r>
        <w:rPr>
          <w:bCs/>
          <w:i/>
          <w:sz w:val="26"/>
          <w:szCs w:val="26"/>
        </w:rPr>
      </w:r>
    </w:p>
    <w:p>
      <w:pPr>
        <w:ind w:firstLine="0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2.2. дорожный фонд на сумму </w:t>
      </w:r>
      <w:r>
        <w:rPr>
          <w:b/>
          <w:sz w:val="26"/>
          <w:szCs w:val="26"/>
        </w:rPr>
        <w:t xml:space="preserve">4 796,85770</w:t>
      </w:r>
      <w:r>
        <w:rPr>
          <w:bCs/>
          <w:sz w:val="26"/>
          <w:szCs w:val="26"/>
        </w:rPr>
        <w:t xml:space="preserve"> тыс. рублей (исполнитель Департамент строительства и жилищно-коммунального комплекса);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2.3    экологические платежи на сумму </w:t>
      </w:r>
      <w:r>
        <w:rPr>
          <w:b/>
          <w:sz w:val="26"/>
          <w:szCs w:val="26"/>
        </w:rPr>
        <w:t xml:space="preserve">1 364 977,64532</w:t>
      </w:r>
      <w:r>
        <w:rPr>
          <w:bCs/>
          <w:sz w:val="26"/>
          <w:szCs w:val="26"/>
        </w:rPr>
        <w:t xml:space="preserve"> тыс. рублей</w:t>
      </w:r>
      <w:r>
        <w:rPr>
          <w:bCs/>
          <w:sz w:val="26"/>
          <w:szCs w:val="26"/>
        </w:rPr>
        <w:t xml:space="preserve">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3.  </w:t>
      </w:r>
      <w:r>
        <w:rPr>
          <w:sz w:val="26"/>
          <w:szCs w:val="26"/>
        </w:rPr>
        <w:t xml:space="preserve">У</w:t>
      </w:r>
      <w:r>
        <w:rPr>
          <w:bCs/>
          <w:sz w:val="26"/>
          <w:szCs w:val="26"/>
        </w:rPr>
        <w:t xml:space="preserve">величена благотворительность, поступившая в 2025 году на сумму          </w:t>
      </w:r>
      <w:r>
        <w:rPr>
          <w:b/>
          <w:sz w:val="26"/>
          <w:szCs w:val="26"/>
        </w:rPr>
        <w:t xml:space="preserve">3 914,700</w:t>
      </w:r>
      <w:r>
        <w:rPr>
          <w:bCs/>
          <w:sz w:val="26"/>
          <w:szCs w:val="26"/>
        </w:rPr>
        <w:t xml:space="preserve"> тыс. рублей, в т.ч. :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</w:t>
      </w:r>
      <w:r>
        <w:rPr>
          <w:bCs/>
          <w:sz w:val="26"/>
          <w:szCs w:val="26"/>
        </w:rPr>
        <w:t xml:space="preserve">- 500,0 тыс. рублей ООО «Славнефть-Нижневартовск» по соглашению          № </w:t>
      </w:r>
      <w:r>
        <w:rPr>
          <w:bCs/>
          <w:sz w:val="26"/>
          <w:szCs w:val="26"/>
          <w:lang w:val="en-US"/>
        </w:rPr>
        <w:t xml:space="preserve">CHHB</w:t>
      </w:r>
      <w:r>
        <w:rPr>
          <w:bCs/>
          <w:sz w:val="26"/>
          <w:szCs w:val="26"/>
        </w:rPr>
        <w:t xml:space="preserve">-24/34000/00002/Р от 01.01.2024 г. (денежные средства  направлены на реализацию мероприяти</w:t>
      </w:r>
      <w:r>
        <w:rPr>
          <w:bCs/>
          <w:sz w:val="26"/>
          <w:szCs w:val="26"/>
        </w:rPr>
        <w:t xml:space="preserve">й муниципальной программы «Культурное пространство»</w:t>
      </w:r>
      <w:r>
        <w:rPr>
          <w:bCs/>
          <w:sz w:val="26"/>
          <w:szCs w:val="26"/>
        </w:rPr>
        <w:t xml:space="preserve">);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- 2 000,0 тыс. рублей ПАО НК «Русснефть» по соглашению № 33960-50/17-13/72 от 10.03.2017 г. (денежные средства  направлены на реализацию мероприятия "Организация, проведение мероприятий, направленных на развитие традиционной хозяйственной</w:t>
      </w:r>
      <w:r>
        <w:rPr>
          <w:bCs/>
          <w:sz w:val="26"/>
          <w:szCs w:val="26"/>
        </w:rPr>
        <w:t xml:space="preserve"> деятельности, традиционной культуры, фольклора, национального спорта коренных малочисленных народов Севера, и участие в них" муниципальной программы Нефтеюганского района "Устойчивое развитие коренных малочисленных народов Севера" на транспортные услуги);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- 1 414,7 тыс. рублей ПАО «Сургутнефтегаз» по соглашению № 179 от 07.07.2009 г.</w:t>
      </w:r>
      <w:r>
        <w:rPr>
          <w:bCs/>
          <w:color w:val="ff0000"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(денежные средства  направлены на реализацию мероприятия</w:t>
      </w:r>
      <w:r>
        <w:rPr>
          <w:bCs/>
          <w:color w:val="ff0000"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"Организация, проведение мероприятий, направленных на развитие трад</w:t>
      </w:r>
      <w:r>
        <w:rPr>
          <w:bCs/>
          <w:sz w:val="26"/>
          <w:szCs w:val="26"/>
        </w:rPr>
        <w:t xml:space="preserve">иционной хозяйственной деятельности, традиционной культуры, фольклора, национального спорта коренных малочисленных народов Севера, и участие в них" муниципальной программы Нефтеюганского района "Устойчивое развитие коренных малочисленных народов Севера"). 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before="240" w:line="276" w:lineRule="auto"/>
        <w:tabs>
          <w:tab w:val="left" w:pos="0" w:leader="none"/>
          <w:tab w:val="left" w:pos="709" w:leader="none"/>
        </w:tabs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</w:t>
      </w:r>
      <w:r>
        <w:rPr>
          <w:b/>
          <w:bCs/>
          <w:sz w:val="26"/>
          <w:szCs w:val="26"/>
        </w:rPr>
        <w:t xml:space="preserve">4</w:t>
      </w:r>
      <w:r>
        <w:rPr>
          <w:bCs/>
          <w:sz w:val="26"/>
          <w:szCs w:val="26"/>
        </w:rPr>
        <w:t xml:space="preserve">. Увеличены бюджетные ассигнования на 2025 год на инициативные проекты в сумме </w:t>
      </w:r>
      <w:r>
        <w:rPr>
          <w:bCs/>
          <w:sz w:val="26"/>
          <w:szCs w:val="26"/>
        </w:rPr>
        <w:t xml:space="preserve">2</w:t>
      </w:r>
      <w:r>
        <w:rPr>
          <w:bCs/>
          <w:sz w:val="26"/>
          <w:szCs w:val="26"/>
        </w:rPr>
        <w:t xml:space="preserve"> 486,407 тыс. рублей, которые должны поступить от граждан, ИП, </w:t>
      </w:r>
      <w:r>
        <w:rPr>
          <w:bCs/>
          <w:sz w:val="26"/>
          <w:szCs w:val="26"/>
        </w:rPr>
        <w:t xml:space="preserve">ТОС,</w:t>
      </w:r>
      <w:r>
        <w:rPr>
          <w:bCs/>
          <w:sz w:val="26"/>
          <w:szCs w:val="26"/>
        </w:rPr>
        <w:t xml:space="preserve"> юр. лиц (исполнители департамент культуры и спорта, </w:t>
      </w:r>
      <w:r>
        <w:rPr>
          <w:bCs/>
          <w:sz w:val="26"/>
          <w:szCs w:val="26"/>
        </w:rPr>
        <w:t xml:space="preserve">департамент образования</w:t>
      </w:r>
      <w:r>
        <w:rPr>
          <w:bCs/>
          <w:sz w:val="26"/>
          <w:szCs w:val="26"/>
        </w:rPr>
        <w:t xml:space="preserve"> Нефтеюганского района).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before="240" w:line="276" w:lineRule="auto"/>
        <w:tabs>
          <w:tab w:val="left" w:pos="0" w:leader="none"/>
          <w:tab w:val="left" w:pos="709" w:leader="none"/>
        </w:tabs>
        <w:rPr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>
        <w:rPr>
          <w:b/>
          <w:sz w:val="26"/>
          <w:szCs w:val="26"/>
        </w:rPr>
        <w:t xml:space="preserve">5</w:t>
      </w:r>
      <w:r>
        <w:rPr>
          <w:b/>
          <w:sz w:val="26"/>
          <w:szCs w:val="26"/>
        </w:rPr>
        <w:t xml:space="preserve">.</w:t>
      </w:r>
      <w:r>
        <w:rPr>
          <w:bCs/>
          <w:sz w:val="26"/>
          <w:szCs w:val="26"/>
        </w:rPr>
        <w:t xml:space="preserve"> Уменьшены расходы в сумме 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(-) 332,9</w:t>
      </w:r>
      <w:r>
        <w:rPr>
          <w:sz w:val="26"/>
          <w:szCs w:val="26"/>
        </w:rPr>
        <w:t xml:space="preserve"> тыс. рублей в соответствии </w:t>
      </w:r>
      <w:r>
        <w:rPr>
          <w:sz w:val="26"/>
          <w:szCs w:val="26"/>
        </w:rPr>
        <w:t xml:space="preserve">с письмом Департамента образования Нефтеюганского района от 10.04.20025 № 11-Исх-1699 доплата родителя за предоставленную путевку, ввиду расторжения контрактов по организации отдыха и оздоровления на территории города Анапы и Анапского района на 2025 год.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highlight w:val="none"/>
        </w:rPr>
      </w:r>
      <w:r>
        <w:rPr>
          <w:color w:val="000000"/>
          <w:sz w:val="26"/>
          <w:szCs w:val="26"/>
          <w:highlight w:val="none"/>
        </w:rPr>
      </w:r>
      <w:r>
        <w:rPr>
          <w:color w:val="000000"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color w:val="000000"/>
          <w:sz w:val="26"/>
          <w:szCs w:val="26"/>
          <w:highlight w:val="none"/>
        </w:rPr>
      </w:pPr>
      <w:r>
        <w:rPr>
          <w:bCs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6</w:t>
      </w:r>
      <w:r>
        <w:rPr>
          <w:b/>
          <w:sz w:val="26"/>
          <w:szCs w:val="26"/>
        </w:rPr>
        <w:t xml:space="preserve">. </w:t>
      </w:r>
      <w:r>
        <w:rPr>
          <w:bCs/>
          <w:sz w:val="26"/>
          <w:szCs w:val="26"/>
        </w:rPr>
        <w:t xml:space="preserve">Увеличены </w:t>
      </w:r>
      <w:r>
        <w:rPr>
          <w:sz w:val="26"/>
          <w:szCs w:val="26"/>
        </w:rPr>
        <w:t xml:space="preserve">расходы на 14</w:t>
      </w:r>
      <w:r>
        <w:rPr>
          <w:sz w:val="26"/>
          <w:szCs w:val="26"/>
        </w:rPr>
        <w:t xml:space="preserve">8 899,67716</w:t>
      </w:r>
      <w:r>
        <w:rPr>
          <w:sz w:val="26"/>
          <w:szCs w:val="26"/>
        </w:rPr>
        <w:t xml:space="preserve"> тыс. рублей за счет источников на получение кредитов от кредитных организаций, направлены на исполнение полномочий ГРБС. Внесены изменения в приложение к решению Думы Нефтеюганского района «</w:t>
      </w:r>
      <w:r>
        <w:rPr>
          <w:color w:val="000000"/>
          <w:sz w:val="26"/>
          <w:szCs w:val="26"/>
        </w:rPr>
        <w:t xml:space="preserve">Случаи предоставления субсидий из бюджета Нефтеюганского района юридическим лицам». </w:t>
      </w:r>
      <w:r>
        <w:rPr>
          <w:color w:val="000000"/>
          <w:sz w:val="26"/>
          <w:szCs w:val="26"/>
          <w:highlight w:val="none"/>
        </w:rPr>
      </w:r>
      <w:r>
        <w:rPr>
          <w:color w:val="000000"/>
          <w:sz w:val="26"/>
          <w:szCs w:val="26"/>
          <w:highlight w:val="none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bCs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</w:t>
      </w:r>
      <w:r>
        <w:rPr>
          <w:b/>
          <w:bCs/>
          <w:color w:val="000000"/>
          <w:sz w:val="26"/>
          <w:szCs w:val="26"/>
        </w:rPr>
        <w:t xml:space="preserve">7</w:t>
      </w:r>
      <w:r>
        <w:rPr>
          <w:b/>
          <w:bCs/>
          <w:color w:val="000000"/>
          <w:sz w:val="26"/>
          <w:szCs w:val="26"/>
        </w:rPr>
        <w:t xml:space="preserve">.</w:t>
      </w:r>
      <w:r>
        <w:rPr>
          <w:color w:val="000000"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Вносятся изменения в источники ф</w:t>
      </w:r>
      <w:r>
        <w:rPr>
          <w:bCs/>
          <w:sz w:val="26"/>
          <w:szCs w:val="26"/>
        </w:rPr>
        <w:t xml:space="preserve">инансирования дефицита бюджета Нефтеюганского района на 2025 год, в связи с увеличением остатков благотворительных средств, увеличением остатков дорожного фонда, экологических платежей, на 2026-2027 годы в связи с увеличением расходов на погашение кредита.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both"/>
        <w:spacing w:line="276" w:lineRule="auto"/>
        <w:tabs>
          <w:tab w:val="left" w:pos="0" w:leader="none"/>
          <w:tab w:val="left" w:pos="709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firstLine="426"/>
        <w:jc w:val="both"/>
        <w:spacing w:line="276" w:lineRule="auto"/>
        <w:tabs>
          <w:tab w:val="left" w:pos="284" w:leader="none"/>
        </w:tabs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 xml:space="preserve">8</w:t>
      </w:r>
      <w:r>
        <w:rPr>
          <w:b/>
          <w:bCs/>
          <w:sz w:val="26"/>
          <w:szCs w:val="26"/>
        </w:rPr>
        <w:t xml:space="preserve">.</w:t>
      </w:r>
      <w:r>
        <w:rPr>
          <w:bCs/>
          <w:sz w:val="26"/>
          <w:szCs w:val="26"/>
        </w:rPr>
        <w:t xml:space="preserve"> Перераспределение, увеличение (уменьшение), уточнени</w:t>
      </w:r>
      <w:r>
        <w:rPr>
          <w:bCs/>
          <w:sz w:val="26"/>
          <w:szCs w:val="26"/>
        </w:rPr>
        <w:t xml:space="preserve">е бюджетных ассигнований: уточнение кодов бюджетной классификации в рамках муниципальных программ, по письмам внутри главных распорядителей бюджетных средств, по письмам между главными распорядителями бюджетных средств, в рамках непрограммных мероприятий. 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284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Расходная часть бюджета муниципального района на 2025 год составила </w:t>
      </w:r>
      <w:r>
        <w:rPr>
          <w:b/>
          <w:bCs/>
          <w:sz w:val="26"/>
          <w:szCs w:val="26"/>
          <w:highlight w:val="green"/>
        </w:rPr>
        <w:t xml:space="preserve">10 01</w:t>
      </w:r>
      <w:r>
        <w:rPr>
          <w:b/>
          <w:bCs/>
          <w:sz w:val="26"/>
          <w:szCs w:val="26"/>
          <w:highlight w:val="green"/>
        </w:rPr>
        <w:t xml:space="preserve">7 </w:t>
      </w:r>
      <w:r>
        <w:rPr>
          <w:b/>
          <w:bCs/>
          <w:sz w:val="26"/>
          <w:szCs w:val="26"/>
          <w:highlight w:val="green"/>
        </w:rPr>
        <w:t xml:space="preserve">763</w:t>
      </w:r>
      <w:r>
        <w:rPr>
          <w:b/>
          <w:bCs/>
          <w:sz w:val="26"/>
          <w:szCs w:val="26"/>
          <w:highlight w:val="green"/>
        </w:rPr>
        <w:t xml:space="preserve">,46659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тыс. рублей. Дефицит на 2025 год составил </w:t>
      </w:r>
      <w:r>
        <w:rPr>
          <w:b/>
          <w:sz w:val="26"/>
          <w:szCs w:val="26"/>
        </w:rPr>
        <w:t xml:space="preserve">1 858 </w:t>
      </w:r>
      <w:r>
        <w:rPr>
          <w:b/>
          <w:sz w:val="26"/>
          <w:szCs w:val="26"/>
        </w:rPr>
        <w:t xml:space="preserve">238</w:t>
      </w:r>
      <w:r>
        <w:rPr>
          <w:b/>
          <w:sz w:val="26"/>
          <w:szCs w:val="26"/>
        </w:rPr>
        <w:t xml:space="preserve">,</w:t>
      </w:r>
      <w:r>
        <w:rPr>
          <w:b/>
          <w:sz w:val="26"/>
          <w:szCs w:val="26"/>
        </w:rPr>
        <w:t xml:space="preserve">62452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тыс. рублей. 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284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284" w:leader="none"/>
        </w:tabs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9</w:t>
      </w:r>
      <w:r>
        <w:rPr>
          <w:b/>
          <w:sz w:val="26"/>
          <w:szCs w:val="26"/>
        </w:rPr>
        <w:t xml:space="preserve">.</w:t>
      </w:r>
      <w:r>
        <w:rPr>
          <w:bCs/>
          <w:sz w:val="26"/>
          <w:szCs w:val="26"/>
        </w:rPr>
        <w:t xml:space="preserve"> Уменьшен план по межбюджетным трансфертам, передаваемым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соглашениями, на 2025 год в сумме </w:t>
      </w:r>
      <w:r>
        <w:rPr>
          <w:b/>
          <w:bCs/>
          <w:sz w:val="26"/>
          <w:szCs w:val="26"/>
        </w:rPr>
        <w:t xml:space="preserve">(-) 20 093,13499 </w:t>
      </w:r>
      <w:r>
        <w:rPr>
          <w:bCs/>
          <w:sz w:val="26"/>
          <w:szCs w:val="26"/>
        </w:rPr>
        <w:t xml:space="preserve">тыс. рублей и составил всего </w:t>
      </w:r>
      <w:r>
        <w:rPr>
          <w:b/>
          <w:bCs/>
          <w:sz w:val="26"/>
          <w:szCs w:val="26"/>
        </w:rPr>
        <w:t xml:space="preserve">257 305,95857 </w:t>
      </w:r>
      <w:r>
        <w:rPr>
          <w:bCs/>
          <w:sz w:val="26"/>
          <w:szCs w:val="26"/>
        </w:rPr>
        <w:t xml:space="preserve">тыс. рублей</w:t>
      </w:r>
      <w:r>
        <w:rPr>
          <w:bCs/>
          <w:sz w:val="26"/>
          <w:szCs w:val="26"/>
        </w:rPr>
        <w:t xml:space="preserve">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284" w:leader="none"/>
        </w:tabs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1043"/>
        <w:ind w:left="0" w:right="0" w:firstLine="567"/>
        <w:jc w:val="both"/>
        <w:spacing w:line="276" w:lineRule="auto"/>
        <w:tabs>
          <w:tab w:val="left" w:pos="567" w:leader="none"/>
        </w:tabs>
        <w:rPr>
          <w:bCs/>
          <w:color w:val="ff0000"/>
          <w:sz w:val="26"/>
          <w:szCs w:val="26"/>
        </w:rPr>
      </w:pPr>
      <w:r>
        <w:rPr>
          <w:b/>
          <w:sz w:val="26"/>
          <w:szCs w:val="26"/>
        </w:rPr>
        <w:t xml:space="preserve">10</w:t>
      </w:r>
      <w:r>
        <w:rPr>
          <w:b/>
          <w:sz w:val="26"/>
          <w:szCs w:val="26"/>
        </w:rPr>
        <w:t xml:space="preserve">.</w:t>
      </w:r>
      <w:r>
        <w:rPr>
          <w:bCs/>
          <w:sz w:val="26"/>
          <w:szCs w:val="26"/>
        </w:rPr>
        <w:t xml:space="preserve"> Размер резервного фонда уменьшился (на основании распоряже</w:t>
      </w:r>
      <w:r>
        <w:rPr>
          <w:bCs/>
          <w:sz w:val="26"/>
          <w:szCs w:val="26"/>
        </w:rPr>
        <w:t xml:space="preserve">ния        от 17.01.2025 № 20-ра в сумме 300,0 тыс. рублей, от 28.01.2025 № 35-ра в сумме 150,0 тыс. рублей, от 04.02.2025 № 48-ра в сумме 470,0 тыс. рублей, от 17.03.2025 № 118-ра в сумме 300,0 тыс. рублей, от 01.04.2025 № 137-ра в сумме 600,0 тыс. рублей</w:t>
      </w:r>
      <w:r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  <w:highlight w:val="green"/>
        </w:rPr>
        <w:t xml:space="preserve">от 21.04.2025 № 155-ра в сумме 1 050,0 тыс. рублей</w:t>
      </w:r>
      <w:r>
        <w:rPr>
          <w:bCs/>
          <w:sz w:val="26"/>
          <w:szCs w:val="26"/>
        </w:rPr>
        <w:t xml:space="preserve">) и составил </w:t>
      </w:r>
      <w:r>
        <w:rPr>
          <w:b/>
          <w:sz w:val="26"/>
          <w:szCs w:val="26"/>
          <w:highlight w:val="green"/>
        </w:rPr>
        <w:t xml:space="preserve">12 130</w:t>
      </w:r>
      <w:r>
        <w:rPr>
          <w:b/>
          <w:sz w:val="26"/>
          <w:szCs w:val="26"/>
          <w:highlight w:val="green"/>
        </w:rPr>
        <w:t xml:space="preserve">,0</w:t>
      </w:r>
      <w:r>
        <w:rPr>
          <w:bCs/>
          <w:sz w:val="26"/>
          <w:szCs w:val="26"/>
        </w:rPr>
        <w:t xml:space="preserve"> тыс. </w:t>
      </w:r>
      <w:r>
        <w:rPr>
          <w:bCs/>
          <w:color w:val="auto"/>
          <w:sz w:val="26"/>
          <w:szCs w:val="26"/>
        </w:rPr>
        <w:t xml:space="preserve">рублей.</w:t>
      </w:r>
      <w:r>
        <w:rPr>
          <w:bCs/>
          <w:color w:val="ff0000"/>
          <w:sz w:val="26"/>
          <w:szCs w:val="26"/>
        </w:rPr>
        <w:t xml:space="preserve"> </w:t>
      </w:r>
      <w:r>
        <w:rPr>
          <w:bCs/>
          <w:color w:val="ff0000"/>
          <w:sz w:val="26"/>
          <w:szCs w:val="26"/>
        </w:rPr>
      </w:r>
      <w:r>
        <w:rPr>
          <w:bCs/>
          <w:color w:val="ff0000"/>
          <w:sz w:val="26"/>
          <w:szCs w:val="26"/>
        </w:rPr>
      </w:r>
    </w:p>
    <w:p>
      <w:pPr>
        <w:pStyle w:val="1043"/>
        <w:jc w:val="both"/>
        <w:spacing w:line="276" w:lineRule="auto"/>
        <w:tabs>
          <w:tab w:val="left" w:pos="567" w:leader="none"/>
        </w:tabs>
        <w:rPr>
          <w:bCs/>
          <w:color w:val="ff0000"/>
          <w:sz w:val="26"/>
          <w:szCs w:val="26"/>
        </w:rPr>
      </w:pPr>
      <w:r>
        <w:rPr>
          <w:bCs/>
          <w:color w:val="ff0000"/>
          <w:sz w:val="26"/>
          <w:szCs w:val="26"/>
        </w:rPr>
      </w:r>
      <w:r>
        <w:rPr>
          <w:bCs/>
          <w:color w:val="ff0000"/>
          <w:sz w:val="26"/>
          <w:szCs w:val="26"/>
        </w:rPr>
      </w:r>
      <w:r>
        <w:rPr>
          <w:bCs/>
          <w:color w:val="ff0000"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284" w:leader="none"/>
        </w:tabs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11</w:t>
      </w:r>
      <w:r>
        <w:rPr>
          <w:b/>
          <w:sz w:val="26"/>
          <w:szCs w:val="26"/>
        </w:rPr>
        <w:t xml:space="preserve">.</w:t>
      </w:r>
      <w:r>
        <w:rPr>
          <w:bCs/>
          <w:sz w:val="26"/>
          <w:szCs w:val="26"/>
        </w:rPr>
        <w:t xml:space="preserve"> Объем расходов на обслуживание муниципального остался без изменения. 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567"/>
        <w:jc w:val="both"/>
        <w:spacing w:line="276" w:lineRule="auto"/>
        <w:tabs>
          <w:tab w:val="left" w:pos="284" w:leader="none"/>
        </w:tabs>
        <w:rPr>
          <w:i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left="0" w:right="0" w:firstLine="567"/>
        <w:jc w:val="both"/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</w:t>
      </w:r>
      <w:r>
        <w:rPr>
          <w:b/>
          <w:bCs/>
          <w:sz w:val="26"/>
          <w:szCs w:val="26"/>
        </w:rPr>
        <w:t xml:space="preserve">2</w:t>
      </w:r>
      <w:r>
        <w:rPr>
          <w:b/>
          <w:bCs/>
          <w:sz w:val="26"/>
          <w:szCs w:val="26"/>
        </w:rPr>
        <w:t xml:space="preserve">.</w:t>
      </w:r>
      <w:r>
        <w:rPr>
          <w:sz w:val="26"/>
          <w:szCs w:val="26"/>
        </w:rPr>
        <w:t xml:space="preserve"> Расходы на исполнение публичных нормативных</w:t>
      </w:r>
      <w:r>
        <w:rPr>
          <w:sz w:val="26"/>
          <w:szCs w:val="26"/>
        </w:rPr>
        <w:t xml:space="preserve"> обязательств</w:t>
      </w:r>
      <w:r>
        <w:rPr>
          <w:sz w:val="26"/>
          <w:szCs w:val="26"/>
        </w:rPr>
        <w:t xml:space="preserve"> увеличились и составили 31 </w:t>
      </w:r>
      <w:r>
        <w:rPr>
          <w:sz w:val="26"/>
          <w:szCs w:val="26"/>
        </w:rPr>
        <w:t xml:space="preserve">357</w:t>
      </w:r>
      <w:r>
        <w:rPr>
          <w:sz w:val="26"/>
          <w:szCs w:val="26"/>
        </w:rPr>
        <w:t xml:space="preserve">,496 тыс. рублей.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360"/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ind w:firstLine="0"/>
        <w:jc w:val="center"/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III. Межбюджетные трансферты поселениям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0"/>
        <w:jc w:val="center"/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Общий объем межбюджетных трансфертов в бюджете Нефтеюганского района, предусмотренный бюджетам муниципальных образований поселений, уточнен в 2025 году в сторону увеличения на сумму </w:t>
      </w:r>
      <w:r>
        <w:rPr>
          <w:b/>
          <w:bCs/>
          <w:sz w:val="26"/>
          <w:szCs w:val="26"/>
        </w:rPr>
        <w:t xml:space="preserve">(+) 525 796,25668 </w:t>
      </w:r>
      <w:r>
        <w:rPr>
          <w:sz w:val="26"/>
          <w:szCs w:val="26"/>
        </w:rPr>
        <w:t xml:space="preserve">тыс. рублей и составляет всего </w:t>
      </w:r>
      <w:r>
        <w:rPr>
          <w:b/>
          <w:bCs/>
          <w:sz w:val="26"/>
          <w:szCs w:val="26"/>
        </w:rPr>
        <w:t xml:space="preserve">1</w:t>
      </w:r>
      <w:r>
        <w:rPr>
          <w:b/>
          <w:bCs/>
          <w:sz w:val="26"/>
          <w:szCs w:val="26"/>
          <w:lang w:val="en-US"/>
        </w:rPr>
        <w:t xml:space="preserve"> </w:t>
      </w:r>
      <w:r>
        <w:rPr>
          <w:b/>
          <w:bCs/>
          <w:sz w:val="26"/>
          <w:szCs w:val="26"/>
        </w:rPr>
        <w:t xml:space="preserve">552</w:t>
      </w:r>
      <w:r>
        <w:rPr>
          <w:b/>
          <w:bCs/>
          <w:sz w:val="26"/>
          <w:szCs w:val="26"/>
          <w:lang w:val="en-US"/>
        </w:rPr>
        <w:t xml:space="preserve"> </w:t>
      </w:r>
      <w:r>
        <w:rPr>
          <w:b/>
          <w:bCs/>
          <w:sz w:val="26"/>
          <w:szCs w:val="26"/>
        </w:rPr>
        <w:t xml:space="preserve">216,08955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рублей, в том числе: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Распределение межбюджетных трансфертов бюджетам муниципальных образований поселений на 2024 год составляет </w:t>
      </w:r>
      <w:r>
        <w:rPr>
          <w:b/>
          <w:bCs/>
          <w:sz w:val="26"/>
          <w:szCs w:val="26"/>
        </w:rPr>
        <w:t xml:space="preserve">1 167 185,00488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рублей.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Нераспределенные межбюджетные трансферты, зарезервированные и предусмотренные в бюджете Нефтеюганского района, подлежащие распределению в соответствии с порядками, установленными муниципальными правовыми актами Нефтеюганского района на 2025 год составляют </w:t>
      </w:r>
      <w:r>
        <w:rPr>
          <w:b/>
          <w:bCs/>
          <w:sz w:val="26"/>
          <w:szCs w:val="26"/>
        </w:rPr>
        <w:t xml:space="preserve">385 031,08467</w:t>
      </w:r>
      <w:r>
        <w:rPr>
          <w:sz w:val="26"/>
          <w:szCs w:val="26"/>
        </w:rPr>
        <w:t xml:space="preserve"> тыс. рублей.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0"/>
        <w:spacing w:line="276" w:lineRule="auto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</w:t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jc w:val="both"/>
        <w:spacing w:line="276" w:lineRule="auto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 xml:space="preserve">Увеличено распределение межбюджетных трансфертов бюджетам муниципальных образований поселений в сумме </w:t>
      </w:r>
      <w:r>
        <w:rPr>
          <w:b/>
          <w:bCs/>
          <w:sz w:val="26"/>
          <w:szCs w:val="26"/>
          <w:u w:val="single"/>
        </w:rPr>
        <w:t xml:space="preserve">(+) 528 390,40488 </w:t>
      </w:r>
      <w:r>
        <w:rPr>
          <w:bCs/>
          <w:sz w:val="26"/>
          <w:szCs w:val="26"/>
          <w:u w:val="single"/>
        </w:rPr>
        <w:t xml:space="preserve">тыс. рублей, в том числе:</w:t>
      </w:r>
      <w:r>
        <w:rPr>
          <w:bCs/>
          <w:sz w:val="26"/>
          <w:szCs w:val="26"/>
          <w:u w:val="single"/>
        </w:rPr>
      </w:r>
      <w:r>
        <w:rPr>
          <w:bCs/>
          <w:sz w:val="26"/>
          <w:szCs w:val="26"/>
          <w:u w:val="single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(+) 437 383,4951 </w:t>
      </w:r>
      <w:r>
        <w:rPr>
          <w:sz w:val="26"/>
          <w:szCs w:val="26"/>
        </w:rPr>
        <w:t xml:space="preserve">тыс. рублей в рамках Регионального проекта «Жилье» муниципальной программы Нефтеюганского района «Обеспечение доступным и комфортным жильем»</w:t>
      </w:r>
      <w:r>
        <w:rPr>
          <w:sz w:val="26"/>
          <w:szCs w:val="26"/>
        </w:rPr>
        <w:t xml:space="preserve"> на возмещение собственнику стоимости за изымаемое жилое помещение, в том числе средства бюджета автономного округа 389 271,31063 тыс. рублей, средства Нефтеюганского района (на условиях софинансирования) 48 112,18447 тыс. рублей (перераспределено из ДИО):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324 150,415 тыс. рублей г.п. Пойковский (средства бюджета автономного округа 288 493,86935 тыс. рублей, средства Нефтеюганского района 35 656,54565 тыс. рублей);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2 319,2 тыс. рублей с.п. Усть-Юган (средства бюджета автономного округа 2 064,088 тыс. рублей, средства Нефтеюганского района 255,112 тыс. рублей);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11 897,0 тыс. рублей с.п. Каркатеевы (средства бюджета автономного округа 10 588,33 тыс. рублей, средства Нефтеюганского района 1 308,67 тыс. рублей);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99 016,8801 тыс. рублей с.п. Сингапай (средства бюджета автономного округа 88 125,02328 тыс. рублей, средства Нефтеюганского района 10 891,85682 тыс. рублей).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(+) 12 768,7</w:t>
      </w:r>
      <w:r>
        <w:rPr>
          <w:sz w:val="26"/>
          <w:szCs w:val="26"/>
        </w:rPr>
        <w:t xml:space="preserve"> тыс. рублей на 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в рамках </w:t>
      </w:r>
      <w:r>
        <w:rPr>
          <w:sz w:val="26"/>
          <w:szCs w:val="26"/>
        </w:rPr>
        <w:t xml:space="preserve">муниципальной программы Нефтеюганского района «Обеспечение доступным и комфортным жильем» с.п. Усть-Юган (перераспределено из ДИО), в том числе: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11 364,143 тыс. рублей средства бюджета автономного округа;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1 404,557 тыс. рублей средства Нефтеюганского района.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(+) 73 538,33677 </w:t>
      </w:r>
      <w:r>
        <w:rPr>
          <w:sz w:val="26"/>
          <w:szCs w:val="26"/>
        </w:rPr>
        <w:t xml:space="preserve">тыс. рублей иные межбюджетные трансферты, за счет средств, поступающих от экологических платежей в рамках муниципальной программы Нефтеюганского района «Экологическая безопасность», в том числе: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(+) 50 638,33677 тыс. рублей на озеленение территорий городского и сельских поселений, из них: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16 000,0 тыс. рублей с.п. Куть-Ях; 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3 138,33677 тыс. рублей с.п. Сентябрьский;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31 500,0 тыс. рублей г.п. Пойковский.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(+) 22 900,0 тыс. рублей на ликвидацию мест захламления, из них: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9 000,0 тыс. рублей с.п. Куть-Ях;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15 000,0 тыс. рублей г.п. Пойковский;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(-) 1 100,0 тыс. рублей с.п. Сентябрьский.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ind w:firstLine="0"/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(+) 460,0 </w:t>
      </w:r>
      <w:r>
        <w:rPr>
          <w:sz w:val="26"/>
          <w:szCs w:val="26"/>
        </w:rPr>
        <w:t xml:space="preserve">тыс. рублей иные межбюджетные трансферты за счет средств из бюджета автономного</w:t>
      </w:r>
      <w:r>
        <w:rPr>
          <w:sz w:val="26"/>
          <w:szCs w:val="26"/>
        </w:rPr>
        <w:t xml:space="preserve"> округа на реализацию мероприятий по содействию трудоустройству граждан в рамках муниципальной программы Нефтеюганского района «Улучшение условий и охраны труда, содействие занятости населения» (перераспределено с ГРБС «Администрация района»), в том числе: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330,0 тыс. рублей г.п. Пойковский;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80,0 тыс. рублей с.п. Лемпино;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(+) 50,0 тыс. рублей с.п. Каркатеевы.</w:t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both"/>
        <w:spacing w:line="276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ind w:firstLine="0"/>
        <w:jc w:val="both"/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(+) 1 980,49401 </w:t>
      </w:r>
      <w:r>
        <w:rPr>
          <w:sz w:val="26"/>
          <w:szCs w:val="26"/>
        </w:rPr>
        <w:t xml:space="preserve">тыс. рублей субсидии бюджету с.п. Сингапай на реализацию проекта «Обустройство уличного освещения, расположенного по адресу п.Сингапай, ул. Рябиновая Нефтеюганского района» (1 002,80495 тыс. рублей – средства бюджета автономного округа</w:t>
      </w:r>
      <w:r>
        <w:rPr>
          <w:sz w:val="26"/>
          <w:szCs w:val="26"/>
        </w:rPr>
        <w:t xml:space="preserve">, 383,54086 тыс. рублей – средства федерального бюджета в соответствии с уведомлениями департамента финансов ХМАО – Югры №№ 700/04/36; 700/04/37 от 07.04.2025, распоряжением Правительства Ханты-Мансийского автономного округа – Югры от 31.03.2025 № 121-рп; </w:t>
      </w:r>
      <w:r>
        <w:rPr>
          <w:sz w:val="26"/>
          <w:szCs w:val="26"/>
        </w:rPr>
        <w:t xml:space="preserve">594,1482 тыс. рублей – бюджет Нефтеюганского района на условиях софинансирования).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0"/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(+) 2 259,379</w:t>
      </w:r>
      <w:r>
        <w:rPr>
          <w:sz w:val="26"/>
          <w:szCs w:val="26"/>
        </w:rPr>
        <w:t xml:space="preserve"> тыс. рублей иные межбюджетные </w:t>
      </w:r>
      <w:r>
        <w:rPr>
          <w:sz w:val="26"/>
          <w:szCs w:val="26"/>
        </w:rPr>
        <w:t xml:space="preserve">трансферты в рамках реализации комплекса процессных мероприятий «Благоустройство территорий поселений Нефтеюганского района» муниципальной программы Нефтеюганского района «Пространственное развитие и формирование комфортной городской среды» с.п. Усть-Юган.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76" w:lineRule="auto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 xml:space="preserve">Перераспределены в 2025 году межбюджетные трансферты бюджетам муниципальных образований поселений:</w:t>
      </w:r>
      <w:r>
        <w:rPr>
          <w:bCs/>
          <w:sz w:val="26"/>
          <w:szCs w:val="26"/>
          <w:u w:val="single"/>
        </w:rPr>
      </w:r>
      <w:r>
        <w:rPr>
          <w:bCs/>
          <w:sz w:val="26"/>
          <w:szCs w:val="26"/>
          <w:u w:val="single"/>
        </w:rPr>
      </w:r>
    </w:p>
    <w:p>
      <w:pPr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(+/-) </w:t>
      </w:r>
      <w:r>
        <w:rPr>
          <w:b/>
          <w:bCs/>
          <w:sz w:val="26"/>
          <w:szCs w:val="26"/>
        </w:rPr>
        <w:t xml:space="preserve">8 188,57505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тыс. рублей субсидии за счет средств </w:t>
      </w:r>
      <w:r>
        <w:rPr>
          <w:bCs/>
          <w:sz w:val="26"/>
          <w:szCs w:val="26"/>
        </w:rPr>
        <w:t xml:space="preserve">федерального и окружного бюджетов</w:t>
      </w:r>
      <w:r>
        <w:rPr>
          <w:bCs/>
          <w:sz w:val="26"/>
          <w:szCs w:val="26"/>
        </w:rPr>
        <w:t xml:space="preserve">, а также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бюджета Нефтеюганского района </w:t>
      </w:r>
      <w:r>
        <w:rPr>
          <w:sz w:val="26"/>
          <w:szCs w:val="26"/>
        </w:rPr>
        <w:t xml:space="preserve">в рамках муниципальной программы Нефтеюганского района «Пространственное развитие и формирование комфортной городской среды»</w:t>
      </w:r>
      <w:r>
        <w:rPr>
          <w:color w:val="ff0000"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на р</w:t>
      </w:r>
      <w:r>
        <w:rPr>
          <w:bCs/>
          <w:sz w:val="26"/>
          <w:szCs w:val="26"/>
        </w:rPr>
        <w:t xml:space="preserve">еализацию Регионального проекта «Формирование комфортной городской среды», на благоустройство рекреационно-досуговой зоны общественной территории «Берег озера Сырковый Сор» (перераспределено из бюджетов городского и сельских поселений в бюджет с.п. Салым).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jc w:val="both"/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jc w:val="both"/>
        <w:spacing w:line="276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Уменьшены в 2025 году бюджетные ассигнования, зарезервированные в бюджете Нефтеюганского района в сумме </w:t>
      </w:r>
      <w:r>
        <w:rPr>
          <w:b/>
          <w:bCs/>
          <w:sz w:val="26"/>
          <w:szCs w:val="26"/>
          <w:u w:val="single"/>
        </w:rPr>
        <w:t xml:space="preserve">(-) 2 594,1482</w:t>
      </w:r>
      <w:r>
        <w:rPr>
          <w:sz w:val="26"/>
          <w:szCs w:val="26"/>
          <w:u w:val="single"/>
        </w:rPr>
        <w:t xml:space="preserve"> тыс. рублей.</w:t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9" w:h="16834" w:orient="portrait"/>
      <w:pgMar w:top="1134" w:right="851" w:bottom="1134" w:left="1418" w:header="720" w:footer="720" w:gutter="567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rPr>
        <w:rStyle w:val="1014"/>
      </w:rPr>
      <w:framePr w:wrap="around" w:vAnchor="text" w:hAnchor="margin" w:xAlign="center" w:y="1"/>
    </w:pPr>
    <w:r>
      <w:rPr>
        <w:rStyle w:val="1014"/>
      </w:rPr>
      <w:fldChar w:fldCharType="begin"/>
    </w:r>
    <w:r>
      <w:rPr>
        <w:rStyle w:val="1014"/>
      </w:rPr>
      <w:instrText xml:space="preserve">PAGE  </w:instrText>
    </w:r>
    <w:r>
      <w:rPr>
        <w:rStyle w:val="1014"/>
      </w:rPr>
      <w:fldChar w:fldCharType="end"/>
    </w:r>
    <w:r>
      <w:rPr>
        <w:rStyle w:val="1014"/>
      </w:rPr>
    </w:r>
    <w:r>
      <w:rPr>
        <w:rStyle w:val="1014"/>
      </w:rPr>
    </w:r>
  </w:p>
  <w:p>
    <w:pPr>
      <w:pStyle w:val="86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28" w:hanging="360"/>
      </w:pPr>
      <w:rPr>
        <w:b/>
        <w:bCs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5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1005"/>
      </w:pPr>
    </w:lvl>
    <w:lvl w:ilvl="1">
      <w:start w:val="1"/>
      <w:numFmt w:val="decimal"/>
      <w:isLgl w:val="false"/>
      <w:suff w:val="tab"/>
      <w:lvlText w:val="%1.%2."/>
      <w:lvlJc w:val="left"/>
      <w:pPr>
        <w:ind w:left="1365" w:hanging="10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25" w:hanging="10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24" w:hanging="84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45" w:hanging="11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15" w:hanging="915"/>
      </w:pPr>
    </w:lvl>
    <w:lvl w:ilvl="1">
      <w:start w:val="1"/>
      <w:numFmt w:val="decimal"/>
      <w:isLgl w:val="false"/>
      <w:suff w:val="tab"/>
      <w:lvlText w:val="%1.%2."/>
      <w:lvlJc w:val="left"/>
      <w:pPr>
        <w:ind w:left="1575" w:hanging="91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35" w:hanging="91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0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7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7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40" w:hanging="2160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2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8" w:hanging="360"/>
      </w:pPr>
      <w:rPr>
        <w:b/>
        <w:bCs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5">
    <w:multiLevelType w:val="hybridMultilevel"/>
    <w:lvl w:ilvl="0">
      <w:start w:val="10"/>
      <w:numFmt w:val="bullet"/>
      <w:isLgl w:val="false"/>
      <w:suff w:val="tab"/>
      <w:lvlText w:val="-"/>
      <w:lvlJc w:val="left"/>
      <w:pPr>
        <w:ind w:left="108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86" w:hanging="360"/>
      </w:pPr>
      <w:rPr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1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31" w:hanging="108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931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291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291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51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651" w:hanging="1800"/>
      </w:pPr>
      <w:rPr>
        <w:color w:val="000000"/>
      </w:r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3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06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8" w:hanging="360"/>
      </w:pPr>
      <w:rPr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2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9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4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1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8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5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006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453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48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6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63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70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7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4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92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93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b/>
        <w:i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num w:numId="1">
    <w:abstractNumId w:val="32"/>
  </w:num>
  <w:num w:numId="2">
    <w:abstractNumId w:val="13"/>
  </w:num>
  <w:num w:numId="3">
    <w:abstractNumId w:val="8"/>
  </w:num>
  <w:num w:numId="4">
    <w:abstractNumId w:val="34"/>
  </w:num>
  <w:num w:numId="5">
    <w:abstractNumId w:val="15"/>
  </w:num>
  <w:num w:numId="6">
    <w:abstractNumId w:val="5"/>
  </w:num>
  <w:num w:numId="7">
    <w:abstractNumId w:val="2"/>
  </w:num>
  <w:num w:numId="8">
    <w:abstractNumId w:val="6"/>
  </w:num>
  <w:num w:numId="9">
    <w:abstractNumId w:val="21"/>
  </w:num>
  <w:num w:numId="10">
    <w:abstractNumId w:val="19"/>
  </w:num>
  <w:num w:numId="11">
    <w:abstractNumId w:val="37"/>
  </w:num>
  <w:num w:numId="12">
    <w:abstractNumId w:val="18"/>
  </w:num>
  <w:num w:numId="13">
    <w:abstractNumId w:val="9"/>
  </w:num>
  <w:num w:numId="14">
    <w:abstractNumId w:val="38"/>
  </w:num>
  <w:num w:numId="15">
    <w:abstractNumId w:val="0"/>
  </w:num>
  <w:num w:numId="16">
    <w:abstractNumId w:val="26"/>
  </w:num>
  <w:num w:numId="17">
    <w:abstractNumId w:val="11"/>
  </w:num>
  <w:num w:numId="18">
    <w:abstractNumId w:val="40"/>
  </w:num>
  <w:num w:numId="19">
    <w:abstractNumId w:val="35"/>
  </w:num>
  <w:num w:numId="20">
    <w:abstractNumId w:val="10"/>
  </w:num>
  <w:num w:numId="21">
    <w:abstractNumId w:val="31"/>
  </w:num>
  <w:num w:numId="22">
    <w:abstractNumId w:val="4"/>
  </w:num>
  <w:num w:numId="23">
    <w:abstractNumId w:val="16"/>
  </w:num>
  <w:num w:numId="24">
    <w:abstractNumId w:val="7"/>
  </w:num>
  <w:num w:numId="25">
    <w:abstractNumId w:val="30"/>
  </w:num>
  <w:num w:numId="26">
    <w:abstractNumId w:val="12"/>
  </w:num>
  <w:num w:numId="27">
    <w:abstractNumId w:val="27"/>
  </w:num>
  <w:num w:numId="28">
    <w:abstractNumId w:val="24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41"/>
  </w:num>
  <w:num w:numId="32">
    <w:abstractNumId w:val="23"/>
  </w:num>
  <w:num w:numId="33">
    <w:abstractNumId w:val="20"/>
  </w:num>
  <w:num w:numId="34">
    <w:abstractNumId w:val="22"/>
  </w:num>
  <w:num w:numId="35">
    <w:abstractNumId w:val="29"/>
  </w:num>
  <w:num w:numId="36">
    <w:abstractNumId w:val="33"/>
  </w:num>
  <w:num w:numId="37">
    <w:abstractNumId w:val="3"/>
  </w:num>
  <w:num w:numId="38">
    <w:abstractNumId w:val="28"/>
  </w:num>
  <w:num w:numId="39">
    <w:abstractNumId w:val="14"/>
  </w:num>
  <w:num w:numId="40">
    <w:abstractNumId w:val="17"/>
  </w:num>
  <w:num w:numId="41">
    <w:abstractNumId w:val="1"/>
  </w:num>
  <w:num w:numId="42">
    <w:abstractNumId w:val="25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4">
    <w:name w:val="Heading 2 Char"/>
    <w:basedOn w:val="840"/>
    <w:link w:val="832"/>
    <w:uiPriority w:val="9"/>
    <w:rPr>
      <w:rFonts w:ascii="Arial" w:hAnsi="Arial" w:eastAsia="Arial" w:cs="Arial"/>
      <w:sz w:val="34"/>
    </w:rPr>
  </w:style>
  <w:style w:type="character" w:styleId="815">
    <w:name w:val="Heading 3 Char"/>
    <w:basedOn w:val="840"/>
    <w:link w:val="833"/>
    <w:uiPriority w:val="9"/>
    <w:rPr>
      <w:rFonts w:ascii="Arial" w:hAnsi="Arial" w:eastAsia="Arial" w:cs="Arial"/>
      <w:sz w:val="30"/>
      <w:szCs w:val="30"/>
    </w:rPr>
  </w:style>
  <w:style w:type="character" w:styleId="816">
    <w:name w:val="Heading 4 Char"/>
    <w:basedOn w:val="840"/>
    <w:link w:val="834"/>
    <w:uiPriority w:val="9"/>
    <w:rPr>
      <w:rFonts w:ascii="Arial" w:hAnsi="Arial" w:eastAsia="Arial" w:cs="Arial"/>
      <w:b/>
      <w:bCs/>
      <w:sz w:val="26"/>
      <w:szCs w:val="26"/>
    </w:rPr>
  </w:style>
  <w:style w:type="character" w:styleId="817">
    <w:name w:val="Heading 5 Char"/>
    <w:basedOn w:val="840"/>
    <w:link w:val="835"/>
    <w:uiPriority w:val="9"/>
    <w:rPr>
      <w:rFonts w:ascii="Arial" w:hAnsi="Arial" w:eastAsia="Arial" w:cs="Arial"/>
      <w:b/>
      <w:bCs/>
      <w:sz w:val="24"/>
      <w:szCs w:val="24"/>
    </w:rPr>
  </w:style>
  <w:style w:type="character" w:styleId="818">
    <w:name w:val="Heading 6 Char"/>
    <w:basedOn w:val="840"/>
    <w:link w:val="836"/>
    <w:uiPriority w:val="9"/>
    <w:rPr>
      <w:rFonts w:ascii="Arial" w:hAnsi="Arial" w:eastAsia="Arial" w:cs="Arial"/>
      <w:b/>
      <w:bCs/>
      <w:sz w:val="22"/>
      <w:szCs w:val="22"/>
    </w:rPr>
  </w:style>
  <w:style w:type="character" w:styleId="819">
    <w:name w:val="Heading 7 Char"/>
    <w:basedOn w:val="840"/>
    <w:link w:val="8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0">
    <w:name w:val="Heading 8 Char"/>
    <w:basedOn w:val="840"/>
    <w:link w:val="838"/>
    <w:uiPriority w:val="9"/>
    <w:rPr>
      <w:rFonts w:ascii="Arial" w:hAnsi="Arial" w:eastAsia="Arial" w:cs="Arial"/>
      <w:i/>
      <w:iCs/>
      <w:sz w:val="22"/>
      <w:szCs w:val="22"/>
    </w:rPr>
  </w:style>
  <w:style w:type="character" w:styleId="821">
    <w:name w:val="Heading 9 Char"/>
    <w:basedOn w:val="840"/>
    <w:link w:val="839"/>
    <w:uiPriority w:val="9"/>
    <w:rPr>
      <w:rFonts w:ascii="Arial" w:hAnsi="Arial" w:eastAsia="Arial" w:cs="Arial"/>
      <w:i/>
      <w:iCs/>
      <w:sz w:val="21"/>
      <w:szCs w:val="21"/>
    </w:rPr>
  </w:style>
  <w:style w:type="character" w:styleId="822">
    <w:name w:val="Title Char"/>
    <w:basedOn w:val="840"/>
    <w:link w:val="854"/>
    <w:uiPriority w:val="10"/>
    <w:rPr>
      <w:sz w:val="48"/>
      <w:szCs w:val="48"/>
    </w:rPr>
  </w:style>
  <w:style w:type="character" w:styleId="823">
    <w:name w:val="Subtitle Char"/>
    <w:basedOn w:val="840"/>
    <w:link w:val="856"/>
    <w:uiPriority w:val="11"/>
    <w:rPr>
      <w:sz w:val="24"/>
      <w:szCs w:val="24"/>
    </w:rPr>
  </w:style>
  <w:style w:type="character" w:styleId="824">
    <w:name w:val="Quote Char"/>
    <w:link w:val="858"/>
    <w:uiPriority w:val="29"/>
    <w:rPr>
      <w:i/>
    </w:rPr>
  </w:style>
  <w:style w:type="character" w:styleId="825">
    <w:name w:val="Intense Quote Char"/>
    <w:link w:val="860"/>
    <w:uiPriority w:val="30"/>
    <w:rPr>
      <w:i/>
    </w:rPr>
  </w:style>
  <w:style w:type="character" w:styleId="826">
    <w:name w:val="Footer Char"/>
    <w:basedOn w:val="840"/>
    <w:link w:val="864"/>
    <w:uiPriority w:val="99"/>
  </w:style>
  <w:style w:type="character" w:styleId="827">
    <w:name w:val="Caption Char"/>
    <w:basedOn w:val="840"/>
    <w:link w:val="866"/>
    <w:uiPriority w:val="35"/>
    <w:rPr>
      <w:b/>
      <w:bCs/>
      <w:color w:val="4f81bd" w:themeColor="accent1"/>
      <w:sz w:val="18"/>
      <w:szCs w:val="18"/>
    </w:rPr>
  </w:style>
  <w:style w:type="character" w:styleId="828">
    <w:name w:val="Footnote Text Char"/>
    <w:link w:val="995"/>
    <w:uiPriority w:val="99"/>
    <w:rPr>
      <w:sz w:val="18"/>
    </w:rPr>
  </w:style>
  <w:style w:type="character" w:styleId="829">
    <w:name w:val="Endnote Text Char"/>
    <w:link w:val="998"/>
    <w:uiPriority w:val="99"/>
    <w:rPr>
      <w:sz w:val="20"/>
    </w:rPr>
  </w:style>
  <w:style w:type="paragraph" w:styleId="830" w:default="1">
    <w:name w:val="Normal"/>
    <w:qFormat/>
    <w:pPr>
      <w:ind w:firstLine="720"/>
    </w:pPr>
    <w:rPr>
      <w:lang w:eastAsia="ru-RU"/>
    </w:rPr>
  </w:style>
  <w:style w:type="paragraph" w:styleId="831">
    <w:name w:val="Heading 1"/>
    <w:basedOn w:val="830"/>
    <w:next w:val="830"/>
    <w:link w:val="1016"/>
    <w:qFormat/>
    <w:pPr>
      <w:keepNext/>
      <w:outlineLvl w:val="0"/>
    </w:pPr>
    <w:rPr>
      <w:rFonts w:ascii="Arial" w:hAnsi="Arial"/>
      <w:sz w:val="26"/>
    </w:rPr>
  </w:style>
  <w:style w:type="paragraph" w:styleId="832">
    <w:name w:val="Heading 2"/>
    <w:basedOn w:val="830"/>
    <w:next w:val="830"/>
    <w:link w:val="84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33">
    <w:name w:val="Heading 3"/>
    <w:basedOn w:val="830"/>
    <w:next w:val="830"/>
    <w:link w:val="8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34">
    <w:name w:val="Heading 4"/>
    <w:basedOn w:val="830"/>
    <w:next w:val="830"/>
    <w:link w:val="8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35">
    <w:name w:val="Heading 5"/>
    <w:basedOn w:val="830"/>
    <w:next w:val="830"/>
    <w:link w:val="8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36">
    <w:name w:val="Heading 6"/>
    <w:basedOn w:val="830"/>
    <w:next w:val="830"/>
    <w:link w:val="8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37">
    <w:name w:val="Heading 7"/>
    <w:basedOn w:val="830"/>
    <w:next w:val="830"/>
    <w:link w:val="8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8">
    <w:name w:val="Heading 8"/>
    <w:basedOn w:val="830"/>
    <w:next w:val="830"/>
    <w:link w:val="8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39">
    <w:name w:val="Heading 9"/>
    <w:basedOn w:val="830"/>
    <w:next w:val="830"/>
    <w:link w:val="8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844" w:customStyle="1">
    <w:name w:val="Заголовок 2 Знак"/>
    <w:link w:val="832"/>
    <w:uiPriority w:val="9"/>
    <w:rPr>
      <w:rFonts w:ascii="Arial" w:hAnsi="Arial" w:eastAsia="Arial" w:cs="Arial"/>
      <w:sz w:val="34"/>
    </w:rPr>
  </w:style>
  <w:style w:type="character" w:styleId="845" w:customStyle="1">
    <w:name w:val="Заголовок 3 Знак"/>
    <w:link w:val="833"/>
    <w:uiPriority w:val="9"/>
    <w:rPr>
      <w:rFonts w:ascii="Arial" w:hAnsi="Arial" w:eastAsia="Arial" w:cs="Arial"/>
      <w:sz w:val="30"/>
      <w:szCs w:val="30"/>
    </w:rPr>
  </w:style>
  <w:style w:type="character" w:styleId="846" w:customStyle="1">
    <w:name w:val="Заголовок 4 Знак"/>
    <w:link w:val="834"/>
    <w:uiPriority w:val="9"/>
    <w:rPr>
      <w:rFonts w:ascii="Arial" w:hAnsi="Arial" w:eastAsia="Arial" w:cs="Arial"/>
      <w:b/>
      <w:bCs/>
      <w:sz w:val="26"/>
      <w:szCs w:val="26"/>
    </w:rPr>
  </w:style>
  <w:style w:type="character" w:styleId="847" w:customStyle="1">
    <w:name w:val="Заголовок 5 Знак"/>
    <w:link w:val="835"/>
    <w:uiPriority w:val="9"/>
    <w:rPr>
      <w:rFonts w:ascii="Arial" w:hAnsi="Arial" w:eastAsia="Arial" w:cs="Arial"/>
      <w:b/>
      <w:bCs/>
      <w:sz w:val="24"/>
      <w:szCs w:val="24"/>
    </w:rPr>
  </w:style>
  <w:style w:type="character" w:styleId="848" w:customStyle="1">
    <w:name w:val="Заголовок 6 Знак"/>
    <w:link w:val="836"/>
    <w:uiPriority w:val="9"/>
    <w:rPr>
      <w:rFonts w:ascii="Arial" w:hAnsi="Arial" w:eastAsia="Arial" w:cs="Arial"/>
      <w:b/>
      <w:bCs/>
      <w:sz w:val="22"/>
      <w:szCs w:val="22"/>
    </w:rPr>
  </w:style>
  <w:style w:type="character" w:styleId="849" w:customStyle="1">
    <w:name w:val="Заголовок 7 Знак"/>
    <w:link w:val="8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0" w:customStyle="1">
    <w:name w:val="Заголовок 8 Знак"/>
    <w:link w:val="838"/>
    <w:uiPriority w:val="9"/>
    <w:rPr>
      <w:rFonts w:ascii="Arial" w:hAnsi="Arial" w:eastAsia="Arial" w:cs="Arial"/>
      <w:i/>
      <w:iCs/>
      <w:sz w:val="22"/>
      <w:szCs w:val="22"/>
    </w:rPr>
  </w:style>
  <w:style w:type="character" w:styleId="851" w:customStyle="1">
    <w:name w:val="Заголовок 9 Знак"/>
    <w:link w:val="839"/>
    <w:uiPriority w:val="9"/>
    <w:rPr>
      <w:rFonts w:ascii="Arial" w:hAnsi="Arial" w:eastAsia="Arial" w:cs="Arial"/>
      <w:i/>
      <w:iCs/>
      <w:sz w:val="21"/>
      <w:szCs w:val="21"/>
    </w:rPr>
  </w:style>
  <w:style w:type="paragraph" w:styleId="852">
    <w:name w:val="List Paragraph"/>
    <w:basedOn w:val="830"/>
    <w:uiPriority w:val="34"/>
    <w:qFormat/>
    <w:pPr>
      <w:contextualSpacing/>
      <w:ind w:left="720"/>
    </w:pPr>
    <w:rPr>
      <w:sz w:val="24"/>
      <w:szCs w:val="24"/>
    </w:rPr>
  </w:style>
  <w:style w:type="paragraph" w:styleId="853">
    <w:name w:val="No Spacing"/>
    <w:uiPriority w:val="1"/>
    <w:qFormat/>
  </w:style>
  <w:style w:type="paragraph" w:styleId="854">
    <w:name w:val="Title"/>
    <w:basedOn w:val="830"/>
    <w:next w:val="830"/>
    <w:link w:val="8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5" w:customStyle="1">
    <w:name w:val="Заголовок Знак"/>
    <w:link w:val="854"/>
    <w:uiPriority w:val="10"/>
    <w:rPr>
      <w:sz w:val="48"/>
      <w:szCs w:val="48"/>
    </w:rPr>
  </w:style>
  <w:style w:type="paragraph" w:styleId="856">
    <w:name w:val="Subtitle"/>
    <w:basedOn w:val="830"/>
    <w:next w:val="830"/>
    <w:link w:val="857"/>
    <w:uiPriority w:val="11"/>
    <w:qFormat/>
    <w:pPr>
      <w:spacing w:before="200" w:after="200"/>
    </w:pPr>
    <w:rPr>
      <w:sz w:val="24"/>
      <w:szCs w:val="24"/>
    </w:rPr>
  </w:style>
  <w:style w:type="character" w:styleId="857" w:customStyle="1">
    <w:name w:val="Подзаголовок Знак"/>
    <w:link w:val="856"/>
    <w:uiPriority w:val="11"/>
    <w:rPr>
      <w:sz w:val="24"/>
      <w:szCs w:val="24"/>
    </w:rPr>
  </w:style>
  <w:style w:type="paragraph" w:styleId="858">
    <w:name w:val="Quote"/>
    <w:basedOn w:val="830"/>
    <w:next w:val="830"/>
    <w:link w:val="859"/>
    <w:uiPriority w:val="29"/>
    <w:qFormat/>
    <w:pPr>
      <w:ind w:left="720" w:right="720"/>
    </w:pPr>
    <w:rPr>
      <w:i/>
    </w:rPr>
  </w:style>
  <w:style w:type="character" w:styleId="859" w:customStyle="1">
    <w:name w:val="Цитата 2 Знак"/>
    <w:link w:val="858"/>
    <w:uiPriority w:val="29"/>
    <w:rPr>
      <w:i/>
    </w:rPr>
  </w:style>
  <w:style w:type="paragraph" w:styleId="860">
    <w:name w:val="Intense Quote"/>
    <w:basedOn w:val="830"/>
    <w:next w:val="830"/>
    <w:link w:val="86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1" w:customStyle="1">
    <w:name w:val="Выделенная цитата Знак"/>
    <w:link w:val="860"/>
    <w:uiPriority w:val="30"/>
    <w:rPr>
      <w:i/>
    </w:rPr>
  </w:style>
  <w:style w:type="paragraph" w:styleId="862">
    <w:name w:val="Header"/>
    <w:basedOn w:val="830"/>
    <w:link w:val="1026"/>
    <w:uiPriority w:val="99"/>
    <w:pPr>
      <w:tabs>
        <w:tab w:val="center" w:pos="4677" w:leader="none"/>
        <w:tab w:val="right" w:pos="9355" w:leader="none"/>
      </w:tabs>
    </w:pPr>
  </w:style>
  <w:style w:type="character" w:styleId="863" w:customStyle="1">
    <w:name w:val="Header Char"/>
    <w:uiPriority w:val="99"/>
  </w:style>
  <w:style w:type="paragraph" w:styleId="864">
    <w:name w:val="Footer"/>
    <w:basedOn w:val="830"/>
    <w:link w:val="865"/>
    <w:pPr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link w:val="864"/>
    <w:uiPriority w:val="99"/>
  </w:style>
  <w:style w:type="paragraph" w:styleId="866">
    <w:name w:val="Caption"/>
    <w:basedOn w:val="830"/>
    <w:next w:val="830"/>
    <w:link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67" w:customStyle="1">
    <w:name w:val="Название объекта Знак"/>
    <w:link w:val="866"/>
    <w:uiPriority w:val="35"/>
    <w:rPr>
      <w:b/>
      <w:bCs/>
      <w:color w:val="4f81bd" w:themeColor="accent1"/>
      <w:sz w:val="18"/>
      <w:szCs w:val="18"/>
    </w:rPr>
  </w:style>
  <w:style w:type="table" w:styleId="868">
    <w:name w:val="Table Grid"/>
    <w:basedOn w:val="841"/>
    <w:tblPr/>
  </w:style>
  <w:style w:type="table" w:styleId="86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9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9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0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0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0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0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0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0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0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0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0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0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1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1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1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1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1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1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1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1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3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3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3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3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3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3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3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6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6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6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6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6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6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6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7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7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7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7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7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8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8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8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8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8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8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8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8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8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8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9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9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9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9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94">
    <w:name w:val="Hyperlink"/>
    <w:uiPriority w:val="99"/>
    <w:unhideWhenUsed/>
    <w:rPr>
      <w:color w:val="0000ff" w:themeColor="hyperlink"/>
      <w:u w:val="single"/>
    </w:rPr>
  </w:style>
  <w:style w:type="paragraph" w:styleId="995">
    <w:name w:val="footnote text"/>
    <w:basedOn w:val="830"/>
    <w:link w:val="996"/>
    <w:uiPriority w:val="99"/>
    <w:semiHidden/>
    <w:unhideWhenUsed/>
    <w:pPr>
      <w:spacing w:after="40"/>
    </w:pPr>
    <w:rPr>
      <w:sz w:val="18"/>
    </w:rPr>
  </w:style>
  <w:style w:type="character" w:styleId="996" w:customStyle="1">
    <w:name w:val="Текст сноски Знак"/>
    <w:link w:val="995"/>
    <w:uiPriority w:val="99"/>
    <w:rPr>
      <w:sz w:val="18"/>
    </w:rPr>
  </w:style>
  <w:style w:type="character" w:styleId="997">
    <w:name w:val="footnote reference"/>
    <w:uiPriority w:val="99"/>
    <w:unhideWhenUsed/>
    <w:rPr>
      <w:vertAlign w:val="superscript"/>
    </w:rPr>
  </w:style>
  <w:style w:type="paragraph" w:styleId="998">
    <w:name w:val="endnote text"/>
    <w:basedOn w:val="830"/>
    <w:link w:val="999"/>
    <w:uiPriority w:val="99"/>
    <w:semiHidden/>
    <w:unhideWhenUsed/>
  </w:style>
  <w:style w:type="character" w:styleId="999" w:customStyle="1">
    <w:name w:val="Текст концевой сноски Знак"/>
    <w:link w:val="998"/>
    <w:uiPriority w:val="99"/>
    <w:rPr>
      <w:sz w:val="20"/>
    </w:rPr>
  </w:style>
  <w:style w:type="character" w:styleId="1000">
    <w:name w:val="endnote reference"/>
    <w:uiPriority w:val="99"/>
    <w:semiHidden/>
    <w:unhideWhenUsed/>
    <w:rPr>
      <w:vertAlign w:val="superscript"/>
    </w:rPr>
  </w:style>
  <w:style w:type="paragraph" w:styleId="1001">
    <w:name w:val="toc 1"/>
    <w:basedOn w:val="830"/>
    <w:next w:val="830"/>
    <w:uiPriority w:val="39"/>
    <w:unhideWhenUsed/>
    <w:pPr>
      <w:ind w:firstLine="0"/>
      <w:spacing w:after="57"/>
    </w:pPr>
  </w:style>
  <w:style w:type="paragraph" w:styleId="1002">
    <w:name w:val="toc 2"/>
    <w:basedOn w:val="830"/>
    <w:next w:val="830"/>
    <w:uiPriority w:val="39"/>
    <w:unhideWhenUsed/>
    <w:pPr>
      <w:ind w:left="283" w:firstLine="0"/>
      <w:spacing w:after="57"/>
    </w:pPr>
  </w:style>
  <w:style w:type="paragraph" w:styleId="1003">
    <w:name w:val="toc 3"/>
    <w:basedOn w:val="830"/>
    <w:next w:val="830"/>
    <w:uiPriority w:val="39"/>
    <w:unhideWhenUsed/>
    <w:pPr>
      <w:ind w:left="567" w:firstLine="0"/>
      <w:spacing w:after="57"/>
    </w:pPr>
  </w:style>
  <w:style w:type="paragraph" w:styleId="1004">
    <w:name w:val="toc 4"/>
    <w:basedOn w:val="830"/>
    <w:next w:val="830"/>
    <w:uiPriority w:val="39"/>
    <w:unhideWhenUsed/>
    <w:pPr>
      <w:ind w:left="850" w:firstLine="0"/>
      <w:spacing w:after="57"/>
    </w:pPr>
  </w:style>
  <w:style w:type="paragraph" w:styleId="1005">
    <w:name w:val="toc 5"/>
    <w:basedOn w:val="830"/>
    <w:next w:val="830"/>
    <w:uiPriority w:val="39"/>
    <w:unhideWhenUsed/>
    <w:pPr>
      <w:ind w:left="1134" w:firstLine="0"/>
      <w:spacing w:after="57"/>
    </w:pPr>
  </w:style>
  <w:style w:type="paragraph" w:styleId="1006">
    <w:name w:val="toc 6"/>
    <w:basedOn w:val="830"/>
    <w:next w:val="830"/>
    <w:uiPriority w:val="39"/>
    <w:unhideWhenUsed/>
    <w:pPr>
      <w:ind w:left="1417" w:firstLine="0"/>
      <w:spacing w:after="57"/>
    </w:pPr>
  </w:style>
  <w:style w:type="paragraph" w:styleId="1007">
    <w:name w:val="toc 7"/>
    <w:basedOn w:val="830"/>
    <w:next w:val="830"/>
    <w:uiPriority w:val="39"/>
    <w:unhideWhenUsed/>
    <w:pPr>
      <w:ind w:left="1701" w:firstLine="0"/>
      <w:spacing w:after="57"/>
    </w:pPr>
  </w:style>
  <w:style w:type="paragraph" w:styleId="1008">
    <w:name w:val="toc 8"/>
    <w:basedOn w:val="830"/>
    <w:next w:val="830"/>
    <w:uiPriority w:val="39"/>
    <w:unhideWhenUsed/>
    <w:pPr>
      <w:ind w:left="1984" w:firstLine="0"/>
      <w:spacing w:after="57"/>
    </w:pPr>
  </w:style>
  <w:style w:type="paragraph" w:styleId="1009">
    <w:name w:val="toc 9"/>
    <w:basedOn w:val="830"/>
    <w:next w:val="830"/>
    <w:uiPriority w:val="39"/>
    <w:unhideWhenUsed/>
    <w:pPr>
      <w:ind w:left="2268" w:firstLine="0"/>
      <w:spacing w:after="57"/>
    </w:pPr>
  </w:style>
  <w:style w:type="paragraph" w:styleId="1010">
    <w:name w:val="TOC Heading"/>
    <w:uiPriority w:val="39"/>
    <w:unhideWhenUsed/>
  </w:style>
  <w:style w:type="paragraph" w:styleId="1011">
    <w:name w:val="table of figures"/>
    <w:basedOn w:val="830"/>
    <w:next w:val="830"/>
    <w:uiPriority w:val="99"/>
    <w:unhideWhenUsed/>
  </w:style>
  <w:style w:type="character" w:styleId="1012" w:customStyle="1">
    <w:name w:val="Основной шрифт абзаца;Знак Знак Знак Знак Знак Знак Знак Знак Знак Знак Знак Знак Знак Знак Знак Знак1 Знак Знак Знак Знак Знак Знак Знак Знак"/>
    <w:link w:val="1037"/>
    <w:semiHidden/>
  </w:style>
  <w:style w:type="paragraph" w:styleId="1013">
    <w:name w:val="Balloon Text"/>
    <w:basedOn w:val="830"/>
    <w:semiHidden/>
    <w:rPr>
      <w:rFonts w:ascii="Tahoma" w:hAnsi="Tahoma" w:cs="Tahoma"/>
      <w:sz w:val="16"/>
      <w:szCs w:val="16"/>
    </w:rPr>
  </w:style>
  <w:style w:type="character" w:styleId="1014">
    <w:name w:val="page number"/>
    <w:basedOn w:val="1012"/>
  </w:style>
  <w:style w:type="paragraph" w:styleId="1015">
    <w:name w:val="Body Text"/>
    <w:basedOn w:val="830"/>
    <w:rPr>
      <w:rFonts w:ascii="Arial" w:hAnsi="Arial"/>
      <w:sz w:val="26"/>
    </w:rPr>
  </w:style>
  <w:style w:type="character" w:styleId="1016" w:customStyle="1">
    <w:name w:val="Заголовок 1 Знак"/>
    <w:link w:val="831"/>
    <w:rPr>
      <w:rFonts w:ascii="Arial" w:hAnsi="Arial"/>
      <w:sz w:val="26"/>
      <w:lang w:val="ru-RU" w:eastAsia="ru-RU" w:bidi="ar-SA"/>
    </w:rPr>
  </w:style>
  <w:style w:type="paragraph" w:styleId="1017" w:customStyle="1">
    <w:name w:val="Знак Знак Знак Знак Знак Знак Знак Знак Знак Знак Знак Знак Знак Знак"/>
    <w:basedOn w:val="830"/>
    <w:rPr>
      <w:rFonts w:ascii="Verdana" w:hAnsi="Verdana" w:cs="Verdana"/>
      <w:lang w:val="en-US" w:eastAsia="en-US"/>
    </w:rPr>
  </w:style>
  <w:style w:type="paragraph" w:styleId="1018" w:customStyle="1">
    <w:name w:val="Знак"/>
    <w:basedOn w:val="8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19" w:customStyle="1">
    <w:name w:val="news1"/>
    <w:rPr>
      <w:b/>
      <w:bCs/>
      <w:color w:val="9d302b"/>
    </w:rPr>
  </w:style>
  <w:style w:type="character" w:styleId="1020">
    <w:name w:val="Strong"/>
    <w:uiPriority w:val="22"/>
    <w:qFormat/>
    <w:rPr>
      <w:b/>
      <w:bCs/>
    </w:rPr>
  </w:style>
  <w:style w:type="paragraph" w:styleId="1021" w:customStyle="1">
    <w:name w:val="Знак Знак Знак Знак Знак Знак Знак Знак Знак Знак Знак Знак Знак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22" w:customStyle="1">
    <w:name w:val="ConsPlusTitle"/>
    <w:pPr>
      <w:ind w:firstLine="720"/>
      <w:widowControl w:val="off"/>
    </w:pPr>
    <w:rPr>
      <w:rFonts w:ascii="Arial" w:hAnsi="Arial" w:cs="Arial"/>
      <w:b/>
      <w:bCs/>
      <w:lang w:eastAsia="ru-RU"/>
    </w:rPr>
  </w:style>
  <w:style w:type="paragraph" w:styleId="1023" w:customStyle="1">
    <w:name w:val="ConsPlusNonformat"/>
    <w:pPr>
      <w:ind w:firstLine="720"/>
      <w:widowControl w:val="off"/>
    </w:pPr>
    <w:rPr>
      <w:rFonts w:ascii="Courier New" w:hAnsi="Courier New" w:cs="Courier New"/>
      <w:lang w:eastAsia="ru-RU"/>
    </w:rPr>
  </w:style>
  <w:style w:type="paragraph" w:styleId="1024" w:customStyle="1">
    <w:name w:val="Знак Знак Знак Знак"/>
    <w:basedOn w:val="830"/>
    <w:rPr>
      <w:rFonts w:ascii="Verdana" w:hAnsi="Verdana" w:cs="Verdana"/>
      <w:lang w:val="en-US" w:eastAsia="en-US"/>
    </w:rPr>
  </w:style>
  <w:style w:type="paragraph" w:styleId="1025">
    <w:name w:val="Body Text Indent 2"/>
    <w:basedOn w:val="830"/>
    <w:pPr>
      <w:ind w:left="283"/>
      <w:spacing w:after="120" w:line="480" w:lineRule="auto"/>
    </w:pPr>
  </w:style>
  <w:style w:type="character" w:styleId="1026" w:customStyle="1">
    <w:name w:val="Верхний колонтитул Знак"/>
    <w:link w:val="862"/>
    <w:uiPriority w:val="99"/>
  </w:style>
  <w:style w:type="paragraph" w:styleId="1027" w:customStyle="1">
    <w:name w:val="Знак Знак"/>
    <w:basedOn w:val="830"/>
    <w:rPr>
      <w:rFonts w:ascii="Verdana" w:hAnsi="Verdana" w:cs="Verdana"/>
      <w:lang w:val="en-US" w:eastAsia="en-US"/>
    </w:rPr>
  </w:style>
  <w:style w:type="paragraph" w:styleId="1028" w:customStyle="1">
    <w:name w:val="Знак Знак Знак Знак Знак Знак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29" w:customStyle="1">
    <w:name w:val="Знак Знак Знак Знак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30" w:customStyle="1">
    <w:name w:val="Знак Знак Знак Знак Знак Знак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31" w:customStyle="1">
    <w:name w:val="Знак Знак Знак Знак Знак Знак Знак Знак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32" w:customStyle="1">
    <w:name w:val="Знак Знак Знак Знак Знак Знак Знак Знак Знак Знак Знак Знак Знак Знак Знак Знак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33" w:customStyle="1">
    <w:name w:val="Знак Знак Знак Знак Знак Знак Знак Знак Знак Знак Знак Знак1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34" w:customStyle="1">
    <w:name w:val="Знак Знак Знак Знак Знак Знак Знак Знак Знак Знак Знак Знак"/>
    <w:basedOn w:val="830"/>
    <w:rPr>
      <w:rFonts w:ascii="Verdana" w:hAnsi="Verdana" w:cs="Verdana"/>
      <w:lang w:val="en-US" w:eastAsia="en-US"/>
    </w:rPr>
  </w:style>
  <w:style w:type="paragraph" w:styleId="1035" w:customStyle="1">
    <w:name w:val="Знак Знак Знак Знак Знак Знак Знак Знак Знак Знак Знак Знак Знак Знак Знак Знак1 Знак Знак Знак Знак Знак Знак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36" w:customStyle="1">
    <w:name w:val="Знак Знак Знак Знак Знак Знак Знак Знак Знак Знак Знак Знак1 Знак Знак Знак Знак Знак Знак Знак Знак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37" w:customStyle="1">
    <w:name w:val="Знак Знак Знак Знак Знак Знак Знак Знак Знак Знак Знак Знак Знак Знак Знак Знак1 Знак Знак Знак Знак"/>
    <w:basedOn w:val="830"/>
    <w:link w:val="1012"/>
    <w:pPr>
      <w:spacing w:after="160" w:line="240" w:lineRule="exact"/>
    </w:pPr>
    <w:rPr>
      <w:rFonts w:ascii="Verdana" w:hAnsi="Verdana"/>
      <w:lang w:val="en-US" w:eastAsia="en-US"/>
    </w:rPr>
  </w:style>
  <w:style w:type="paragraph" w:styleId="1038" w:customStyle="1">
    <w:name w:val="Знак Знак Знак Знак Знак Знак Знак Знак Знак Знак Знак Знак Знак Знак Знак Знак1"/>
    <w:basedOn w:val="830"/>
    <w:pPr>
      <w:spacing w:after="160" w:line="240" w:lineRule="exact"/>
    </w:pPr>
    <w:rPr>
      <w:rFonts w:ascii="Verdana" w:hAnsi="Verdana"/>
      <w:lang w:val="en-US" w:eastAsia="en-US"/>
    </w:rPr>
  </w:style>
  <w:style w:type="paragraph" w:styleId="1039" w:customStyle="1">
    <w:name w:val="Знак Знак1"/>
    <w:basedOn w:val="8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40" w:customStyle="1">
    <w:name w:val="Знак Знак Знак Знак Знак Знак Знак Знак Знак Знак Знак Знак Знак Знак Знак Знак Знак Знак Знак Знак"/>
    <w:basedOn w:val="830"/>
    <w:pPr>
      <w:ind w:firstLine="0"/>
      <w:spacing w:after="160" w:line="240" w:lineRule="exact"/>
    </w:pPr>
    <w:rPr>
      <w:rFonts w:ascii="Verdana" w:hAnsi="Verdana"/>
      <w:lang w:val="en-US" w:eastAsia="en-US"/>
    </w:rPr>
  </w:style>
  <w:style w:type="paragraph" w:styleId="1041" w:customStyle="1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830"/>
    <w:pPr>
      <w:ind w:firstLine="0"/>
      <w:spacing w:after="160" w:line="240" w:lineRule="exact"/>
    </w:pPr>
    <w:rPr>
      <w:rFonts w:ascii="Verdana" w:hAnsi="Verdana"/>
      <w:lang w:val="en-US" w:eastAsia="en-US"/>
    </w:rPr>
  </w:style>
  <w:style w:type="character" w:styleId="1042" w:customStyle="1">
    <w:name w:val="news"/>
  </w:style>
  <w:style w:type="paragraph" w:styleId="1043" w:customStyle="1">
    <w:name w:val="Default"/>
    <w:rPr>
      <w:color w:val="000000"/>
      <w:sz w:val="24"/>
      <w:szCs w:val="24"/>
      <w:lang w:eastAsia="ru-RU"/>
    </w:rPr>
  </w:style>
  <w:style w:type="paragraph" w:styleId="1044" w:customStyle="1">
    <w:name w:val="ConsPlusNormal"/>
    <w:pPr>
      <w:widowControl w:val="off"/>
    </w:pPr>
    <w:rPr>
      <w:rFonts w:ascii="Calibri" w:hAnsi="Calibri" w:cs="Calibri"/>
      <w:sz w:val="22"/>
      <w:szCs w:val="2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АНР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Черкашин Сергей Петрович</dc:creator>
  <cp:lastModifiedBy>TopalEI</cp:lastModifiedBy>
  <cp:revision>1287</cp:revision>
  <dcterms:created xsi:type="dcterms:W3CDTF">2016-06-14T11:10:00Z</dcterms:created>
  <dcterms:modified xsi:type="dcterms:W3CDTF">2025-04-22T07:00:15Z</dcterms:modified>
  <cp:version>1048576</cp:version>
</cp:coreProperties>
</file>