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A7DB" w14:textId="2A02C0B7" w:rsidR="00B74B49" w:rsidRDefault="00AE5554" w:rsidP="00ED6410">
      <w:pPr>
        <w:pStyle w:val="a5"/>
        <w:jc w:val="right"/>
        <w:rPr>
          <w:b/>
          <w:spacing w:val="40"/>
          <w:sz w:val="20"/>
        </w:rPr>
      </w:pPr>
      <w:r>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r w:rsidR="00ED6410">
        <w:rPr>
          <w:b/>
          <w:spacing w:val="40"/>
          <w:sz w:val="20"/>
        </w:rPr>
        <w:t xml:space="preserve">Приложение 1 к протоколу </w:t>
      </w:r>
    </w:p>
    <w:p w14:paraId="178361AB" w14:textId="77777777" w:rsidR="00ED6410" w:rsidRDefault="00ED6410" w:rsidP="00CD5A1D">
      <w:pPr>
        <w:jc w:val="center"/>
        <w:rPr>
          <w:b/>
        </w:rPr>
      </w:pPr>
    </w:p>
    <w:p w14:paraId="292178CB" w14:textId="58C84EC9"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0423BD85"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6A2A4C83" w14:textId="77777777" w:rsidR="000D4D3D" w:rsidRPr="00CD5A1D"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район</w:t>
      </w:r>
      <w:r w:rsidR="0084169F">
        <w:rPr>
          <w:b/>
        </w:rPr>
        <w:t xml:space="preserve"> </w:t>
      </w:r>
      <w:r w:rsidR="000D4D3D">
        <w:rPr>
          <w:b/>
        </w:rPr>
        <w:t>в электронной форме</w:t>
      </w:r>
    </w:p>
    <w:p w14:paraId="73C63C71" w14:textId="77777777" w:rsidR="000F500E" w:rsidRDefault="000F500E" w:rsidP="00A96ECA">
      <w:pPr>
        <w:tabs>
          <w:tab w:val="left" w:pos="720"/>
        </w:tabs>
        <w:ind w:right="118"/>
        <w:jc w:val="both"/>
      </w:pPr>
    </w:p>
    <w:p w14:paraId="1709A8C0"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89B7E3A" w14:textId="23B7EECB" w:rsidR="00F77477" w:rsidRPr="00520653" w:rsidRDefault="00520653" w:rsidP="00520653">
      <w:pPr>
        <w:pStyle w:val="ab"/>
        <w:tabs>
          <w:tab w:val="left" w:pos="720"/>
        </w:tabs>
        <w:ind w:left="0"/>
        <w:rPr>
          <w:b/>
        </w:rPr>
      </w:pPr>
      <w:r>
        <w:rPr>
          <w:b/>
        </w:rPr>
        <w:t>1.1. </w:t>
      </w:r>
      <w:r w:rsidR="00627438">
        <w:rPr>
          <w:b/>
        </w:rPr>
        <w:t>Продажа</w:t>
      </w:r>
      <w:r w:rsidR="001E4136">
        <w:rPr>
          <w:b/>
        </w:rPr>
        <w:t xml:space="preserve"> посредств</w:t>
      </w:r>
      <w:r w:rsidR="008B22D2">
        <w:rPr>
          <w:b/>
        </w:rPr>
        <w:t>о</w:t>
      </w:r>
      <w:r w:rsidR="001E4136">
        <w:rPr>
          <w:b/>
        </w:rPr>
        <w:t>м публичного предложения</w:t>
      </w:r>
      <w:r w:rsidRPr="00520653">
        <w:rPr>
          <w:b/>
        </w:rPr>
        <w:t xml:space="preserve"> с открытой формой подачи предложений о цене имущества в электронной форме</w:t>
      </w:r>
    </w:p>
    <w:tbl>
      <w:tblPr>
        <w:tblStyle w:val="aa"/>
        <w:tblW w:w="9889" w:type="dxa"/>
        <w:tblLook w:val="04A0" w:firstRow="1" w:lastRow="0" w:firstColumn="1" w:lastColumn="0" w:noHBand="0" w:noVBand="1"/>
      </w:tblPr>
      <w:tblGrid>
        <w:gridCol w:w="3085"/>
        <w:gridCol w:w="6804"/>
      </w:tblGrid>
      <w:tr w:rsidR="00FB7027" w14:paraId="150D89A0" w14:textId="77777777" w:rsidTr="00F77477">
        <w:tc>
          <w:tcPr>
            <w:tcW w:w="3085" w:type="dxa"/>
            <w:vAlign w:val="center"/>
          </w:tcPr>
          <w:p w14:paraId="304664EB"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179A49CA"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707F7161" w14:textId="77777777" w:rsidTr="00F77477">
        <w:tc>
          <w:tcPr>
            <w:tcW w:w="3085" w:type="dxa"/>
            <w:vAlign w:val="center"/>
          </w:tcPr>
          <w:p w14:paraId="43657E4A"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27AABB72"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5BE5C0BB"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г.Нефтеюганск</w:t>
            </w:r>
            <w:proofErr w:type="spellEnd"/>
            <w:r w:rsidR="000D7766">
              <w:rPr>
                <w:color w:val="000000"/>
              </w:rPr>
              <w:t>, 3 микрорайон, строение 21</w:t>
            </w:r>
          </w:p>
          <w:p w14:paraId="181FA83E" w14:textId="3B64FEC5" w:rsidR="008A44E6" w:rsidRPr="009755DD" w:rsidRDefault="008A44E6" w:rsidP="00142880">
            <w:pPr>
              <w:tabs>
                <w:tab w:val="left" w:pos="142"/>
                <w:tab w:val="left" w:pos="720"/>
              </w:tabs>
              <w:ind w:right="118"/>
              <w:jc w:val="both"/>
              <w:rPr>
                <w:color w:val="000000" w:themeColor="text1"/>
              </w:rPr>
            </w:pPr>
            <w:r>
              <w:t>Сайт</w:t>
            </w:r>
            <w:r w:rsidRPr="00AA0EF3">
              <w:t xml:space="preserve">: </w:t>
            </w:r>
            <w:r w:rsidR="00AA0EF3" w:rsidRPr="00AA0EF3">
              <w:t>admoil.gosuslugi.ru</w:t>
            </w:r>
          </w:p>
          <w:p w14:paraId="118611FE"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F6CEAFA"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6" w:history="1">
              <w:r w:rsidR="000D7766" w:rsidRPr="00FE3701">
                <w:rPr>
                  <w:rStyle w:val="a3"/>
                </w:rPr>
                <w:t>horoshevaas@admoil.r</w:t>
              </w:r>
              <w:r w:rsidR="000D7766" w:rsidRPr="00FE3701">
                <w:rPr>
                  <w:rStyle w:val="a3"/>
                  <w:lang w:val="en-US"/>
                </w:rPr>
                <w:t>u</w:t>
              </w:r>
            </w:hyperlink>
          </w:p>
        </w:tc>
      </w:tr>
      <w:tr w:rsidR="00FB7027" w14:paraId="56C15409" w14:textId="77777777" w:rsidTr="00F77477">
        <w:tc>
          <w:tcPr>
            <w:tcW w:w="3085" w:type="dxa"/>
            <w:vAlign w:val="center"/>
          </w:tcPr>
          <w:p w14:paraId="642D7A0A"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FCFBD"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7"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58742A13" w14:textId="77777777" w:rsidTr="00F77477">
        <w:tc>
          <w:tcPr>
            <w:tcW w:w="3085" w:type="dxa"/>
            <w:vAlign w:val="center"/>
          </w:tcPr>
          <w:p w14:paraId="51C1B6F5"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0F94BF1B"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50668430" w14:textId="77777777" w:rsidTr="00F77477">
        <w:tc>
          <w:tcPr>
            <w:tcW w:w="3085" w:type="dxa"/>
            <w:vAlign w:val="center"/>
          </w:tcPr>
          <w:p w14:paraId="7B7F0EBD"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546561D1" w14:textId="4D332AB2" w:rsidR="00520653" w:rsidRPr="00F77477" w:rsidRDefault="00627438" w:rsidP="00142880">
            <w:pPr>
              <w:tabs>
                <w:tab w:val="left" w:pos="142"/>
                <w:tab w:val="left" w:pos="720"/>
              </w:tabs>
              <w:ind w:right="118"/>
              <w:jc w:val="both"/>
            </w:pPr>
            <w:r>
              <w:t>Продажа</w:t>
            </w:r>
            <w:r w:rsidR="00EF778C" w:rsidRPr="00EF778C">
              <w:t xml:space="preserve"> посредств</w:t>
            </w:r>
            <w:r w:rsidR="008B22D2">
              <w:t>о</w:t>
            </w:r>
            <w:r w:rsidR="00EF778C" w:rsidRPr="00EF778C">
              <w:t>м публичного предложения</w:t>
            </w:r>
            <w:r w:rsidR="00520653" w:rsidRPr="00F77477">
              <w:t xml:space="preserve"> с открытой формой подачи предложений о цене имущества в электронной форме</w:t>
            </w:r>
          </w:p>
        </w:tc>
      </w:tr>
      <w:tr w:rsidR="009F3655" w14:paraId="2AAD11A4" w14:textId="77777777" w:rsidTr="00F77477">
        <w:tc>
          <w:tcPr>
            <w:tcW w:w="3085" w:type="dxa"/>
            <w:vAlign w:val="center"/>
          </w:tcPr>
          <w:p w14:paraId="07EA098C"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387CE6BF" w14:textId="77777777" w:rsidR="009F3655" w:rsidRPr="00EC26A7" w:rsidRDefault="009A0737" w:rsidP="00142880">
            <w:pPr>
              <w:tabs>
                <w:tab w:val="left" w:pos="142"/>
              </w:tabs>
              <w:ind w:right="118"/>
              <w:jc w:val="both"/>
              <w:rPr>
                <w:highlight w:val="yellow"/>
              </w:rPr>
            </w:pPr>
            <w:hyperlink r:id="rId8"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14:paraId="50713BEB" w14:textId="77777777" w:rsidTr="0032307D">
        <w:tc>
          <w:tcPr>
            <w:tcW w:w="3085" w:type="dxa"/>
            <w:vAlign w:val="center"/>
          </w:tcPr>
          <w:p w14:paraId="4C8A9BC4"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7C868A36" w14:textId="2152106F" w:rsidR="009F3655" w:rsidRPr="0032307D" w:rsidRDefault="00840FB3" w:rsidP="0096758E">
            <w:pPr>
              <w:tabs>
                <w:tab w:val="left" w:pos="142"/>
              </w:tabs>
              <w:ind w:right="118"/>
              <w:jc w:val="both"/>
            </w:pPr>
            <w:r>
              <w:t>1</w:t>
            </w:r>
            <w:r w:rsidR="00C67C1F">
              <w:t>4</w:t>
            </w:r>
            <w:r w:rsidR="00EF778C" w:rsidRPr="00EF778C">
              <w:t xml:space="preserve"> </w:t>
            </w:r>
            <w:r w:rsidR="00627438">
              <w:t>августа</w:t>
            </w:r>
            <w:r w:rsidR="009904D7" w:rsidRPr="0032307D">
              <w:t xml:space="preserve"> 20</w:t>
            </w:r>
            <w:r w:rsidR="00CA515B">
              <w:t>2</w:t>
            </w:r>
            <w:r w:rsidR="00087750">
              <w:t>4</w:t>
            </w:r>
            <w:r w:rsidR="009904D7" w:rsidRPr="0032307D">
              <w:t xml:space="preserve">г. в </w:t>
            </w:r>
            <w:r w:rsidR="00E971A5">
              <w:t>09</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E971A5">
              <w:t>7</w:t>
            </w:r>
            <w:r w:rsidR="009F3655" w:rsidRPr="0032307D">
              <w:t>.00 по московскому времени). Подача заявок осуществляется круглосуточно.</w:t>
            </w:r>
          </w:p>
        </w:tc>
      </w:tr>
      <w:tr w:rsidR="009F3655" w14:paraId="28449C46" w14:textId="77777777" w:rsidTr="0032307D">
        <w:tc>
          <w:tcPr>
            <w:tcW w:w="3085" w:type="dxa"/>
            <w:vAlign w:val="center"/>
          </w:tcPr>
          <w:p w14:paraId="23147B6B"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63CF7190" w14:textId="6AD8A98B" w:rsidR="009F3655" w:rsidRPr="0032307D" w:rsidRDefault="00C67C1F" w:rsidP="0096758E">
            <w:pPr>
              <w:tabs>
                <w:tab w:val="left" w:pos="142"/>
              </w:tabs>
              <w:ind w:right="118"/>
              <w:jc w:val="both"/>
            </w:pPr>
            <w:r>
              <w:t>11</w:t>
            </w:r>
            <w:r w:rsidR="00CA515B">
              <w:t xml:space="preserve"> </w:t>
            </w:r>
            <w:r w:rsidR="00627438">
              <w:t>сентября</w:t>
            </w:r>
            <w:r w:rsidR="00142880" w:rsidRPr="0032307D">
              <w:t xml:space="preserve"> 20</w:t>
            </w:r>
            <w:r w:rsidR="009C6351">
              <w:t>2</w:t>
            </w:r>
            <w:r w:rsidR="00087750">
              <w:t>4</w:t>
            </w:r>
            <w:r w:rsidR="00D90298" w:rsidRPr="0032307D">
              <w:t xml:space="preserve">г. в </w:t>
            </w:r>
            <w:r w:rsidR="00E971A5">
              <w:t>09</w:t>
            </w:r>
            <w:r w:rsidR="00EA04E6" w:rsidRPr="0032307D">
              <w:t>.00</w:t>
            </w:r>
            <w:r w:rsidR="00142880" w:rsidRPr="0032307D">
              <w:t xml:space="preserve"> </w:t>
            </w:r>
            <w:r w:rsidR="00EA04E6" w:rsidRPr="0032307D">
              <w:t>по местному времени</w:t>
            </w:r>
            <w:r w:rsidR="009F3655" w:rsidRPr="0032307D">
              <w:t xml:space="preserve"> (0</w:t>
            </w:r>
            <w:r w:rsidR="00E971A5">
              <w:t>7</w:t>
            </w:r>
            <w:r w:rsidR="009F3655" w:rsidRPr="0032307D">
              <w:t>.00 по московскому времени</w:t>
            </w:r>
            <w:r w:rsidR="00142880" w:rsidRPr="0032307D">
              <w:t xml:space="preserve">). </w:t>
            </w:r>
          </w:p>
        </w:tc>
      </w:tr>
      <w:tr w:rsidR="009F3655" w14:paraId="26A19510" w14:textId="77777777" w:rsidTr="0032307D">
        <w:tc>
          <w:tcPr>
            <w:tcW w:w="3085" w:type="dxa"/>
            <w:vAlign w:val="center"/>
          </w:tcPr>
          <w:p w14:paraId="6B2BDFAD"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0D30DD2C" w14:textId="48195139" w:rsidR="009F3655" w:rsidRPr="0032307D" w:rsidRDefault="00840FB3" w:rsidP="0096758E">
            <w:pPr>
              <w:tabs>
                <w:tab w:val="left" w:pos="142"/>
              </w:tabs>
              <w:ind w:right="118"/>
              <w:jc w:val="both"/>
            </w:pPr>
            <w:r>
              <w:t>1</w:t>
            </w:r>
            <w:r w:rsidR="009A0737">
              <w:t>7</w:t>
            </w:r>
            <w:r w:rsidR="00EF778C" w:rsidRPr="00EF778C">
              <w:t xml:space="preserve"> </w:t>
            </w:r>
            <w:r w:rsidR="00627438">
              <w:t>сентября</w:t>
            </w:r>
            <w:r w:rsidR="00142880" w:rsidRPr="0032307D">
              <w:t xml:space="preserve"> 20</w:t>
            </w:r>
            <w:r w:rsidR="009C6351">
              <w:t>2</w:t>
            </w:r>
            <w:r w:rsidR="00087750">
              <w:t>4</w:t>
            </w:r>
            <w:r w:rsidR="00D90298" w:rsidRPr="0032307D">
              <w:t xml:space="preserve">г. в </w:t>
            </w:r>
            <w:r w:rsidR="00CA515B">
              <w:t>11</w:t>
            </w:r>
            <w:r w:rsidR="00D90298" w:rsidRPr="0032307D">
              <w:t>.</w:t>
            </w:r>
            <w:r w:rsidR="00CA515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CA515B">
              <w:t>09</w:t>
            </w:r>
            <w:r w:rsidR="00D90298" w:rsidRPr="0032307D">
              <w:t>.</w:t>
            </w:r>
            <w:r w:rsidR="00CA515B">
              <w:t>0</w:t>
            </w:r>
            <w:r w:rsidR="00D90298" w:rsidRPr="0032307D">
              <w:t>0</w:t>
            </w:r>
            <w:r w:rsidR="009F3655" w:rsidRPr="0032307D">
              <w:t xml:space="preserve"> по московскому времени).</w:t>
            </w:r>
          </w:p>
        </w:tc>
      </w:tr>
      <w:tr w:rsidR="009F3655" w14:paraId="52F5D387" w14:textId="77777777" w:rsidTr="0032307D">
        <w:tc>
          <w:tcPr>
            <w:tcW w:w="3085" w:type="dxa"/>
            <w:vAlign w:val="center"/>
          </w:tcPr>
          <w:p w14:paraId="1FE04382"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798A8AA5" w14:textId="77777777" w:rsidR="009F3655" w:rsidRPr="0032307D" w:rsidRDefault="009A0737" w:rsidP="00142880">
            <w:pPr>
              <w:tabs>
                <w:tab w:val="left" w:pos="142"/>
              </w:tabs>
              <w:ind w:right="118"/>
              <w:jc w:val="both"/>
            </w:pPr>
            <w:hyperlink r:id="rId9"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14:paraId="3C2E6901" w14:textId="77777777" w:rsidTr="0032307D">
        <w:tc>
          <w:tcPr>
            <w:tcW w:w="3085" w:type="dxa"/>
            <w:vAlign w:val="center"/>
          </w:tcPr>
          <w:p w14:paraId="3BC0B7FC"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6B5F257F" w14:textId="583952E1" w:rsidR="009F3655" w:rsidRPr="0032307D" w:rsidRDefault="00627438" w:rsidP="0096758E">
            <w:pPr>
              <w:tabs>
                <w:tab w:val="left" w:pos="142"/>
              </w:tabs>
              <w:ind w:right="118"/>
              <w:jc w:val="both"/>
            </w:pPr>
            <w:r>
              <w:t>1</w:t>
            </w:r>
            <w:r w:rsidR="009A0737">
              <w:t>9</w:t>
            </w:r>
            <w:r w:rsidR="00840FB3">
              <w:t xml:space="preserve"> </w:t>
            </w:r>
            <w:r>
              <w:t>сентября</w:t>
            </w:r>
            <w:r w:rsidR="00142880" w:rsidRPr="0032307D">
              <w:t xml:space="preserve"> 20</w:t>
            </w:r>
            <w:r w:rsidR="009C6351">
              <w:t>2</w:t>
            </w:r>
            <w:r w:rsidR="00087750">
              <w:t>4</w:t>
            </w:r>
            <w:r w:rsidR="00D90298" w:rsidRPr="0032307D">
              <w:t xml:space="preserve">г. с </w:t>
            </w:r>
            <w:r w:rsidR="00E971A5">
              <w:t>1</w:t>
            </w:r>
            <w:r w:rsidR="00D80FB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w:t>
            </w:r>
            <w:r w:rsidR="00E971A5">
              <w:t>0</w:t>
            </w:r>
            <w:r w:rsidR="00D80FBC">
              <w:t>9</w:t>
            </w:r>
            <w:r w:rsidR="009F3655" w:rsidRPr="0032307D">
              <w:t>.00 по московскому времени) и до последнего предложения участников</w:t>
            </w:r>
          </w:p>
        </w:tc>
      </w:tr>
      <w:tr w:rsidR="009F3655" w14:paraId="38DCC0E4" w14:textId="77777777" w:rsidTr="00D90298">
        <w:tc>
          <w:tcPr>
            <w:tcW w:w="9889" w:type="dxa"/>
            <w:gridSpan w:val="2"/>
            <w:shd w:val="clear" w:color="auto" w:fill="FFC000"/>
          </w:tcPr>
          <w:p w14:paraId="5B7F2C8B" w14:textId="77777777" w:rsidR="009F3655" w:rsidRPr="00BE017C" w:rsidRDefault="009F3655" w:rsidP="00065A9A">
            <w:pPr>
              <w:tabs>
                <w:tab w:val="left" w:pos="142"/>
                <w:tab w:val="left" w:pos="720"/>
              </w:tabs>
              <w:ind w:right="118"/>
              <w:jc w:val="center"/>
            </w:pPr>
            <w:r w:rsidRPr="00BE017C">
              <w:t>ЛОТ № 1</w:t>
            </w:r>
          </w:p>
        </w:tc>
      </w:tr>
      <w:tr w:rsidR="009F3655" w14:paraId="4F090250" w14:textId="77777777" w:rsidTr="00D90298">
        <w:tc>
          <w:tcPr>
            <w:tcW w:w="3085" w:type="dxa"/>
            <w:vAlign w:val="center"/>
          </w:tcPr>
          <w:p w14:paraId="07E0AFFE" w14:textId="77777777" w:rsidR="009F3655" w:rsidRDefault="009F3655" w:rsidP="008007F0">
            <w:pPr>
              <w:tabs>
                <w:tab w:val="left" w:pos="142"/>
                <w:tab w:val="left" w:pos="720"/>
              </w:tabs>
              <w:ind w:right="118"/>
            </w:pPr>
            <w:r>
              <w:t xml:space="preserve">Наименование, характеристика </w:t>
            </w:r>
            <w:r w:rsidR="00142880">
              <w:t>имущества</w:t>
            </w:r>
            <w:r w:rsidR="00834927">
              <w:t>, а</w:t>
            </w:r>
            <w:r w:rsidR="00834927" w:rsidRPr="000F402B">
              <w:t>дрес (местонахождение</w:t>
            </w:r>
            <w:r w:rsidR="00834927">
              <w:t xml:space="preserve"> имущества</w:t>
            </w:r>
            <w:r w:rsidR="00834927" w:rsidRPr="000F402B">
              <w:t>)</w:t>
            </w:r>
          </w:p>
          <w:p w14:paraId="51CC497C" w14:textId="77777777" w:rsidR="009F3655" w:rsidRDefault="009F3655" w:rsidP="008007F0">
            <w:pPr>
              <w:tabs>
                <w:tab w:val="left" w:pos="142"/>
                <w:tab w:val="left" w:pos="720"/>
              </w:tabs>
              <w:ind w:right="118"/>
            </w:pPr>
          </w:p>
        </w:tc>
        <w:tc>
          <w:tcPr>
            <w:tcW w:w="6804" w:type="dxa"/>
            <w:vAlign w:val="center"/>
          </w:tcPr>
          <w:p w14:paraId="1DB2AACB" w14:textId="77777777" w:rsidR="00A24E51" w:rsidRPr="00A24E51" w:rsidRDefault="00A24E51" w:rsidP="00A24E51">
            <w:pPr>
              <w:widowControl w:val="0"/>
              <w:tabs>
                <w:tab w:val="left" w:pos="709"/>
              </w:tabs>
              <w:autoSpaceDE w:val="0"/>
              <w:autoSpaceDN w:val="0"/>
              <w:adjustRightInd w:val="0"/>
              <w:jc w:val="both"/>
              <w:rPr>
                <w:b/>
                <w:bCs/>
                <w:color w:val="000000"/>
              </w:rPr>
            </w:pPr>
            <w:r w:rsidRPr="00A24E51">
              <w:rPr>
                <w:b/>
                <w:bCs/>
              </w:rPr>
              <w:t xml:space="preserve">ЛОТ 1. </w:t>
            </w:r>
            <w:r w:rsidRPr="00A24E51">
              <w:rPr>
                <w:b/>
                <w:bCs/>
                <w:color w:val="000000"/>
              </w:rPr>
              <w:t>Сооружения электроэнергетики:</w:t>
            </w:r>
          </w:p>
          <w:p w14:paraId="68042784" w14:textId="77777777" w:rsidR="009A0737" w:rsidRPr="009A0737" w:rsidRDefault="009A0737" w:rsidP="009A0737">
            <w:pPr>
              <w:pStyle w:val="ab"/>
              <w:widowControl w:val="0"/>
              <w:tabs>
                <w:tab w:val="left" w:pos="709"/>
              </w:tabs>
              <w:autoSpaceDE w:val="0"/>
              <w:autoSpaceDN w:val="0"/>
              <w:adjustRightInd w:val="0"/>
              <w:ind w:left="0"/>
              <w:jc w:val="both"/>
              <w:rPr>
                <w:color w:val="000000"/>
              </w:rPr>
            </w:pPr>
            <w:r w:rsidRPr="009A0737">
              <w:rPr>
                <w:color w:val="000000"/>
              </w:rPr>
              <w:t xml:space="preserve">- ВЛ-6 </w:t>
            </w:r>
            <w:proofErr w:type="spellStart"/>
            <w:r w:rsidRPr="009A0737">
              <w:rPr>
                <w:color w:val="000000"/>
              </w:rPr>
              <w:t>кВ</w:t>
            </w:r>
            <w:proofErr w:type="spellEnd"/>
            <w:r w:rsidRPr="009A0737">
              <w:rPr>
                <w:color w:val="000000"/>
              </w:rPr>
              <w:t xml:space="preserve"> от ТП РОВД, местонахождение: Ханты-Мансийский автономный округ-Югра, </w:t>
            </w:r>
            <w:proofErr w:type="spellStart"/>
            <w:r w:rsidRPr="009A0737">
              <w:rPr>
                <w:color w:val="000000"/>
              </w:rPr>
              <w:t>г.Нефтеюганск</w:t>
            </w:r>
            <w:proofErr w:type="spellEnd"/>
            <w:r w:rsidRPr="009A0737">
              <w:rPr>
                <w:color w:val="000000"/>
              </w:rPr>
              <w:t xml:space="preserve">, </w:t>
            </w:r>
            <w:proofErr w:type="spellStart"/>
            <w:r w:rsidRPr="009A0737">
              <w:rPr>
                <w:color w:val="000000"/>
              </w:rPr>
              <w:t>ул.Парковая</w:t>
            </w:r>
            <w:proofErr w:type="spellEnd"/>
            <w:r w:rsidRPr="009A0737">
              <w:rPr>
                <w:color w:val="000000"/>
              </w:rPr>
              <w:t>, движимое имущество электросетевого назначения;</w:t>
            </w:r>
          </w:p>
          <w:p w14:paraId="026CF46F" w14:textId="4335B150" w:rsidR="009A0737" w:rsidRPr="009A0737" w:rsidRDefault="009A0737" w:rsidP="009A0737">
            <w:pPr>
              <w:tabs>
                <w:tab w:val="left" w:pos="0"/>
              </w:tabs>
              <w:jc w:val="both"/>
              <w:rPr>
                <w:color w:val="000000"/>
              </w:rPr>
            </w:pPr>
            <w:r w:rsidRPr="009A0737">
              <w:rPr>
                <w:color w:val="000000"/>
              </w:rPr>
              <w:t xml:space="preserve">- КЛ-0,4 </w:t>
            </w:r>
            <w:proofErr w:type="spellStart"/>
            <w:r w:rsidRPr="009A0737">
              <w:rPr>
                <w:color w:val="000000"/>
              </w:rPr>
              <w:t>кВ</w:t>
            </w:r>
            <w:proofErr w:type="spellEnd"/>
            <w:r w:rsidRPr="009A0737">
              <w:rPr>
                <w:color w:val="000000"/>
              </w:rPr>
              <w:t xml:space="preserve"> к зданию РОВД, местонахождение: Ханты-Мансийский автономный округ-Югра, </w:t>
            </w:r>
            <w:proofErr w:type="spellStart"/>
            <w:r w:rsidRPr="009A0737">
              <w:rPr>
                <w:color w:val="000000"/>
              </w:rPr>
              <w:t>г.Нефтеюганск</w:t>
            </w:r>
            <w:proofErr w:type="spellEnd"/>
            <w:r w:rsidRPr="009A0737">
              <w:rPr>
                <w:color w:val="000000"/>
              </w:rPr>
              <w:t xml:space="preserve">, </w:t>
            </w:r>
            <w:proofErr w:type="spellStart"/>
            <w:r w:rsidRPr="009A0737">
              <w:rPr>
                <w:color w:val="000000"/>
              </w:rPr>
              <w:t>ул.Парковая</w:t>
            </w:r>
            <w:proofErr w:type="spellEnd"/>
            <w:r w:rsidRPr="009A0737">
              <w:rPr>
                <w:color w:val="000000"/>
              </w:rPr>
              <w:t>, движимое имущество электросетевого назначения;</w:t>
            </w:r>
          </w:p>
          <w:p w14:paraId="28E9F502" w14:textId="7DE02C84" w:rsidR="009A0737" w:rsidRPr="009A0737" w:rsidRDefault="009A0737" w:rsidP="009A0737">
            <w:pPr>
              <w:tabs>
                <w:tab w:val="left" w:pos="0"/>
              </w:tabs>
              <w:jc w:val="both"/>
              <w:rPr>
                <w:color w:val="000000"/>
              </w:rPr>
            </w:pPr>
            <w:r w:rsidRPr="009A0737">
              <w:rPr>
                <w:color w:val="000000"/>
              </w:rPr>
              <w:t xml:space="preserve">- КЛ-6 </w:t>
            </w:r>
            <w:proofErr w:type="spellStart"/>
            <w:r w:rsidRPr="009A0737">
              <w:rPr>
                <w:color w:val="000000"/>
              </w:rPr>
              <w:t>кВ</w:t>
            </w:r>
            <w:proofErr w:type="spellEnd"/>
            <w:r w:rsidRPr="009A0737">
              <w:rPr>
                <w:color w:val="000000"/>
              </w:rPr>
              <w:t xml:space="preserve"> от ТП РОВД, местонахождение: Ханты-Мансийский автономный округ-Югра, </w:t>
            </w:r>
            <w:proofErr w:type="spellStart"/>
            <w:r w:rsidRPr="009A0737">
              <w:rPr>
                <w:color w:val="000000"/>
              </w:rPr>
              <w:t>г.Нефтеюганск</w:t>
            </w:r>
            <w:proofErr w:type="spellEnd"/>
            <w:r w:rsidRPr="009A0737">
              <w:rPr>
                <w:color w:val="000000"/>
              </w:rPr>
              <w:t xml:space="preserve">, </w:t>
            </w:r>
            <w:proofErr w:type="spellStart"/>
            <w:r w:rsidRPr="009A0737">
              <w:rPr>
                <w:color w:val="000000"/>
              </w:rPr>
              <w:t>ул.Парковая</w:t>
            </w:r>
            <w:proofErr w:type="spellEnd"/>
            <w:r w:rsidRPr="009A0737">
              <w:rPr>
                <w:color w:val="000000"/>
              </w:rPr>
              <w:t>, движимое имущество электросетевого назначения;</w:t>
            </w:r>
          </w:p>
          <w:p w14:paraId="41D97923" w14:textId="7B4CD9BE" w:rsidR="004526D2" w:rsidRPr="00345403" w:rsidRDefault="009A0737" w:rsidP="00A24E51">
            <w:pPr>
              <w:tabs>
                <w:tab w:val="left" w:pos="0"/>
              </w:tabs>
              <w:jc w:val="both"/>
              <w:rPr>
                <w:color w:val="000000"/>
              </w:rPr>
            </w:pPr>
            <w:r w:rsidRPr="009A0737">
              <w:rPr>
                <w:color w:val="000000"/>
              </w:rPr>
              <w:t xml:space="preserve">- КТПН-6/0,4 </w:t>
            </w:r>
            <w:proofErr w:type="spellStart"/>
            <w:r w:rsidRPr="009A0737">
              <w:rPr>
                <w:color w:val="000000"/>
              </w:rPr>
              <w:t>кВ</w:t>
            </w:r>
            <w:proofErr w:type="spellEnd"/>
            <w:r w:rsidRPr="009A0737">
              <w:rPr>
                <w:color w:val="000000"/>
              </w:rPr>
              <w:t xml:space="preserve"> 2*400 </w:t>
            </w:r>
            <w:proofErr w:type="spellStart"/>
            <w:r w:rsidRPr="009A0737">
              <w:rPr>
                <w:color w:val="000000"/>
              </w:rPr>
              <w:t>кВА</w:t>
            </w:r>
            <w:proofErr w:type="spellEnd"/>
            <w:r w:rsidRPr="009A0737">
              <w:rPr>
                <w:color w:val="000000"/>
              </w:rPr>
              <w:t xml:space="preserve"> </w:t>
            </w:r>
            <w:proofErr w:type="gramStart"/>
            <w:r w:rsidRPr="009A0737">
              <w:rPr>
                <w:color w:val="000000"/>
              </w:rPr>
              <w:t>РОВД,  местонахождение</w:t>
            </w:r>
            <w:proofErr w:type="gramEnd"/>
            <w:r w:rsidRPr="009A0737">
              <w:rPr>
                <w:color w:val="000000"/>
              </w:rPr>
              <w:t xml:space="preserve">: Ханты-Мансийский автономный округ-Югра, </w:t>
            </w:r>
            <w:proofErr w:type="spellStart"/>
            <w:r w:rsidRPr="009A0737">
              <w:rPr>
                <w:color w:val="000000"/>
              </w:rPr>
              <w:t>г.Нефтеюганск</w:t>
            </w:r>
            <w:proofErr w:type="spellEnd"/>
            <w:r w:rsidRPr="009A0737">
              <w:rPr>
                <w:color w:val="000000"/>
              </w:rPr>
              <w:t xml:space="preserve">, </w:t>
            </w:r>
            <w:proofErr w:type="spellStart"/>
            <w:r w:rsidRPr="009A0737">
              <w:rPr>
                <w:color w:val="000000"/>
              </w:rPr>
              <w:t>ул.Парковая</w:t>
            </w:r>
            <w:proofErr w:type="spellEnd"/>
            <w:r w:rsidRPr="009A0737">
              <w:rPr>
                <w:color w:val="000000"/>
              </w:rPr>
              <w:t>, движимое имущество электросетевого назначения.</w:t>
            </w:r>
          </w:p>
        </w:tc>
      </w:tr>
      <w:tr w:rsidR="00B91C70" w14:paraId="31AE5048" w14:textId="77777777" w:rsidTr="00D90298">
        <w:tc>
          <w:tcPr>
            <w:tcW w:w="3085" w:type="dxa"/>
            <w:tcBorders>
              <w:top w:val="single" w:sz="4" w:space="0" w:color="auto"/>
              <w:left w:val="single" w:sz="4" w:space="0" w:color="auto"/>
              <w:bottom w:val="single" w:sz="4" w:space="0" w:color="auto"/>
              <w:right w:val="single" w:sz="4" w:space="0" w:color="auto"/>
            </w:tcBorders>
          </w:tcPr>
          <w:p w14:paraId="27AAA5A9" w14:textId="77777777" w:rsidR="00B91C70" w:rsidRPr="00D90298" w:rsidRDefault="00B91C70" w:rsidP="00B91C70">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594470F5" w14:textId="4FA09627" w:rsidR="00B91C70" w:rsidRPr="009A0737" w:rsidRDefault="009A0737" w:rsidP="009A0737">
            <w:pPr>
              <w:pStyle w:val="ab"/>
              <w:widowControl w:val="0"/>
              <w:tabs>
                <w:tab w:val="left" w:pos="709"/>
              </w:tabs>
              <w:autoSpaceDE w:val="0"/>
              <w:autoSpaceDN w:val="0"/>
              <w:adjustRightInd w:val="0"/>
              <w:ind w:left="0"/>
              <w:jc w:val="both"/>
            </w:pPr>
            <w:r w:rsidRPr="009A0737">
              <w:t>В соответствии с отчетом № 02-2024-273 об определении рыночной стоимости объекта оценки, предоставленного ООО «Бюро по оценке имущества», рыночная стоимость имущества составляет: 1 253 500 рублей 00 копеек, в том числе НДС.</w:t>
            </w:r>
          </w:p>
        </w:tc>
      </w:tr>
      <w:tr w:rsidR="00B91C70" w14:paraId="681B750D" w14:textId="77777777" w:rsidTr="00D90298">
        <w:tc>
          <w:tcPr>
            <w:tcW w:w="3085" w:type="dxa"/>
            <w:vAlign w:val="center"/>
          </w:tcPr>
          <w:p w14:paraId="074A9581" w14:textId="77777777" w:rsidR="00B91C70" w:rsidRPr="00D90298" w:rsidRDefault="00B91C70" w:rsidP="00B91C70">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535623F1" w14:textId="1D0F3E57" w:rsidR="00B91C70" w:rsidRDefault="00B91C70" w:rsidP="00B91C70">
            <w:pPr>
              <w:jc w:val="both"/>
            </w:pPr>
            <w:r>
              <w:t xml:space="preserve">- </w:t>
            </w:r>
            <w:r w:rsidRPr="00C7106C">
              <w:t>решени</w:t>
            </w:r>
            <w:r>
              <w:t>е</w:t>
            </w:r>
            <w:r w:rsidRPr="00C7106C">
              <w:t xml:space="preserve"> Думы Нефтеюганского района от </w:t>
            </w:r>
            <w:r>
              <w:t>31.01</w:t>
            </w:r>
            <w:r w:rsidRPr="00C7106C">
              <w:t>.20</w:t>
            </w:r>
            <w:r>
              <w:t>24</w:t>
            </w:r>
            <w:r w:rsidRPr="00C7106C">
              <w:t xml:space="preserve"> № </w:t>
            </w:r>
            <w:r>
              <w:t>1005</w:t>
            </w:r>
            <w:r w:rsidRPr="00C7106C">
              <w:t xml:space="preserve"> «О Прогнозном плане (программе) приватизации муниципального имущества»</w:t>
            </w:r>
            <w:r>
              <w:t>;</w:t>
            </w:r>
          </w:p>
          <w:p w14:paraId="2AADC997" w14:textId="4F314E7B" w:rsidR="00B91C70" w:rsidRPr="00EF778C" w:rsidRDefault="00B91C70" w:rsidP="00B91C70">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rsidR="009A0737">
              <w:t>12</w:t>
            </w:r>
            <w:r w:rsidRPr="00EF778C">
              <w:t>.0</w:t>
            </w:r>
            <w:r>
              <w:t>8</w:t>
            </w:r>
            <w:r w:rsidRPr="00F36F4B">
              <w:t>.20</w:t>
            </w:r>
            <w:r>
              <w:t>24</w:t>
            </w:r>
            <w:r w:rsidRPr="00F36F4B">
              <w:t xml:space="preserve"> </w:t>
            </w:r>
            <w:proofErr w:type="gramStart"/>
            <w:r w:rsidRPr="00F36F4B">
              <w:t>года  №</w:t>
            </w:r>
            <w:proofErr w:type="gramEnd"/>
            <w:r w:rsidRPr="00F36F4B">
              <w:t xml:space="preserve"> </w:t>
            </w:r>
            <w:r>
              <w:t>1</w:t>
            </w:r>
            <w:r w:rsidR="009A0737">
              <w:t>7</w:t>
            </w:r>
          </w:p>
        </w:tc>
      </w:tr>
      <w:tr w:rsidR="00B91C70" w14:paraId="1DDB4D4A" w14:textId="77777777" w:rsidTr="00D90298">
        <w:tc>
          <w:tcPr>
            <w:tcW w:w="3085" w:type="dxa"/>
            <w:vAlign w:val="center"/>
          </w:tcPr>
          <w:p w14:paraId="006673B4" w14:textId="6ED79A03" w:rsidR="00B91C70" w:rsidRPr="002F70CC" w:rsidRDefault="00B91C70" w:rsidP="00B91C70">
            <w:pPr>
              <w:tabs>
                <w:tab w:val="left" w:pos="142"/>
                <w:tab w:val="left" w:pos="720"/>
              </w:tabs>
              <w:ind w:right="118"/>
            </w:pPr>
            <w:r w:rsidRPr="002F70CC">
              <w:t>Начальная цена (с учетом НДС)</w:t>
            </w:r>
          </w:p>
        </w:tc>
        <w:tc>
          <w:tcPr>
            <w:tcW w:w="6804" w:type="dxa"/>
            <w:vAlign w:val="center"/>
          </w:tcPr>
          <w:p w14:paraId="75717D28" w14:textId="4B77E1CD" w:rsidR="00B91C70" w:rsidRPr="009259E0" w:rsidRDefault="00A24E51" w:rsidP="00A24E51">
            <w:pPr>
              <w:tabs>
                <w:tab w:val="left" w:pos="0"/>
              </w:tabs>
              <w:jc w:val="both"/>
            </w:pPr>
            <w:r>
              <w:t>1</w:t>
            </w:r>
            <w:r w:rsidR="009A0737">
              <w:t> 253 500</w:t>
            </w:r>
            <w:r w:rsidR="00B91C70" w:rsidRPr="008449AC">
              <w:t xml:space="preserve"> рублей 00 копеек</w:t>
            </w:r>
          </w:p>
        </w:tc>
      </w:tr>
      <w:tr w:rsidR="00B91C70" w14:paraId="19F75105" w14:textId="77777777" w:rsidTr="00D90298">
        <w:tc>
          <w:tcPr>
            <w:tcW w:w="3085" w:type="dxa"/>
            <w:vAlign w:val="center"/>
          </w:tcPr>
          <w:p w14:paraId="5CD87B38" w14:textId="19205C1B" w:rsidR="00B91C70" w:rsidRPr="002F70CC" w:rsidRDefault="00B91C70" w:rsidP="00B91C70">
            <w:pPr>
              <w:tabs>
                <w:tab w:val="left" w:pos="142"/>
                <w:tab w:val="left" w:pos="720"/>
              </w:tabs>
              <w:ind w:right="118"/>
            </w:pPr>
            <w:r w:rsidRPr="002F70CC">
              <w:t>Цена отсечения</w:t>
            </w:r>
          </w:p>
        </w:tc>
        <w:tc>
          <w:tcPr>
            <w:tcW w:w="6804" w:type="dxa"/>
            <w:vAlign w:val="center"/>
          </w:tcPr>
          <w:p w14:paraId="77FC0276" w14:textId="0F034135" w:rsidR="00B91C70" w:rsidRPr="009259E0" w:rsidRDefault="009A0737" w:rsidP="00B91C70">
            <w:pPr>
              <w:tabs>
                <w:tab w:val="left" w:pos="142"/>
                <w:tab w:val="left" w:pos="540"/>
              </w:tabs>
            </w:pPr>
            <w:r>
              <w:t>626 750</w:t>
            </w:r>
            <w:r w:rsidR="00B91C70" w:rsidRPr="009259E0">
              <w:t xml:space="preserve"> рублей 00 копеек</w:t>
            </w:r>
          </w:p>
        </w:tc>
      </w:tr>
      <w:tr w:rsidR="00B91C70" w14:paraId="4D09F5B4" w14:textId="77777777" w:rsidTr="00D90298">
        <w:tc>
          <w:tcPr>
            <w:tcW w:w="3085" w:type="dxa"/>
            <w:vAlign w:val="center"/>
          </w:tcPr>
          <w:p w14:paraId="0130C503" w14:textId="036D4185" w:rsidR="00B91C70" w:rsidRPr="002F70CC" w:rsidRDefault="00B91C70" w:rsidP="00B91C70">
            <w:pPr>
              <w:tabs>
                <w:tab w:val="left" w:pos="142"/>
                <w:tab w:val="left" w:pos="720"/>
              </w:tabs>
              <w:ind w:right="118"/>
            </w:pPr>
            <w:r w:rsidRPr="002F70CC">
              <w:t xml:space="preserve">Шаг понижения </w:t>
            </w:r>
          </w:p>
        </w:tc>
        <w:tc>
          <w:tcPr>
            <w:tcW w:w="6804" w:type="dxa"/>
            <w:vAlign w:val="center"/>
          </w:tcPr>
          <w:p w14:paraId="4702AF40" w14:textId="4B5FF9D9" w:rsidR="00B91C70" w:rsidRPr="009259E0" w:rsidRDefault="009A0737" w:rsidP="00B91C70">
            <w:pPr>
              <w:tabs>
                <w:tab w:val="left" w:pos="142"/>
                <w:tab w:val="left" w:pos="540"/>
              </w:tabs>
            </w:pPr>
            <w:r>
              <w:rPr>
                <w:bCs/>
                <w:color w:val="000000"/>
              </w:rPr>
              <w:t>125 350</w:t>
            </w:r>
            <w:r w:rsidR="00B91C70" w:rsidRPr="009259E0">
              <w:rPr>
                <w:bCs/>
                <w:color w:val="000000"/>
                <w:lang w:val="en-US"/>
              </w:rPr>
              <w:t xml:space="preserve"> </w:t>
            </w:r>
            <w:proofErr w:type="spellStart"/>
            <w:r w:rsidR="00B91C70" w:rsidRPr="009259E0">
              <w:rPr>
                <w:bCs/>
                <w:color w:val="000000"/>
                <w:lang w:val="en-US"/>
              </w:rPr>
              <w:t>рублей</w:t>
            </w:r>
            <w:proofErr w:type="spellEnd"/>
            <w:r w:rsidR="00B91C70" w:rsidRPr="009259E0">
              <w:rPr>
                <w:bCs/>
                <w:color w:val="000000"/>
                <w:lang w:val="en-US"/>
              </w:rPr>
              <w:t xml:space="preserve"> 00 </w:t>
            </w:r>
            <w:proofErr w:type="spellStart"/>
            <w:r w:rsidR="00B91C70" w:rsidRPr="009259E0">
              <w:rPr>
                <w:bCs/>
                <w:color w:val="000000"/>
                <w:lang w:val="en-US"/>
              </w:rPr>
              <w:t>копеек</w:t>
            </w:r>
            <w:proofErr w:type="spellEnd"/>
            <w:r w:rsidR="00B91C70">
              <w:rPr>
                <w:bCs/>
                <w:color w:val="000000"/>
              </w:rPr>
              <w:t>.</w:t>
            </w:r>
          </w:p>
        </w:tc>
      </w:tr>
      <w:tr w:rsidR="00B91C70" w14:paraId="2972BEB2" w14:textId="77777777" w:rsidTr="00D90298">
        <w:tc>
          <w:tcPr>
            <w:tcW w:w="3085" w:type="dxa"/>
            <w:vAlign w:val="center"/>
          </w:tcPr>
          <w:p w14:paraId="5EDCDBAD" w14:textId="0D773343" w:rsidR="00B91C70" w:rsidRPr="00D90298" w:rsidRDefault="00B91C70" w:rsidP="00B91C70">
            <w:pPr>
              <w:tabs>
                <w:tab w:val="left" w:pos="142"/>
                <w:tab w:val="left" w:pos="720"/>
              </w:tabs>
              <w:ind w:right="118"/>
            </w:pPr>
            <w:r w:rsidRPr="002F70CC">
              <w:lastRenderedPageBreak/>
              <w:t>Шаг аукциона</w:t>
            </w:r>
          </w:p>
        </w:tc>
        <w:tc>
          <w:tcPr>
            <w:tcW w:w="6804" w:type="dxa"/>
            <w:vAlign w:val="center"/>
          </w:tcPr>
          <w:p w14:paraId="59E46139" w14:textId="166326EF" w:rsidR="00B91C70" w:rsidRPr="009259E0" w:rsidRDefault="009A0737" w:rsidP="00B91C70">
            <w:pPr>
              <w:tabs>
                <w:tab w:val="left" w:pos="142"/>
                <w:tab w:val="left" w:pos="540"/>
              </w:tabs>
              <w:rPr>
                <w:bCs/>
                <w:color w:val="000000"/>
              </w:rPr>
            </w:pPr>
            <w:r>
              <w:rPr>
                <w:bCs/>
                <w:color w:val="000000"/>
              </w:rPr>
              <w:t>62 675</w:t>
            </w:r>
            <w:r w:rsidR="00B91C70">
              <w:rPr>
                <w:bCs/>
                <w:color w:val="000000"/>
              </w:rPr>
              <w:t xml:space="preserve"> рублей 00 копеек.</w:t>
            </w:r>
          </w:p>
        </w:tc>
      </w:tr>
      <w:tr w:rsidR="00B91C70" w14:paraId="0C5F6A65" w14:textId="77777777" w:rsidTr="00D90298">
        <w:tc>
          <w:tcPr>
            <w:tcW w:w="3085" w:type="dxa"/>
            <w:vAlign w:val="center"/>
          </w:tcPr>
          <w:p w14:paraId="1223DC53" w14:textId="77777777" w:rsidR="00B91C70" w:rsidRPr="00D90298" w:rsidRDefault="00B91C70" w:rsidP="00B91C70">
            <w:pPr>
              <w:tabs>
                <w:tab w:val="left" w:pos="142"/>
                <w:tab w:val="left" w:pos="720"/>
              </w:tabs>
              <w:ind w:right="118"/>
            </w:pPr>
            <w:r>
              <w:t>Размер задатка</w:t>
            </w:r>
          </w:p>
        </w:tc>
        <w:tc>
          <w:tcPr>
            <w:tcW w:w="6804" w:type="dxa"/>
            <w:vAlign w:val="center"/>
          </w:tcPr>
          <w:p w14:paraId="04C81F24" w14:textId="2A24B4F8" w:rsidR="00B91C70" w:rsidRPr="004A540F" w:rsidRDefault="009A0737" w:rsidP="00B91C70">
            <w:pPr>
              <w:tabs>
                <w:tab w:val="left" w:pos="142"/>
                <w:tab w:val="left" w:pos="540"/>
              </w:tabs>
            </w:pPr>
            <w:r>
              <w:t>125 350</w:t>
            </w:r>
            <w:r w:rsidR="00B91C70" w:rsidRPr="004A540F">
              <w:t xml:space="preserve"> рублей 00 копеек</w:t>
            </w:r>
          </w:p>
        </w:tc>
      </w:tr>
      <w:tr w:rsidR="00B91C70" w14:paraId="3EA0FD86" w14:textId="77777777" w:rsidTr="00D90298">
        <w:tc>
          <w:tcPr>
            <w:tcW w:w="3085" w:type="dxa"/>
            <w:vAlign w:val="center"/>
          </w:tcPr>
          <w:p w14:paraId="43814EA7" w14:textId="77777777" w:rsidR="00B91C70" w:rsidRDefault="00B91C70" w:rsidP="00B91C70">
            <w:pPr>
              <w:tabs>
                <w:tab w:val="left" w:pos="142"/>
                <w:tab w:val="left" w:pos="720"/>
              </w:tabs>
              <w:ind w:right="118"/>
            </w:pPr>
            <w:r>
              <w:t>Форма платежа</w:t>
            </w:r>
          </w:p>
        </w:tc>
        <w:tc>
          <w:tcPr>
            <w:tcW w:w="6804" w:type="dxa"/>
            <w:vAlign w:val="center"/>
          </w:tcPr>
          <w:p w14:paraId="52B32BB7" w14:textId="77777777" w:rsidR="00B91C70" w:rsidRPr="004A540F" w:rsidRDefault="00B91C70" w:rsidP="00B91C70">
            <w:pPr>
              <w:tabs>
                <w:tab w:val="left" w:pos="142"/>
                <w:tab w:val="left" w:pos="540"/>
              </w:tabs>
            </w:pPr>
            <w:r w:rsidRPr="004A540F">
              <w:t>единовременная</w:t>
            </w:r>
          </w:p>
        </w:tc>
      </w:tr>
      <w:tr w:rsidR="00B91C70" w14:paraId="23AE794C" w14:textId="77777777" w:rsidTr="00D90298">
        <w:tc>
          <w:tcPr>
            <w:tcW w:w="3085" w:type="dxa"/>
            <w:vAlign w:val="center"/>
          </w:tcPr>
          <w:p w14:paraId="412AC2B0" w14:textId="77777777" w:rsidR="00B91C70" w:rsidRDefault="00B91C70" w:rsidP="00B91C70">
            <w:pPr>
              <w:tabs>
                <w:tab w:val="left" w:pos="142"/>
                <w:tab w:val="left" w:pos="720"/>
              </w:tabs>
              <w:ind w:right="118"/>
            </w:pPr>
            <w:r>
              <w:t xml:space="preserve">Ограничение участия отдельных категорий участников </w:t>
            </w:r>
          </w:p>
        </w:tc>
        <w:tc>
          <w:tcPr>
            <w:tcW w:w="6804" w:type="dxa"/>
            <w:vAlign w:val="center"/>
          </w:tcPr>
          <w:p w14:paraId="72D030B6" w14:textId="77777777" w:rsidR="00B91C70" w:rsidRDefault="00B91C70" w:rsidP="00B91C70">
            <w:pPr>
              <w:jc w:val="both"/>
            </w:pPr>
            <w: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7E9A8D5" w14:textId="77777777" w:rsidR="00B91C70" w:rsidRDefault="00B91C70" w:rsidP="00B91C70">
            <w:pPr>
              <w:jc w:val="both"/>
            </w:pPr>
            <w:r>
              <w:t>- государственных и муниципальных унитарных предприятий, государственных и муниципальных учреждений;</w:t>
            </w:r>
          </w:p>
          <w:p w14:paraId="19FED0D1" w14:textId="77777777" w:rsidR="00B91C70" w:rsidRDefault="00B91C70" w:rsidP="00B91C70">
            <w:pPr>
              <w:jc w:val="both"/>
            </w:pPr>
            <w: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5F9DA8CE" w14:textId="77777777" w:rsidR="00B91C70" w:rsidRDefault="00B91C70" w:rsidP="00B91C70">
            <w:pPr>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AA47F25" w14:textId="29EE1A25" w:rsidR="00B91C70" w:rsidRDefault="00B91C70" w:rsidP="00B91C70">
            <w:pPr>
              <w:jc w:val="both"/>
            </w:pPr>
            <w: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B91C70" w14:paraId="0C9E08BD" w14:textId="77777777" w:rsidTr="00D90298">
        <w:tc>
          <w:tcPr>
            <w:tcW w:w="3085" w:type="dxa"/>
            <w:vAlign w:val="center"/>
          </w:tcPr>
          <w:p w14:paraId="77701DB1" w14:textId="77777777" w:rsidR="00B91C70" w:rsidRDefault="00B91C70" w:rsidP="00B91C70">
            <w:pPr>
              <w:tabs>
                <w:tab w:val="left" w:pos="142"/>
                <w:tab w:val="left" w:pos="720"/>
              </w:tabs>
              <w:ind w:right="118"/>
            </w:pPr>
            <w:r>
              <w:t xml:space="preserve">Порядок подачи (приема) и отзыва заявок </w:t>
            </w:r>
          </w:p>
        </w:tc>
        <w:tc>
          <w:tcPr>
            <w:tcW w:w="6804" w:type="dxa"/>
            <w:vAlign w:val="center"/>
          </w:tcPr>
          <w:p w14:paraId="29353EAA" w14:textId="77777777" w:rsidR="00B91C70" w:rsidRDefault="00B91C70" w:rsidP="00B91C70">
            <w:pPr>
              <w:tabs>
                <w:tab w:val="left" w:pos="284"/>
              </w:tabs>
              <w:jc w:val="both"/>
            </w:pPr>
            <w:r>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14:paraId="11CDAD16" w14:textId="3A38A3BB" w:rsidR="00B91C70" w:rsidRDefault="00B91C70" w:rsidP="00B91C70">
            <w:pPr>
              <w:tabs>
                <w:tab w:val="left" w:pos="284"/>
              </w:tabs>
              <w:jc w:val="both"/>
            </w:pPr>
            <w: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21 декабря 2001 г. № 178-ФЗ «О приватизации государственного и муниципального имущества».</w:t>
            </w:r>
          </w:p>
          <w:p w14:paraId="1A75F026" w14:textId="77777777" w:rsidR="00B91C70" w:rsidRDefault="00B91C70" w:rsidP="00B91C70">
            <w:pPr>
              <w:tabs>
                <w:tab w:val="left" w:pos="284"/>
              </w:tabs>
              <w:jc w:val="both"/>
            </w:pPr>
            <w:r>
              <w:t>Одно лицо имеет право подать только одну заявку.</w:t>
            </w:r>
          </w:p>
          <w:p w14:paraId="398A9C66" w14:textId="77777777" w:rsidR="00B91C70" w:rsidRDefault="00B91C70" w:rsidP="00B91C70">
            <w:pPr>
              <w:tabs>
                <w:tab w:val="left" w:pos="284"/>
              </w:tabs>
              <w:jc w:val="both"/>
            </w:pPr>
            <w:r>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59ED08C" w14:textId="77777777" w:rsidR="00B91C70" w:rsidRDefault="00B91C70" w:rsidP="00B91C70">
            <w:pPr>
              <w:tabs>
                <w:tab w:val="left" w:pos="284"/>
              </w:tabs>
              <w:jc w:val="both"/>
            </w:pPr>
            <w:r>
              <w:t>Заявки с прилагаемыми к ним документами, поданные с нарушением установленного срока, на электронной площадке не регистрируются.</w:t>
            </w:r>
          </w:p>
          <w:p w14:paraId="08B33606" w14:textId="77777777" w:rsidR="00B91C70" w:rsidRDefault="00B91C70" w:rsidP="00B91C70">
            <w:pPr>
              <w:tabs>
                <w:tab w:val="left" w:pos="284"/>
              </w:tabs>
              <w:jc w:val="both"/>
            </w:pPr>
            <w:r>
              <w:t>При приеме заявок от претендентов Оператор электронной площадки обеспечивает:</w:t>
            </w:r>
          </w:p>
          <w:p w14:paraId="5E2C2945" w14:textId="77777777" w:rsidR="00B91C70" w:rsidRDefault="00B91C70" w:rsidP="00B91C70">
            <w:pPr>
              <w:tabs>
                <w:tab w:val="left" w:pos="284"/>
              </w:tabs>
              <w:jc w:val="both"/>
            </w:pPr>
            <w: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5F381288" w14:textId="77777777" w:rsidR="00B91C70" w:rsidRDefault="00B91C70" w:rsidP="00B91C70">
            <w:pPr>
              <w:tabs>
                <w:tab w:val="left" w:pos="284"/>
              </w:tabs>
              <w:jc w:val="both"/>
            </w:pPr>
            <w:r>
              <w:t>- конфиденциальность данных о претендентах и участниках, за исключением случая направления электронных документов продавцу.</w:t>
            </w:r>
          </w:p>
          <w:p w14:paraId="052BDCC7" w14:textId="77777777" w:rsidR="00B91C70" w:rsidRDefault="00B91C70" w:rsidP="00B91C70">
            <w:pPr>
              <w:tabs>
                <w:tab w:val="left" w:pos="284"/>
              </w:tabs>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EC16AF2" w14:textId="77777777" w:rsidR="00B91C70" w:rsidRDefault="00B91C70" w:rsidP="00B91C70">
            <w:pPr>
              <w:tabs>
                <w:tab w:val="left" w:pos="284"/>
              </w:tabs>
              <w:jc w:val="both"/>
            </w:pPr>
            <w: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B3F75FC" w14:textId="5D30D001" w:rsidR="00B91C70" w:rsidRPr="00F8018C" w:rsidRDefault="00B91C70" w:rsidP="00B91C70">
            <w:pPr>
              <w:tabs>
                <w:tab w:val="left" w:pos="284"/>
              </w:tabs>
              <w:jc w:val="both"/>
              <w:rPr>
                <w:bCs/>
              </w:rPr>
            </w:pPr>
            <w: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tc>
      </w:tr>
      <w:tr w:rsidR="00B91C70" w14:paraId="020E351A" w14:textId="77777777" w:rsidTr="0002797F">
        <w:tc>
          <w:tcPr>
            <w:tcW w:w="3085" w:type="dxa"/>
          </w:tcPr>
          <w:p w14:paraId="4B3A7697" w14:textId="54C40CED" w:rsidR="00B91C70" w:rsidRDefault="00B91C70" w:rsidP="00B91C70">
            <w:pPr>
              <w:tabs>
                <w:tab w:val="left" w:pos="142"/>
                <w:tab w:val="left" w:pos="720"/>
              </w:tabs>
              <w:ind w:right="118"/>
            </w:pPr>
            <w:r w:rsidRPr="00357222">
              <w:lastRenderedPageBreak/>
              <w:t xml:space="preserve">Требования, предъявляемые к Участнику </w:t>
            </w:r>
          </w:p>
        </w:tc>
        <w:tc>
          <w:tcPr>
            <w:tcW w:w="6804" w:type="dxa"/>
          </w:tcPr>
          <w:p w14:paraId="1CE46BF4" w14:textId="0030CA6D" w:rsidR="00B91C70" w:rsidRDefault="00B91C70" w:rsidP="00B91C70">
            <w:pPr>
              <w:tabs>
                <w:tab w:val="left" w:pos="284"/>
              </w:tabs>
              <w:jc w:val="both"/>
            </w:pPr>
            <w:r w:rsidRPr="00357222">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B91C70" w14:paraId="4A75FF22" w14:textId="77777777" w:rsidTr="00D90298">
        <w:tc>
          <w:tcPr>
            <w:tcW w:w="3085" w:type="dxa"/>
            <w:vAlign w:val="center"/>
          </w:tcPr>
          <w:p w14:paraId="25C1EA04" w14:textId="77777777" w:rsidR="00B91C70" w:rsidRDefault="00B91C70" w:rsidP="00B91C70">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1B3B6D81" w14:textId="77777777" w:rsidR="00B91C70" w:rsidRPr="00E82427" w:rsidRDefault="00B91C70" w:rsidP="00B91C70">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51E49D5E" w14:textId="77777777" w:rsidR="00B91C70" w:rsidRPr="00CB02E5" w:rsidRDefault="00B91C70" w:rsidP="00B91C70">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B91C70" w14:paraId="4140507C" w14:textId="77777777" w:rsidTr="00D90298">
        <w:tc>
          <w:tcPr>
            <w:tcW w:w="3085" w:type="dxa"/>
            <w:vAlign w:val="center"/>
          </w:tcPr>
          <w:p w14:paraId="2BC988FB" w14:textId="77777777" w:rsidR="00B91C70" w:rsidRDefault="00B91C70" w:rsidP="00B91C70">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6D98BF8D"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17F9712C" w14:textId="77777777" w:rsidR="00B91C70" w:rsidRPr="00D1510D" w:rsidRDefault="00B91C70" w:rsidP="00B91C70">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57775CA8"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92A714D" w14:textId="77777777" w:rsidR="00B91C70" w:rsidRPr="00D1510D" w:rsidRDefault="00B91C70" w:rsidP="00B91C70">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0C494967" w14:textId="77777777" w:rsidR="00B91C70" w:rsidRPr="00D1510D" w:rsidRDefault="00B91C70" w:rsidP="00B91C70">
            <w:pPr>
              <w:jc w:val="both"/>
            </w:pPr>
            <w:r w:rsidRPr="00D1510D">
              <w:t>- заверенные копии учредительных документов;</w:t>
            </w:r>
          </w:p>
          <w:p w14:paraId="7291B142" w14:textId="77777777" w:rsidR="00B91C70" w:rsidRPr="00D1510D" w:rsidRDefault="00B91C70" w:rsidP="00B91C70">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A4A1DB2" w14:textId="77777777" w:rsidR="00B91C70" w:rsidRPr="00D1510D" w:rsidRDefault="00B91C70" w:rsidP="00B91C70">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8622515" w14:textId="77777777" w:rsidR="00B91C70" w:rsidRPr="00D1510D" w:rsidRDefault="00B91C70" w:rsidP="00B91C70">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1835744B" w14:textId="77777777" w:rsidR="00B91C70" w:rsidRPr="00D1510D" w:rsidRDefault="00B91C70" w:rsidP="00B91C70">
            <w:pPr>
              <w:jc w:val="both"/>
              <w:rPr>
                <w:bCs/>
              </w:rPr>
            </w:pPr>
            <w:r w:rsidRPr="00D1510D">
              <w:rPr>
                <w:bCs/>
              </w:rPr>
              <w:t>-документ, удостоверяющий личность.</w:t>
            </w:r>
          </w:p>
          <w:p w14:paraId="55BB16AB" w14:textId="77777777" w:rsidR="00B91C70" w:rsidRPr="002E7F25" w:rsidRDefault="00B91C70" w:rsidP="00B91C70">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05618B85" w14:textId="77777777" w:rsidR="00B91C70" w:rsidRPr="00D1510D" w:rsidRDefault="00B91C70" w:rsidP="00B91C70">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0A32284A" w14:textId="77777777" w:rsidR="00B91C70" w:rsidRPr="00F60B0F" w:rsidRDefault="00B91C70" w:rsidP="00B91C70">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B91C70" w14:paraId="04CEB56C" w14:textId="77777777" w:rsidTr="00D90298">
        <w:tc>
          <w:tcPr>
            <w:tcW w:w="3085" w:type="dxa"/>
            <w:vAlign w:val="center"/>
          </w:tcPr>
          <w:p w14:paraId="5B5C8853" w14:textId="77777777" w:rsidR="00B91C70" w:rsidRDefault="00B91C70" w:rsidP="00B91C70">
            <w:pPr>
              <w:tabs>
                <w:tab w:val="left" w:pos="142"/>
                <w:tab w:val="left" w:pos="720"/>
              </w:tabs>
              <w:ind w:right="118"/>
            </w:pPr>
            <w:r>
              <w:t xml:space="preserve">Порядок ознакомления с иной информацией, условиями </w:t>
            </w:r>
            <w:r>
              <w:lastRenderedPageBreak/>
              <w:t xml:space="preserve">договора купли-продажи имущества </w:t>
            </w:r>
          </w:p>
        </w:tc>
        <w:tc>
          <w:tcPr>
            <w:tcW w:w="6804" w:type="dxa"/>
            <w:vAlign w:val="center"/>
          </w:tcPr>
          <w:p w14:paraId="07E6CBD8" w14:textId="4FD88F25" w:rsidR="00B91C70" w:rsidRDefault="00B91C70" w:rsidP="00B91C70">
            <w:pPr>
              <w:jc w:val="both"/>
              <w:rPr>
                <w:rFonts w:eastAsia="Calibri"/>
                <w:lang w:eastAsia="en-US"/>
              </w:rPr>
            </w:pPr>
            <w:r w:rsidRPr="00571970">
              <w:rPr>
                <w:rFonts w:eastAsia="Calibri"/>
                <w:lang w:eastAsia="en-US"/>
              </w:rPr>
              <w:lastRenderedPageBreak/>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0"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lastRenderedPageBreak/>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1"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3C26E254" w14:textId="77777777" w:rsidR="00B91C70" w:rsidRDefault="00B91C70" w:rsidP="00B91C70">
            <w:pPr>
              <w:jc w:val="both"/>
            </w:pPr>
          </w:p>
          <w:p w14:paraId="3AC58795" w14:textId="6F0525DC" w:rsidR="00B91C70" w:rsidRPr="00EF639A" w:rsidRDefault="00B91C70" w:rsidP="00B91C70">
            <w:pPr>
              <w:jc w:val="both"/>
              <w:rPr>
                <w:rFonts w:eastAsia="Calibri"/>
                <w:lang w:eastAsia="en-US"/>
              </w:rPr>
            </w:pPr>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2"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3" w:history="1">
              <w:r w:rsidRPr="00882739">
                <w:rPr>
                  <w:rStyle w:val="a3"/>
                </w:rPr>
                <w:t>http://www.</w:t>
              </w:r>
              <w:proofErr w:type="spellStart"/>
              <w:r w:rsidRPr="00882739">
                <w:rPr>
                  <w:rStyle w:val="a3"/>
                  <w:lang w:val="en-US"/>
                </w:rPr>
                <w:t>utp</w:t>
              </w:r>
              <w:proofErr w:type="spellEnd"/>
              <w:r w:rsidRPr="00882739">
                <w:rPr>
                  <w:rStyle w:val="a3"/>
                </w:rPr>
                <w:t>.sberbank-ast.ru/</w:t>
              </w:r>
            </w:hyperlink>
            <w:r>
              <w:t xml:space="preserve">, а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t xml:space="preserve">505.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 департамента имущественных отношений Нефтеюганского района</w:t>
            </w:r>
            <w:r w:rsidRPr="00231004">
              <w:t>, тел. (346</w:t>
            </w:r>
            <w:r>
              <w:t>3</w:t>
            </w:r>
            <w:r w:rsidRPr="00231004">
              <w:t xml:space="preserve">) </w:t>
            </w:r>
            <w:r>
              <w:t>250134</w:t>
            </w:r>
            <w:r w:rsidRPr="00231004">
              <w:t>.</w:t>
            </w:r>
          </w:p>
          <w:p w14:paraId="46EF3B84" w14:textId="77777777" w:rsidR="00B91C70" w:rsidRPr="004B03DE" w:rsidRDefault="00B91C70" w:rsidP="00B91C70">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62CB0F5E" w14:textId="77777777" w:rsidR="00B91C70" w:rsidRPr="004B03DE" w:rsidRDefault="00B91C70" w:rsidP="00B91C70">
            <w:pPr>
              <w:jc w:val="both"/>
            </w:pPr>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23196FE1" w14:textId="77777777" w:rsidR="00B91C70" w:rsidRPr="004B03DE" w:rsidRDefault="00B91C70" w:rsidP="00B91C70">
            <w:pPr>
              <w:jc w:val="both"/>
            </w:pPr>
            <w:r w:rsidRPr="004B03DE">
              <w:t>2)</w:t>
            </w:r>
            <w:r w:rsidRPr="004B03DE">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14:paraId="21E5BF57" w14:textId="77777777" w:rsidR="00B91C70" w:rsidRPr="004B03DE" w:rsidRDefault="00B91C70" w:rsidP="00B91C70">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05EA33B7" w14:textId="77777777" w:rsidR="00B91C70" w:rsidRPr="00FE1A00" w:rsidRDefault="00B91C70" w:rsidP="00B91C70">
            <w:r w:rsidRPr="004B03DE">
              <w:t>Ответ Организатора процедуры (Продавца) с разъяснениями размещается в извещении о проведении процедуры продажи.</w:t>
            </w:r>
          </w:p>
        </w:tc>
      </w:tr>
      <w:tr w:rsidR="00B91C70" w14:paraId="4794A85A" w14:textId="77777777" w:rsidTr="00D90298">
        <w:tc>
          <w:tcPr>
            <w:tcW w:w="3085" w:type="dxa"/>
            <w:vAlign w:val="center"/>
          </w:tcPr>
          <w:p w14:paraId="09129DB8" w14:textId="77777777" w:rsidR="00B91C70" w:rsidRDefault="00B91C70" w:rsidP="00B91C70">
            <w:pPr>
              <w:tabs>
                <w:tab w:val="left" w:pos="142"/>
                <w:tab w:val="left" w:pos="720"/>
              </w:tabs>
              <w:ind w:right="118"/>
            </w:pPr>
            <w:r>
              <w:lastRenderedPageBreak/>
              <w:t xml:space="preserve">Порядок внесения задатка и его возврата </w:t>
            </w:r>
          </w:p>
        </w:tc>
        <w:tc>
          <w:tcPr>
            <w:tcW w:w="6804" w:type="dxa"/>
            <w:vAlign w:val="center"/>
          </w:tcPr>
          <w:p w14:paraId="2A395923" w14:textId="77777777" w:rsidR="00B91C70" w:rsidRPr="00F05BD6" w:rsidRDefault="00B91C70" w:rsidP="00B91C70">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751D5D84" w14:textId="77777777" w:rsidR="00B91C70" w:rsidRPr="00F05BD6" w:rsidRDefault="00B91C70" w:rsidP="00B91C70">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02998DF0" w14:textId="77777777" w:rsidR="00B91C70" w:rsidRPr="00F05BD6" w:rsidRDefault="00B91C70" w:rsidP="00B91C70">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57E6E2C3" w14:textId="77777777" w:rsidR="00B91C70" w:rsidRPr="00F05BD6" w:rsidRDefault="00B91C70" w:rsidP="00B91C70">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4F9643FC" w14:textId="77777777" w:rsidR="00B91C70" w:rsidRPr="00F05BD6" w:rsidRDefault="00B91C70" w:rsidP="00B91C70">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2BAEFAA" w14:textId="77777777" w:rsidR="00B91C70" w:rsidRPr="00F05BD6" w:rsidRDefault="00B91C70" w:rsidP="00B91C70">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688933C8" w14:textId="77777777" w:rsidR="00B91C70" w:rsidRPr="00F05BD6" w:rsidRDefault="00B91C70" w:rsidP="00B91C70">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14:paraId="7294767D" w14:textId="77777777" w:rsidR="00B91C70" w:rsidRPr="00F05BD6" w:rsidRDefault="00B91C70" w:rsidP="00B91C70">
            <w:pPr>
              <w:jc w:val="both"/>
            </w:pPr>
            <w:r w:rsidRPr="00F05BD6">
              <w:t xml:space="preserve">Разблокирование задатка производится в порядке, определённом в регламенте ТС ЭП. </w:t>
            </w:r>
          </w:p>
          <w:p w14:paraId="44929CC2" w14:textId="77777777" w:rsidR="00B91C70" w:rsidRPr="00483B6E" w:rsidRDefault="00B91C70" w:rsidP="00B91C70">
            <w:pPr>
              <w:jc w:val="both"/>
            </w:pPr>
            <w:r w:rsidRPr="00F05BD6">
              <w:lastRenderedPageBreak/>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B91C70" w14:paraId="6BA18892" w14:textId="77777777" w:rsidTr="00D90298">
        <w:tc>
          <w:tcPr>
            <w:tcW w:w="3085" w:type="dxa"/>
            <w:vAlign w:val="center"/>
          </w:tcPr>
          <w:p w14:paraId="2D0B516C" w14:textId="77777777" w:rsidR="00B91C70" w:rsidRDefault="00B91C70" w:rsidP="00B91C70">
            <w:pPr>
              <w:tabs>
                <w:tab w:val="left" w:pos="142"/>
                <w:tab w:val="left" w:pos="720"/>
              </w:tabs>
              <w:ind w:right="118"/>
            </w:pPr>
            <w:r>
              <w:lastRenderedPageBreak/>
              <w:t xml:space="preserve">Информация </w:t>
            </w:r>
          </w:p>
        </w:tc>
        <w:tc>
          <w:tcPr>
            <w:tcW w:w="6804" w:type="dxa"/>
            <w:vAlign w:val="center"/>
          </w:tcPr>
          <w:p w14:paraId="263F7613" w14:textId="77777777" w:rsidR="00B91C70" w:rsidRPr="00F8018C" w:rsidRDefault="00B91C70" w:rsidP="00B91C70">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B91C70" w14:paraId="45804726" w14:textId="77777777" w:rsidTr="00D90298">
        <w:tc>
          <w:tcPr>
            <w:tcW w:w="3085" w:type="dxa"/>
            <w:vAlign w:val="center"/>
          </w:tcPr>
          <w:p w14:paraId="2F0148CB" w14:textId="0C130DBC" w:rsidR="00B91C70" w:rsidRDefault="00B91C70" w:rsidP="00B91C70">
            <w:pPr>
              <w:tabs>
                <w:tab w:val="left" w:pos="142"/>
                <w:tab w:val="left" w:pos="720"/>
              </w:tabs>
              <w:ind w:right="118"/>
            </w:pPr>
            <w:r>
              <w:t>Порядок определения участников продажи</w:t>
            </w:r>
          </w:p>
        </w:tc>
        <w:tc>
          <w:tcPr>
            <w:tcW w:w="6804" w:type="dxa"/>
            <w:vAlign w:val="center"/>
          </w:tcPr>
          <w:p w14:paraId="5F52620B" w14:textId="629FECBA" w:rsidR="00B91C70" w:rsidRPr="000F6729" w:rsidRDefault="00B91C70" w:rsidP="00B91C70">
            <w:pPr>
              <w:tabs>
                <w:tab w:val="left" w:pos="540"/>
              </w:tabs>
              <w:jc w:val="both"/>
              <w:outlineLvl w:val="0"/>
            </w:pPr>
            <w:r w:rsidRPr="000F6729">
              <w:t xml:space="preserve">В день определения участников </w:t>
            </w:r>
            <w:r>
              <w:t>продажи,</w:t>
            </w:r>
            <w:r w:rsidRPr="000F6729">
              <w:t xml:space="preserve"> указанный в информационном сообщении, </w:t>
            </w:r>
            <w:r>
              <w:t xml:space="preserve">Оператор электронной площадки </w:t>
            </w:r>
            <w:r w:rsidRPr="000F6729">
              <w:t xml:space="preserve">через «личный кабинет» продавца обеспечивает доступ продавца к поданным </w:t>
            </w:r>
            <w:r>
              <w:t>п</w:t>
            </w:r>
            <w:r w:rsidRPr="000F6729">
              <w:t>ретендентами заявкам и документам, а также к журналу приема заявок.</w:t>
            </w:r>
          </w:p>
          <w:p w14:paraId="76883914" w14:textId="77777777" w:rsidR="00B91C70" w:rsidRPr="000F6729" w:rsidRDefault="00B91C70" w:rsidP="00B91C70">
            <w:pPr>
              <w:tabs>
                <w:tab w:val="left" w:pos="540"/>
              </w:tabs>
              <w:jc w:val="both"/>
              <w:outlineLvl w:val="0"/>
            </w:pPr>
            <w:r w:rsidRPr="000F6729">
              <w:t xml:space="preserve">Продавец в день рассмотрения заявок и документов претендентов и установления факта поступления задатка подписывает протокол о признании </w:t>
            </w:r>
            <w:r>
              <w:t>п</w:t>
            </w:r>
            <w:r w:rsidRPr="000F6729">
              <w:t xml:space="preserve">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t xml:space="preserve">аукционе, </w:t>
            </w:r>
            <w:r w:rsidRPr="000F6729">
              <w:t>с указанием оснований такого отказа.</w:t>
            </w:r>
          </w:p>
          <w:p w14:paraId="6302A27C" w14:textId="599B8E38" w:rsidR="00B91C70" w:rsidRPr="000F6729" w:rsidRDefault="00B91C70" w:rsidP="00B91C70">
            <w:pPr>
              <w:tabs>
                <w:tab w:val="left" w:pos="540"/>
              </w:tabs>
              <w:jc w:val="both"/>
              <w:outlineLvl w:val="0"/>
            </w:pPr>
            <w:r w:rsidRPr="000F6729">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t xml:space="preserve">продажи </w:t>
            </w:r>
            <w:r w:rsidRPr="000F6729">
              <w:t xml:space="preserve">или об отказе в признании участниками </w:t>
            </w:r>
            <w:r>
              <w:t xml:space="preserve">аукциона, </w:t>
            </w:r>
            <w:r w:rsidRPr="000F6729">
              <w:t xml:space="preserve">с указанием оснований отказа. </w:t>
            </w:r>
          </w:p>
          <w:p w14:paraId="77205060" w14:textId="41ECFC1D" w:rsidR="00B91C70" w:rsidRPr="000F6729" w:rsidRDefault="00B91C70" w:rsidP="00B91C70">
            <w:pPr>
              <w:tabs>
                <w:tab w:val="left" w:pos="540"/>
              </w:tabs>
              <w:jc w:val="both"/>
              <w:outlineLvl w:val="0"/>
            </w:pPr>
            <w:r w:rsidRPr="000F6729">
              <w:t xml:space="preserve">Информация о претендентах, не допущенных к участию в </w:t>
            </w:r>
            <w:r>
              <w:t xml:space="preserve">продаже, </w:t>
            </w:r>
            <w:r w:rsidRPr="000F6729">
              <w:t>размещается в открытой части электронной площадки</w:t>
            </w:r>
            <w:r w:rsidRPr="00865F9F">
              <w:t xml:space="preserve">, </w:t>
            </w:r>
            <w:r>
              <w:t xml:space="preserve">а также </w:t>
            </w:r>
            <w:r w:rsidRPr="000F6729">
              <w:t>на официальном сайте в сети «Интернет» для размещения информации о проведении торгов, определенном Правительством Российской Федерации</w:t>
            </w:r>
            <w:r w:rsidRPr="00865F9F">
              <w:t xml:space="preserve"> </w:t>
            </w:r>
            <w:hyperlink r:id="rId14" w:history="1">
              <w:proofErr w:type="spellStart"/>
              <w:r w:rsidRPr="000A4F19">
                <w:rPr>
                  <w:rStyle w:val="a3"/>
                  <w:color w:val="auto"/>
                  <w:u w:val="none"/>
                  <w:lang w:val="en-US"/>
                </w:rPr>
                <w:t>torgi</w:t>
              </w:r>
              <w:proofErr w:type="spellEnd"/>
              <w:r w:rsidRPr="000A4F19">
                <w:rPr>
                  <w:rStyle w:val="a3"/>
                  <w:color w:val="auto"/>
                  <w:u w:val="none"/>
                </w:rPr>
                <w:t>.</w:t>
              </w:r>
              <w:r w:rsidRPr="000A4F19">
                <w:rPr>
                  <w:rStyle w:val="a3"/>
                  <w:color w:val="auto"/>
                  <w:u w:val="none"/>
                  <w:lang w:val="en-US"/>
                </w:rPr>
                <w:t>gov</w:t>
              </w:r>
              <w:r w:rsidRPr="000A4F19">
                <w:rPr>
                  <w:rStyle w:val="a3"/>
                  <w:color w:val="auto"/>
                  <w:u w:val="none"/>
                </w:rPr>
                <w:t>.</w:t>
              </w:r>
              <w:proofErr w:type="spellStart"/>
              <w:r w:rsidRPr="000A4F19">
                <w:rPr>
                  <w:rStyle w:val="a3"/>
                  <w:color w:val="auto"/>
                  <w:u w:val="none"/>
                  <w:lang w:val="en-US"/>
                </w:rPr>
                <w:t>ru</w:t>
              </w:r>
              <w:proofErr w:type="spellEnd"/>
            </w:hyperlink>
            <w:r>
              <w:t>, а также на сайте продавца в сети «Интернет».</w:t>
            </w:r>
          </w:p>
          <w:p w14:paraId="2DB87135" w14:textId="759D9CFC" w:rsidR="00B91C70" w:rsidRPr="000F6729" w:rsidRDefault="00B91C70" w:rsidP="00B91C70">
            <w:pPr>
              <w:tabs>
                <w:tab w:val="left" w:pos="540"/>
              </w:tabs>
              <w:jc w:val="both"/>
              <w:outlineLvl w:val="0"/>
            </w:pPr>
            <w:r w:rsidRPr="000F6729">
              <w:t xml:space="preserve">Претендент приобретает статус участника </w:t>
            </w:r>
            <w:r>
              <w:t xml:space="preserve">продажи </w:t>
            </w:r>
            <w:r w:rsidRPr="000F6729">
              <w:t xml:space="preserve">с момента подписания протокола о признании претендентов участниками </w:t>
            </w:r>
            <w:r>
              <w:t>продажи</w:t>
            </w:r>
            <w:r w:rsidRPr="000F6729">
              <w:t>.</w:t>
            </w:r>
          </w:p>
          <w:p w14:paraId="17DBBB53" w14:textId="77777777" w:rsidR="00B91C70" w:rsidRPr="000F6729" w:rsidRDefault="00B91C70" w:rsidP="00B91C70">
            <w:pPr>
              <w:tabs>
                <w:tab w:val="left" w:pos="540"/>
              </w:tabs>
              <w:jc w:val="both"/>
              <w:outlineLvl w:val="0"/>
            </w:pPr>
            <w:r w:rsidRPr="000F6729">
              <w:t xml:space="preserve">Претендент не допускается к участию в </w:t>
            </w:r>
            <w:r>
              <w:t xml:space="preserve">аукционе </w:t>
            </w:r>
            <w:r w:rsidRPr="000F6729">
              <w:t>по следующим основаниям:</w:t>
            </w:r>
          </w:p>
          <w:p w14:paraId="63AE140D" w14:textId="77777777" w:rsidR="00B91C70" w:rsidRPr="000F6729" w:rsidRDefault="00B91C70" w:rsidP="00B91C70">
            <w:pPr>
              <w:tabs>
                <w:tab w:val="left" w:pos="540"/>
              </w:tabs>
              <w:ind w:firstLine="709"/>
              <w:jc w:val="both"/>
              <w:outlineLvl w:val="0"/>
            </w:pPr>
            <w:r w:rsidRPr="000F6729">
              <w:t xml:space="preserve">а) представленные документы не подтверждают право </w:t>
            </w:r>
            <w:r>
              <w:t>п</w:t>
            </w:r>
            <w:r w:rsidRPr="000F6729">
              <w:t>ретендента быть покупателем имущества в соответствии с законодательством Российской Федерации.</w:t>
            </w:r>
          </w:p>
          <w:p w14:paraId="284419B4" w14:textId="77777777" w:rsidR="00B91C70" w:rsidRPr="000F6729" w:rsidRDefault="00B91C70" w:rsidP="00B91C70">
            <w:pPr>
              <w:tabs>
                <w:tab w:val="left" w:pos="540"/>
              </w:tabs>
              <w:ind w:firstLine="709"/>
              <w:jc w:val="both"/>
              <w:outlineLvl w:val="0"/>
            </w:pPr>
            <w:r w:rsidRPr="000F6729">
              <w:t>б)</w:t>
            </w:r>
            <w:r>
              <w:t> </w:t>
            </w:r>
            <w:r w:rsidRPr="000F6729">
              <w:t xml:space="preserve">представлены не все документы в соответствии с перечнем, указанным в информационном сообщении о проведении </w:t>
            </w:r>
            <w:r>
              <w:t>продажи муниципального имущества в электронной форме</w:t>
            </w:r>
            <w:r w:rsidRPr="000F6729">
              <w:t>, или оформление представленных документов не соответствует законодательству Российской Федерации.</w:t>
            </w:r>
          </w:p>
          <w:p w14:paraId="579AE635" w14:textId="77777777" w:rsidR="00B91C70" w:rsidRPr="000F6729" w:rsidRDefault="00B91C70" w:rsidP="00B91C70">
            <w:pPr>
              <w:tabs>
                <w:tab w:val="left" w:pos="540"/>
              </w:tabs>
              <w:ind w:firstLine="709"/>
              <w:jc w:val="both"/>
              <w:outlineLvl w:val="0"/>
            </w:pPr>
            <w:r w:rsidRPr="000F6729">
              <w:t>в)</w:t>
            </w:r>
            <w:r>
              <w:t> </w:t>
            </w:r>
            <w:r w:rsidRPr="000F6729">
              <w:t xml:space="preserve">не подтверждено поступление в установленный срок задатка на счет </w:t>
            </w:r>
            <w:r>
              <w:t>продавца</w:t>
            </w:r>
            <w:r w:rsidRPr="000F6729">
              <w:t>, указанный в информационном сообщении.</w:t>
            </w:r>
          </w:p>
          <w:p w14:paraId="713A32BF" w14:textId="77777777" w:rsidR="00B91C70" w:rsidRDefault="00B91C70" w:rsidP="00B91C70">
            <w:pPr>
              <w:tabs>
                <w:tab w:val="left" w:pos="540"/>
              </w:tabs>
              <w:ind w:firstLine="709"/>
              <w:jc w:val="both"/>
              <w:outlineLvl w:val="0"/>
            </w:pPr>
            <w:r w:rsidRPr="000F6729">
              <w:t xml:space="preserve">г) заявка подана лицом, не уполномоченным </w:t>
            </w:r>
            <w:r>
              <w:t>п</w:t>
            </w:r>
            <w:r w:rsidRPr="000F6729">
              <w:t>ретендентом на осуществление таких действий.</w:t>
            </w:r>
          </w:p>
          <w:p w14:paraId="3B34FF2C" w14:textId="77777777" w:rsidR="00B91C70" w:rsidRDefault="00B91C70" w:rsidP="00B91C70">
            <w:pPr>
              <w:tabs>
                <w:tab w:val="left" w:pos="540"/>
              </w:tabs>
              <w:ind w:firstLine="709"/>
              <w:jc w:val="both"/>
              <w:outlineLvl w:val="0"/>
            </w:pPr>
            <w:r>
              <w:t>Претендент приобретает статус участника продажи с момента подписания протокола определения участников продажи имущества.</w:t>
            </w:r>
          </w:p>
          <w:p w14:paraId="6C7E5498" w14:textId="7B2E211C" w:rsidR="00B91C70" w:rsidRPr="00F8018C" w:rsidRDefault="00B91C70" w:rsidP="00B91C70">
            <w:pPr>
              <w:tabs>
                <w:tab w:val="left" w:pos="540"/>
              </w:tabs>
              <w:ind w:firstLine="709"/>
              <w:jc w:val="both"/>
              <w:outlineLvl w:val="0"/>
            </w:pPr>
            <w:r>
              <w:t>Информация об отказе в допуске к участию в продаже размещается на официальном сайте торгов и в открытой части электронной площадки в срок не позднее рабочего дня, следующего за днем принятия указанного решения.</w:t>
            </w:r>
          </w:p>
        </w:tc>
      </w:tr>
      <w:tr w:rsidR="00B91C70" w14:paraId="7CC83C1A" w14:textId="77777777" w:rsidTr="00D90298">
        <w:tc>
          <w:tcPr>
            <w:tcW w:w="3085" w:type="dxa"/>
            <w:vAlign w:val="center"/>
          </w:tcPr>
          <w:p w14:paraId="6536676D" w14:textId="1FF15A70" w:rsidR="00B91C70" w:rsidRDefault="00B91C70" w:rsidP="00B91C70">
            <w:pPr>
              <w:tabs>
                <w:tab w:val="left" w:pos="142"/>
                <w:tab w:val="left" w:pos="720"/>
              </w:tabs>
              <w:ind w:right="118"/>
            </w:pPr>
            <w:r w:rsidRPr="00C84D4E">
              <w:t>Порядок проведения продажи посредством публичного предложения и определения победителя</w:t>
            </w:r>
          </w:p>
        </w:tc>
        <w:tc>
          <w:tcPr>
            <w:tcW w:w="6804" w:type="dxa"/>
            <w:vAlign w:val="center"/>
          </w:tcPr>
          <w:p w14:paraId="6262B1BB" w14:textId="28A58564" w:rsidR="00B91C70" w:rsidRDefault="00B91C70" w:rsidP="00B91C70">
            <w:pPr>
              <w:jc w:val="both"/>
            </w:pPr>
            <w:r>
              <w:t xml:space="preserve">           Процедура продажи посредством публичного </w:t>
            </w:r>
            <w:proofErr w:type="gramStart"/>
            <w:r>
              <w:t>предложения  проводится</w:t>
            </w:r>
            <w:proofErr w:type="gramEnd"/>
            <w:r>
              <w:t xml:space="preserve">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7F49395B" w14:textId="2E9A0730" w:rsidR="00B91C70" w:rsidRDefault="00B91C70" w:rsidP="00B91C70">
            <w:pPr>
              <w:jc w:val="both"/>
            </w:pPr>
            <w:r>
              <w:t xml:space="preserve">           «Шаги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372A63E0" w14:textId="17A7E3E0" w:rsidR="00B91C70" w:rsidRDefault="00B91C70" w:rsidP="00B91C70">
            <w:pPr>
              <w:jc w:val="both"/>
            </w:pPr>
            <w:r>
              <w:tab/>
              <w:t xml:space="preserve">Время приема предложений участников о цене первоначального предложения составляет один час от времени начала проведения процедуры </w:t>
            </w:r>
            <w:r>
              <w:lastRenderedPageBreak/>
              <w:t>продажи имущества посредством публичного предложения и 10 минут на представление предложений о цене имущества на каждом «шаге понижения».</w:t>
            </w:r>
          </w:p>
          <w:p w14:paraId="7046601D" w14:textId="2E82457F" w:rsidR="00B91C70" w:rsidRDefault="00B91C70" w:rsidP="00B91C70">
            <w:pPr>
              <w:jc w:val="both"/>
            </w:pPr>
            <w:r>
              <w:tab/>
              <w:t>Победителем признается участник, который подтвердил цену первоначального предложения или цену предложения, сложившуюся на соответствующе «шаге понижения», при отсутствии предложений других участников.</w:t>
            </w:r>
          </w:p>
          <w:p w14:paraId="56E22D46" w14:textId="162E389B" w:rsidR="00B91C70" w:rsidRDefault="00B91C70" w:rsidP="00B91C70">
            <w:pPr>
              <w:jc w:val="both"/>
            </w:pPr>
            <w:r>
              <w:tab/>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3DEFB045" w14:textId="063E4E08" w:rsidR="00B91C70" w:rsidRDefault="00B91C70" w:rsidP="00B91C70">
            <w:pPr>
              <w:jc w:val="both"/>
            </w:pPr>
            <w:r>
              <w:tab/>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F4A18BD" w14:textId="15FBB163" w:rsidR="00B91C70" w:rsidRDefault="00B91C70" w:rsidP="00B91C70">
            <w:pPr>
              <w:jc w:val="both"/>
            </w:pPr>
            <w:r>
              <w:tab/>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48A3E40D" w14:textId="139849ED" w:rsidR="00B91C70" w:rsidRDefault="00B91C70" w:rsidP="00B91C70">
            <w:pPr>
              <w:jc w:val="both"/>
            </w:pPr>
            <w:r>
              <w:tab/>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14:paraId="527094F2" w14:textId="30F599BD" w:rsidR="00B91C70" w:rsidRDefault="00B91C70" w:rsidP="00B91C70">
            <w:pPr>
              <w:jc w:val="both"/>
            </w:pPr>
            <w:r>
              <w:tab/>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40EFA08" w14:textId="473A36EF" w:rsidR="00B91C70" w:rsidRDefault="00B91C70" w:rsidP="00B91C70">
            <w:pPr>
              <w:jc w:val="both"/>
            </w:pPr>
            <w:r>
              <w:tab/>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D9AD0E3" w14:textId="05346931" w:rsidR="00B91C70" w:rsidRDefault="00B91C70" w:rsidP="00B91C70">
            <w:pPr>
              <w:jc w:val="both"/>
            </w:pPr>
            <w:r>
              <w:tab/>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74C4EFD" w14:textId="686A118E" w:rsidR="00B91C70" w:rsidRDefault="00B91C70" w:rsidP="00B91C70">
            <w:pPr>
              <w:jc w:val="both"/>
            </w:pPr>
            <w:r>
              <w:tab/>
              <w:t xml:space="preserve">Протокол об итогах продажи имущества посредством публичного </w:t>
            </w:r>
            <w:proofErr w:type="gramStart"/>
            <w:r>
              <w:t>предложения ,</w:t>
            </w:r>
            <w:proofErr w:type="gramEnd"/>
            <w:r>
              <w:t xml:space="preserve"> содержащий цену имущества, предложенную победителем, и удостоверяющий право победителя на заключение договора купли-продажи имущества, подписывается Организатором продажи в течение одного часа со времени получения от оператора электронной площадки электронного журнала.</w:t>
            </w:r>
          </w:p>
          <w:p w14:paraId="157EEE12" w14:textId="78828DDD" w:rsidR="00B91C70" w:rsidRDefault="00B91C70" w:rsidP="00B91C70">
            <w:pPr>
              <w:jc w:val="both"/>
            </w:pPr>
            <w:r>
              <w:tab/>
              <w:t xml:space="preserve">Процедура продажи имущества посредством публичного предложения считается завершенной со времени подписания Организатором продажи протокола об итогах такой продажи.   </w:t>
            </w:r>
          </w:p>
          <w:p w14:paraId="417FD7D2" w14:textId="31839805" w:rsidR="00B91C70" w:rsidRDefault="00B91C70" w:rsidP="00B91C70">
            <w:pPr>
              <w:jc w:val="both"/>
            </w:pPr>
            <w:r>
              <w:tab/>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875E5E" w14:textId="77777777" w:rsidR="00B91C70" w:rsidRDefault="00B91C70" w:rsidP="00B91C70">
            <w:pPr>
              <w:jc w:val="both"/>
            </w:pPr>
            <w:r>
              <w:tab/>
              <w:t>- наименование имущества и иные позволяющие его индивидуализировать сведения (спецификация лота);</w:t>
            </w:r>
          </w:p>
          <w:p w14:paraId="443C1623" w14:textId="77777777" w:rsidR="00B91C70" w:rsidRDefault="00B91C70" w:rsidP="00B91C70">
            <w:pPr>
              <w:jc w:val="both"/>
            </w:pPr>
            <w:r>
              <w:tab/>
              <w:t>- цена сделки;</w:t>
            </w:r>
          </w:p>
          <w:p w14:paraId="502A1C53" w14:textId="77777777" w:rsidR="00B91C70" w:rsidRDefault="00B91C70" w:rsidP="00B91C70">
            <w:pPr>
              <w:jc w:val="both"/>
            </w:pPr>
            <w:r>
              <w:tab/>
              <w:t>- фамилия, имя, отчество физического лица или наименование юридического лица победителя.</w:t>
            </w:r>
          </w:p>
          <w:p w14:paraId="7A8D6D4C" w14:textId="0326EDD2" w:rsidR="00B91C70" w:rsidRDefault="00B91C70" w:rsidP="00B91C70">
            <w:pPr>
              <w:jc w:val="both"/>
            </w:pPr>
            <w:r>
              <w:lastRenderedPageBreak/>
              <w:tab/>
              <w:t>Продажа имущества посредством публичного предложения признается несостоявшейся в следующих случаях:</w:t>
            </w:r>
          </w:p>
          <w:p w14:paraId="1EA6F1F3" w14:textId="77777777" w:rsidR="00B91C70" w:rsidRDefault="00B91C70" w:rsidP="00B91C70">
            <w:pPr>
              <w:jc w:val="both"/>
            </w:pPr>
            <w:r>
              <w:tab/>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59CBC24" w14:textId="77777777" w:rsidR="00B91C70" w:rsidRDefault="00B91C70" w:rsidP="00B91C70">
            <w:pPr>
              <w:jc w:val="both"/>
            </w:pPr>
            <w:r>
              <w:tab/>
              <w:t>б) принято решение о признании только одного претендента участником;</w:t>
            </w:r>
          </w:p>
          <w:p w14:paraId="68EA61C8" w14:textId="77777777" w:rsidR="00B91C70" w:rsidRDefault="00B91C70" w:rsidP="00B91C70">
            <w:pPr>
              <w:jc w:val="both"/>
            </w:pPr>
            <w:r>
              <w:tab/>
              <w:t>в) ни один из участников не сделал предложение о цене имущества при достижении минимальной цены продажи (цены отсечения) имущества. </w:t>
            </w:r>
          </w:p>
          <w:p w14:paraId="02B6120C" w14:textId="6097E664" w:rsidR="00B91C70" w:rsidRDefault="00B91C70" w:rsidP="00B91C70">
            <w:pPr>
              <w:jc w:val="both"/>
            </w:pPr>
            <w:r>
              <w:tab/>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0DDEC8A" w14:textId="14376A27" w:rsidR="00B91C70" w:rsidRPr="00FE2744" w:rsidRDefault="00B91C70" w:rsidP="00B91C70">
            <w:pPr>
              <w:jc w:val="both"/>
            </w:pPr>
            <w:r>
              <w:tab/>
              <w:t xml:space="preserve">Протокол об итогах </w:t>
            </w:r>
            <w:proofErr w:type="gramStart"/>
            <w:r>
              <w:t>продажи  размещается</w:t>
            </w:r>
            <w:proofErr w:type="gramEnd"/>
            <w:r>
              <w:t xml:space="preserve"> в закрытой части электронной площадки в срок не позднее следующего рабочего дня с момента его подписания. </w:t>
            </w:r>
          </w:p>
        </w:tc>
      </w:tr>
      <w:tr w:rsidR="00B91C70" w14:paraId="11BDAD47" w14:textId="77777777" w:rsidTr="00D90298">
        <w:tc>
          <w:tcPr>
            <w:tcW w:w="3085" w:type="dxa"/>
            <w:vAlign w:val="center"/>
          </w:tcPr>
          <w:p w14:paraId="28B6A6B6" w14:textId="77777777" w:rsidR="00B91C70" w:rsidRDefault="00B91C70" w:rsidP="00B91C70">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14:paraId="022651F0" w14:textId="79F4A537" w:rsidR="00B91C70" w:rsidRDefault="00B91C70" w:rsidP="00B91C70">
            <w:pPr>
              <w:tabs>
                <w:tab w:val="left" w:pos="284"/>
              </w:tabs>
              <w:jc w:val="both"/>
            </w:pPr>
            <w:r>
              <w:t xml:space="preserve">В течение пяти рабочих дней с даты подведения итогов аукциона с победителем аукциона заключается договор купли-продажи в форме электронного документа. </w:t>
            </w:r>
          </w:p>
          <w:p w14:paraId="1322120C" w14:textId="77777777" w:rsidR="00B91C70" w:rsidRPr="00A05FF8" w:rsidRDefault="00B91C70" w:rsidP="00B91C7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14:paraId="1D1B1022" w14:textId="77777777" w:rsidR="00B91C70" w:rsidRDefault="00B91C70" w:rsidP="00B91C7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3246B48E" w14:textId="77777777" w:rsidR="00B91C70" w:rsidRPr="00A05FF8" w:rsidRDefault="00B91C70" w:rsidP="00B91C7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54E026E3" w14:textId="77777777" w:rsidR="00B91C70" w:rsidRPr="008E672C" w:rsidRDefault="00B91C70" w:rsidP="00B91C70">
            <w:pPr>
              <w:ind w:firstLine="567"/>
              <w:jc w:val="both"/>
              <w:rPr>
                <w:u w:val="single"/>
              </w:rPr>
            </w:pPr>
            <w:r w:rsidRPr="008E672C">
              <w:rPr>
                <w:b/>
                <w:u w:val="single"/>
              </w:rPr>
              <w:t>Юридические лица:</w:t>
            </w:r>
            <w:r w:rsidRPr="008E672C">
              <w:rPr>
                <w:u w:val="single"/>
              </w:rPr>
              <w:t xml:space="preserve"> </w:t>
            </w:r>
          </w:p>
          <w:p w14:paraId="3640A4E3"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69026ACF" w14:textId="77777777" w:rsidR="00B91C70" w:rsidRPr="008E672C" w:rsidRDefault="00B91C70" w:rsidP="00B91C70">
            <w:pPr>
              <w:jc w:val="both"/>
            </w:pPr>
            <w:r w:rsidRPr="008E672C">
              <w:t>Единый казначейский счет: № 40102810245370000007 (К/С)</w:t>
            </w:r>
          </w:p>
          <w:p w14:paraId="1CC878F1" w14:textId="77777777" w:rsidR="00B91C70" w:rsidRPr="008E672C" w:rsidRDefault="00B91C70" w:rsidP="00B91C70">
            <w:pPr>
              <w:jc w:val="both"/>
            </w:pPr>
            <w:r w:rsidRPr="008E672C">
              <w:t>Номер казначейского счета: №03100643000000018700 (Р/С)</w:t>
            </w:r>
          </w:p>
          <w:p w14:paraId="51D4850D"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610112D8"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013CE17B" w14:textId="77777777" w:rsidR="00B91C70" w:rsidRPr="008E672C" w:rsidRDefault="00B91C70" w:rsidP="00B91C70">
            <w:pPr>
              <w:jc w:val="both"/>
              <w:rPr>
                <w:color w:val="FF0000"/>
              </w:rPr>
            </w:pPr>
            <w:r w:rsidRPr="008E672C">
              <w:t>ОКТМО 718718000,</w:t>
            </w:r>
            <w:r w:rsidRPr="008E672C">
              <w:rPr>
                <w:color w:val="FF0000"/>
              </w:rPr>
              <w:t xml:space="preserve"> </w:t>
            </w:r>
          </w:p>
          <w:p w14:paraId="17A2EC93" w14:textId="77777777" w:rsidR="00B91C70" w:rsidRPr="008E672C" w:rsidRDefault="00B91C70" w:rsidP="00B91C70">
            <w:pPr>
              <w:jc w:val="both"/>
            </w:pPr>
            <w:r w:rsidRPr="008E672C">
              <w:t xml:space="preserve">ИНН 8619005023, </w:t>
            </w:r>
          </w:p>
          <w:p w14:paraId="605A826B" w14:textId="77777777" w:rsidR="00B91C70" w:rsidRPr="008E672C" w:rsidRDefault="00B91C70" w:rsidP="00B91C70">
            <w:pPr>
              <w:jc w:val="both"/>
            </w:pPr>
            <w:r w:rsidRPr="008E672C">
              <w:t xml:space="preserve">КПП 861901001, </w:t>
            </w:r>
          </w:p>
          <w:p w14:paraId="0B4A1F00"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3593EFCF" w14:textId="77777777" w:rsidR="00B91C70" w:rsidRPr="008E672C" w:rsidRDefault="00B91C70" w:rsidP="00B91C70">
            <w:pPr>
              <w:jc w:val="both"/>
            </w:pPr>
            <w:r w:rsidRPr="008E672C">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14:paraId="0763A382" w14:textId="77777777" w:rsidR="00B91C70" w:rsidRPr="008E672C" w:rsidRDefault="00B91C70" w:rsidP="00B91C70">
            <w:pPr>
              <w:ind w:firstLine="709"/>
              <w:jc w:val="both"/>
              <w:rPr>
                <w:u w:val="single"/>
              </w:rPr>
            </w:pPr>
            <w:r w:rsidRPr="008E672C">
              <w:rPr>
                <w:b/>
                <w:u w:val="single"/>
              </w:rPr>
              <w:t>Физические лица:</w:t>
            </w:r>
            <w:r w:rsidRPr="008E672C">
              <w:rPr>
                <w:u w:val="single"/>
              </w:rPr>
              <w:t xml:space="preserve"> </w:t>
            </w:r>
          </w:p>
          <w:p w14:paraId="14845466"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33A679F0" w14:textId="77777777" w:rsidR="00B91C70" w:rsidRPr="008E672C" w:rsidRDefault="00B91C70" w:rsidP="00B91C70">
            <w:pPr>
              <w:jc w:val="both"/>
            </w:pPr>
            <w:r w:rsidRPr="008E672C">
              <w:t>Единый казначейский счет: № 40102810245370000007 (К/С)</w:t>
            </w:r>
          </w:p>
          <w:p w14:paraId="14A0BE76" w14:textId="77777777" w:rsidR="00B91C70" w:rsidRPr="008E672C" w:rsidRDefault="00B91C70" w:rsidP="00B91C70">
            <w:pPr>
              <w:jc w:val="both"/>
            </w:pPr>
            <w:r w:rsidRPr="008E672C">
              <w:t>Номер казначейского счета: №03100643000000018700 (Р/С)</w:t>
            </w:r>
          </w:p>
          <w:p w14:paraId="75B77946"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1AB46C6A"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16AFED43" w14:textId="77777777" w:rsidR="00B91C70" w:rsidRPr="008E672C" w:rsidRDefault="00B91C70" w:rsidP="00B91C70">
            <w:pPr>
              <w:jc w:val="both"/>
              <w:rPr>
                <w:color w:val="FF0000"/>
              </w:rPr>
            </w:pPr>
            <w:r w:rsidRPr="008E672C">
              <w:t>ОКТМО 718718000,</w:t>
            </w:r>
            <w:r w:rsidRPr="008E672C">
              <w:rPr>
                <w:color w:val="FF0000"/>
              </w:rPr>
              <w:t xml:space="preserve"> </w:t>
            </w:r>
          </w:p>
          <w:p w14:paraId="762DD324" w14:textId="77777777" w:rsidR="00B91C70" w:rsidRPr="008E672C" w:rsidRDefault="00B91C70" w:rsidP="00B91C70">
            <w:pPr>
              <w:jc w:val="both"/>
            </w:pPr>
            <w:r w:rsidRPr="008E672C">
              <w:t xml:space="preserve">ИНН 8619005023, </w:t>
            </w:r>
          </w:p>
          <w:p w14:paraId="570A07EF" w14:textId="77777777" w:rsidR="00B91C70" w:rsidRPr="008E672C" w:rsidRDefault="00B91C70" w:rsidP="00B91C70">
            <w:pPr>
              <w:jc w:val="both"/>
            </w:pPr>
            <w:r w:rsidRPr="008E672C">
              <w:t xml:space="preserve">КПП 861901001, </w:t>
            </w:r>
          </w:p>
          <w:p w14:paraId="36DF3F68"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2D903B9E" w14:textId="77777777" w:rsidR="00B91C70" w:rsidRPr="008E672C" w:rsidRDefault="00B91C70" w:rsidP="00B91C70">
            <w:pPr>
              <w:ind w:firstLine="709"/>
              <w:jc w:val="both"/>
            </w:pPr>
            <w:r w:rsidRPr="008E672C">
              <w:t>-плата НДС производится физическим лицом:</w:t>
            </w:r>
          </w:p>
          <w:p w14:paraId="114BF724" w14:textId="77777777" w:rsidR="00B91C70" w:rsidRPr="008E672C" w:rsidRDefault="00B91C70" w:rsidP="00B91C70">
            <w:pPr>
              <w:ind w:firstLine="567"/>
              <w:jc w:val="both"/>
            </w:pPr>
            <w:r w:rsidRPr="008E672C">
              <w:lastRenderedPageBreak/>
              <w:t xml:space="preserve"> 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2A54D248" w14:textId="77777777" w:rsidR="00B91C70" w:rsidRPr="008E672C" w:rsidRDefault="00B91C70" w:rsidP="00B91C70">
            <w:pPr>
              <w:jc w:val="both"/>
            </w:pPr>
            <w:r w:rsidRPr="008E672C">
              <w:t>Единый казначейский счет: № 40102810245370000007 (К/С)</w:t>
            </w:r>
          </w:p>
          <w:p w14:paraId="1313E276" w14:textId="77777777" w:rsidR="00B91C70" w:rsidRPr="008E672C" w:rsidRDefault="00B91C70" w:rsidP="00B91C70">
            <w:pPr>
              <w:jc w:val="both"/>
            </w:pPr>
            <w:r w:rsidRPr="008E672C">
              <w:t>Номер казначейского счета: №03100643000000018700 (Р/С)</w:t>
            </w:r>
          </w:p>
          <w:p w14:paraId="7CE37539"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3D14F9ED" w14:textId="77777777" w:rsidR="00B91C70" w:rsidRPr="008E672C" w:rsidRDefault="00B91C70" w:rsidP="00B91C70">
            <w:pPr>
              <w:jc w:val="both"/>
              <w:rPr>
                <w:color w:val="FF0000"/>
              </w:rPr>
            </w:pPr>
            <w:r w:rsidRPr="008E672C">
              <w:t>БИК 047162000,</w:t>
            </w:r>
            <w:r w:rsidRPr="008E672C">
              <w:rPr>
                <w:color w:val="FF0000"/>
              </w:rPr>
              <w:t xml:space="preserve"> </w:t>
            </w:r>
          </w:p>
          <w:p w14:paraId="68C4DA6D" w14:textId="77777777" w:rsidR="00B91C70" w:rsidRPr="008E672C" w:rsidRDefault="00B91C70" w:rsidP="00B91C70">
            <w:pPr>
              <w:jc w:val="both"/>
              <w:rPr>
                <w:color w:val="FF0000"/>
              </w:rPr>
            </w:pPr>
            <w:r w:rsidRPr="008E672C">
              <w:t>ОКТМО 718718000,</w:t>
            </w:r>
            <w:r w:rsidRPr="008E672C">
              <w:rPr>
                <w:color w:val="FF0000"/>
              </w:rPr>
              <w:t xml:space="preserve"> </w:t>
            </w:r>
          </w:p>
          <w:p w14:paraId="62FC85ED" w14:textId="77777777" w:rsidR="00B91C70" w:rsidRPr="008E672C" w:rsidRDefault="00B91C70" w:rsidP="00B91C70">
            <w:pPr>
              <w:jc w:val="both"/>
            </w:pPr>
            <w:r w:rsidRPr="008E672C">
              <w:t xml:space="preserve">ИНН 8619005023, </w:t>
            </w:r>
          </w:p>
          <w:p w14:paraId="0CAAB862" w14:textId="77777777" w:rsidR="00B91C70" w:rsidRPr="008E672C" w:rsidRDefault="00B91C70" w:rsidP="00B91C70">
            <w:pPr>
              <w:jc w:val="both"/>
            </w:pPr>
            <w:r w:rsidRPr="008E672C">
              <w:t xml:space="preserve">КПП 861901001, </w:t>
            </w:r>
          </w:p>
          <w:p w14:paraId="0C702E91" w14:textId="77777777" w:rsidR="00B91C70" w:rsidRPr="00723430" w:rsidRDefault="00B91C70" w:rsidP="00B91C70">
            <w:pPr>
              <w:jc w:val="both"/>
            </w:pPr>
            <w:proofErr w:type="gramStart"/>
            <w:r w:rsidRPr="008E672C">
              <w:t>КБК  070</w:t>
            </w:r>
            <w:proofErr w:type="gramEnd"/>
            <w:r w:rsidRPr="008E672C">
              <w:t xml:space="preserve"> 1 170 505 005 0000 180. Назначение платежа: сумма НДС по договору купли-продажи.</w:t>
            </w:r>
          </w:p>
          <w:p w14:paraId="6A9EEAD3" w14:textId="77777777" w:rsidR="00B91C70" w:rsidRPr="00723430" w:rsidRDefault="00B91C70" w:rsidP="00B91C70">
            <w:pPr>
              <w:jc w:val="both"/>
            </w:pPr>
            <w:r w:rsidRPr="00723430">
              <w:t>Оплата НДС в налоговый орган производится Департаментом имущественных отношений Нефтеюганского района, в соответствии с действующим законодательством Российской Федерации.</w:t>
            </w:r>
          </w:p>
          <w:p w14:paraId="6DA38CC5" w14:textId="5ED27A2E" w:rsidR="00B91C70" w:rsidRPr="00A05FF8" w:rsidRDefault="00B91C70" w:rsidP="00B91C70">
            <w:pPr>
              <w:tabs>
                <w:tab w:val="left" w:pos="0"/>
                <w:tab w:val="left" w:pos="284"/>
              </w:tabs>
              <w:jc w:val="both"/>
            </w:pPr>
            <w:r w:rsidRPr="00A05FF8">
              <w:t>Задаток, перечи</w:t>
            </w:r>
            <w:r>
              <w:t>сл</w:t>
            </w:r>
            <w:r w:rsidRPr="00A05FF8">
              <w:t xml:space="preserve">енный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365C65E4" w14:textId="77777777" w:rsidR="00B91C70" w:rsidRPr="00BF7D87" w:rsidRDefault="00B91C70" w:rsidP="00B91C70">
            <w:pPr>
              <w:jc w:val="both"/>
            </w:pPr>
            <w:r w:rsidRPr="00A05FF8">
              <w:t xml:space="preserve">Факт оплаты имущества подтверждается выпиской со счета </w:t>
            </w:r>
            <w:r>
              <w:t xml:space="preserve">продавца </w:t>
            </w:r>
            <w:r w:rsidRPr="00A05FF8">
              <w:t xml:space="preserve">о поступлении средств в размере и сроки, указанные в договоре купли-продажи. </w:t>
            </w:r>
          </w:p>
        </w:tc>
      </w:tr>
      <w:tr w:rsidR="00B91C70" w14:paraId="335D493B" w14:textId="77777777" w:rsidTr="00D90298">
        <w:tc>
          <w:tcPr>
            <w:tcW w:w="3085" w:type="dxa"/>
            <w:vAlign w:val="center"/>
          </w:tcPr>
          <w:p w14:paraId="34AD4147" w14:textId="77777777" w:rsidR="00B91C70" w:rsidRDefault="00B91C70" w:rsidP="00B91C70">
            <w:pPr>
              <w:tabs>
                <w:tab w:val="left" w:pos="142"/>
                <w:tab w:val="left" w:pos="720"/>
              </w:tabs>
              <w:ind w:right="118"/>
            </w:pPr>
            <w:r>
              <w:lastRenderedPageBreak/>
              <w:t>Порядок определения победителей</w:t>
            </w:r>
          </w:p>
        </w:tc>
        <w:tc>
          <w:tcPr>
            <w:tcW w:w="6804" w:type="dxa"/>
            <w:vAlign w:val="center"/>
          </w:tcPr>
          <w:p w14:paraId="75AE1B61" w14:textId="77777777" w:rsidR="00B91C70" w:rsidRPr="00A05FF8" w:rsidRDefault="00B91C70" w:rsidP="00B91C70">
            <w:pPr>
              <w:tabs>
                <w:tab w:val="left" w:pos="284"/>
              </w:tabs>
              <w:jc w:val="both"/>
            </w:pPr>
            <w:r>
              <w:t>Победителем признается участник, предложивший наиболее высокую цену</w:t>
            </w:r>
          </w:p>
        </w:tc>
      </w:tr>
      <w:tr w:rsidR="00B91C70" w14:paraId="2AF52E49" w14:textId="77777777" w:rsidTr="00D90298">
        <w:tc>
          <w:tcPr>
            <w:tcW w:w="3085" w:type="dxa"/>
            <w:vAlign w:val="center"/>
          </w:tcPr>
          <w:p w14:paraId="1CCF32FA" w14:textId="0043290B" w:rsidR="00B91C70" w:rsidRDefault="00B91C70" w:rsidP="00B91C70">
            <w:pPr>
              <w:tabs>
                <w:tab w:val="left" w:pos="142"/>
                <w:tab w:val="left" w:pos="720"/>
              </w:tabs>
              <w:ind w:right="118"/>
            </w:pPr>
            <w:r>
              <w:t>Отмена и приостановление продажи</w:t>
            </w:r>
          </w:p>
        </w:tc>
        <w:tc>
          <w:tcPr>
            <w:tcW w:w="6804" w:type="dxa"/>
            <w:vAlign w:val="center"/>
          </w:tcPr>
          <w:p w14:paraId="53E372CA" w14:textId="77777777" w:rsidR="00B91C70" w:rsidRPr="000F2F2D" w:rsidRDefault="00B91C70" w:rsidP="00B91C70">
            <w:pPr>
              <w:jc w:val="both"/>
            </w:pPr>
            <w:r w:rsidRPr="000F2F2D">
              <w:t>Продавец вправе отменить аукцион не позднее чем за 3 (три) дня до даты проведения аукциона.</w:t>
            </w:r>
          </w:p>
          <w:p w14:paraId="57B7A4A5" w14:textId="60EF5E1F" w:rsidR="00B91C70" w:rsidRPr="000F2F2D" w:rsidRDefault="00B91C70" w:rsidP="00B91C70">
            <w:pPr>
              <w:jc w:val="both"/>
            </w:pPr>
            <w:r w:rsidRPr="000F2F2D">
              <w:t xml:space="preserve">Решение об отмене аукциона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5"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16" w:history="1">
              <w:r w:rsidRPr="000F2F2D">
                <w:rPr>
                  <w:rStyle w:val="a3"/>
                </w:rPr>
                <w:t>torgi.gov.ru</w:t>
              </w:r>
            </w:hyperlink>
            <w:r w:rsidRPr="000F2F2D">
              <w:t xml:space="preserve">, на официальном сайте Продавца </w:t>
            </w:r>
            <w:r w:rsidRPr="00AA0EF3">
              <w:t>admoil.gosuslugi.ru</w:t>
            </w:r>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3B34320C" w14:textId="77777777" w:rsidR="00B91C70" w:rsidRPr="000F2F2D" w:rsidRDefault="00B91C70" w:rsidP="00B91C70">
            <w:pPr>
              <w:jc w:val="both"/>
            </w:pPr>
            <w:r w:rsidRPr="000F2F2D">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C70C39C" w14:textId="77777777" w:rsidR="00B91C70" w:rsidRPr="000F2F2D" w:rsidRDefault="00B91C70" w:rsidP="00B91C70">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D0D1BEC" w14:textId="77777777" w:rsidR="00B91C70" w:rsidRPr="000F2F2D" w:rsidRDefault="00B91C70" w:rsidP="00B91C70">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CB12B1" w14:paraId="69ACEE0C" w14:textId="77777777" w:rsidTr="00D90298">
        <w:tc>
          <w:tcPr>
            <w:tcW w:w="3085" w:type="dxa"/>
            <w:vAlign w:val="center"/>
          </w:tcPr>
          <w:p w14:paraId="2A353D9E" w14:textId="77777777" w:rsidR="00CB12B1" w:rsidRPr="009F247E" w:rsidRDefault="00CB12B1" w:rsidP="00CB12B1">
            <w:pPr>
              <w:jc w:val="both"/>
            </w:pPr>
            <w:r w:rsidRPr="009F247E">
              <w:t>Сведения об установлении обременения имущества публичным сервитутом и (или) ограничениями, предусмотренными федеральными законами</w:t>
            </w:r>
          </w:p>
          <w:p w14:paraId="16A60AEA" w14:textId="77777777" w:rsidR="00CB12B1" w:rsidRDefault="00CB12B1" w:rsidP="00B91C70">
            <w:pPr>
              <w:tabs>
                <w:tab w:val="left" w:pos="142"/>
                <w:tab w:val="left" w:pos="720"/>
              </w:tabs>
              <w:ind w:right="118"/>
            </w:pPr>
          </w:p>
        </w:tc>
        <w:tc>
          <w:tcPr>
            <w:tcW w:w="6804" w:type="dxa"/>
            <w:vAlign w:val="center"/>
          </w:tcPr>
          <w:p w14:paraId="4D37E206" w14:textId="77777777" w:rsidR="00CB12B1" w:rsidRPr="009F247E" w:rsidRDefault="00CB12B1" w:rsidP="00CB12B1">
            <w:pPr>
              <w:ind w:firstLine="708"/>
              <w:jc w:val="both"/>
            </w:pPr>
            <w:r w:rsidRPr="009F247E">
              <w:t>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73E6EE52" w14:textId="77777777" w:rsidR="00CB12B1" w:rsidRPr="009F247E" w:rsidRDefault="00CB12B1" w:rsidP="00CB12B1">
            <w:pPr>
              <w:ind w:firstLine="708"/>
              <w:jc w:val="both"/>
            </w:pPr>
            <w:r w:rsidRPr="009F247E">
              <w:t>-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не должен превышать установленный действующим законодательством;</w:t>
            </w:r>
          </w:p>
          <w:p w14:paraId="7D51C070" w14:textId="77777777" w:rsidR="00CB12B1" w:rsidRPr="009F247E" w:rsidRDefault="00CB12B1" w:rsidP="00CB12B1">
            <w:pPr>
              <w:ind w:firstLine="708"/>
              <w:jc w:val="both"/>
            </w:pPr>
            <w:r w:rsidRPr="009F247E">
              <w:t>- по истечении срока полезного использования при условии необходимости строительства, реконструкции и (или) модернизации объектов включить их в инвестиционную программу Покупателя в соответствии с требованиями Федерального закона от 26.03.2003 № 35-ФЗ «Об электроэнергетике»;</w:t>
            </w:r>
          </w:p>
          <w:p w14:paraId="4450843F" w14:textId="77777777" w:rsidR="00CB12B1" w:rsidRPr="009F247E" w:rsidRDefault="00CB12B1" w:rsidP="00CB12B1">
            <w:pPr>
              <w:ind w:firstLine="708"/>
              <w:jc w:val="both"/>
            </w:pPr>
            <w:r w:rsidRPr="009F247E">
              <w:t xml:space="preserve">- обеспечить эксплуатацию объектов в соответствии с Приказом Минэнерго России от 04.10.2022 № 1070 «Об утверждении Правил </w:t>
            </w:r>
            <w:r w:rsidRPr="009F247E">
              <w:lastRenderedPageBreak/>
              <w:t>технической эксплуатации электрических станций и сетей Российской Федерации и о внесении изменений в приказы Минэнерго России от 13 сентября 2018 г. № 757, от 12 июля 2018 г. N 548»;</w:t>
            </w:r>
          </w:p>
          <w:p w14:paraId="5FEE2C97" w14:textId="77777777" w:rsidR="00CB12B1" w:rsidRPr="009F247E" w:rsidRDefault="00CB12B1" w:rsidP="00CB12B1">
            <w:pPr>
              <w:ind w:firstLine="708"/>
              <w:jc w:val="both"/>
            </w:pPr>
            <w:r w:rsidRPr="009F247E">
              <w:t>- обеспечить электроснабжение потребителей с соблюдением требований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и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w:t>
            </w:r>
          </w:p>
          <w:p w14:paraId="4F31968A" w14:textId="77777777" w:rsidR="00CB12B1" w:rsidRPr="009F247E" w:rsidRDefault="00CB12B1" w:rsidP="00CB12B1">
            <w:pPr>
              <w:autoSpaceDE w:val="0"/>
              <w:autoSpaceDN w:val="0"/>
              <w:adjustRightInd w:val="0"/>
              <w:ind w:firstLine="708"/>
              <w:jc w:val="both"/>
            </w:pPr>
            <w:r w:rsidRPr="009F247E">
              <w:t>- обеспечить выполнение требований к качеству электроэнергии согласно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введенному в действие Приказом Росстандарта от 22 июля 2013 года № 400-ст.</w:t>
            </w:r>
          </w:p>
          <w:p w14:paraId="2D46C341" w14:textId="77777777" w:rsidR="00CB12B1" w:rsidRPr="009F247E" w:rsidRDefault="00CB12B1" w:rsidP="00CB12B1">
            <w:pPr>
              <w:autoSpaceDE w:val="0"/>
              <w:autoSpaceDN w:val="0"/>
              <w:adjustRightInd w:val="0"/>
              <w:ind w:firstLine="709"/>
              <w:jc w:val="both"/>
            </w:pPr>
            <w:r w:rsidRPr="009F247E">
              <w:t>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w:t>
            </w:r>
          </w:p>
          <w:p w14:paraId="7AFD7CE2" w14:textId="1212A309" w:rsidR="00CB12B1" w:rsidRPr="000F2F2D" w:rsidRDefault="00CB12B1" w:rsidP="00CB12B1">
            <w:pPr>
              <w:autoSpaceDE w:val="0"/>
              <w:autoSpaceDN w:val="0"/>
              <w:adjustRightInd w:val="0"/>
              <w:ind w:firstLine="709"/>
              <w:jc w:val="both"/>
            </w:pPr>
            <w:r w:rsidRPr="009F247E">
              <w:t>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w:t>
            </w:r>
          </w:p>
        </w:tc>
      </w:tr>
      <w:tr w:rsidR="00B91C70" w14:paraId="2B86A9D4" w14:textId="77777777" w:rsidTr="00D90298">
        <w:tc>
          <w:tcPr>
            <w:tcW w:w="3085" w:type="dxa"/>
            <w:vAlign w:val="center"/>
          </w:tcPr>
          <w:p w14:paraId="1AFD829C" w14:textId="36860CF4" w:rsidR="00B91C70" w:rsidRDefault="00B91C70" w:rsidP="00B91C70">
            <w:pPr>
              <w:tabs>
                <w:tab w:val="left" w:pos="142"/>
                <w:tab w:val="left" w:pos="720"/>
              </w:tabs>
              <w:ind w:right="118"/>
            </w:pPr>
            <w:r>
              <w:lastRenderedPageBreak/>
              <w:t>Сведения о предыдущих продажах имущества, объявленных в течение года, предшествующего его продаже</w:t>
            </w:r>
          </w:p>
        </w:tc>
        <w:tc>
          <w:tcPr>
            <w:tcW w:w="6804" w:type="dxa"/>
            <w:vAlign w:val="center"/>
          </w:tcPr>
          <w:p w14:paraId="0A885738" w14:textId="574E0628" w:rsidR="00B91C70" w:rsidRDefault="00B91C70" w:rsidP="00B91C70">
            <w:pPr>
              <w:tabs>
                <w:tab w:val="left" w:pos="142"/>
              </w:tabs>
              <w:ind w:right="118"/>
            </w:pPr>
            <w:r w:rsidRPr="0027536A">
              <w:t>Аукцион назначенны</w:t>
            </w:r>
            <w:r>
              <w:t>й</w:t>
            </w:r>
            <w:r w:rsidRPr="0027536A">
              <w:t xml:space="preserve"> на </w:t>
            </w:r>
            <w:r w:rsidR="00446FC9">
              <w:t>1</w:t>
            </w:r>
            <w:r w:rsidR="009A0737">
              <w:t>4</w:t>
            </w:r>
            <w:r w:rsidRPr="0027536A">
              <w:t>.0</w:t>
            </w:r>
            <w:r>
              <w:t>8</w:t>
            </w:r>
            <w:r w:rsidRPr="0027536A">
              <w:t>.2024 признан несостоявшимся ввиду отсутствия заявок (протокол заседания комиссии по приватизации муниципального имущества муниципального образования Нефтеюганский район от</w:t>
            </w:r>
            <w:r>
              <w:t xml:space="preserve"> </w:t>
            </w:r>
            <w:r w:rsidR="009A0737">
              <w:t>12</w:t>
            </w:r>
            <w:r>
              <w:t>.08.2024 №1</w:t>
            </w:r>
            <w:r w:rsidR="009A0737">
              <w:t>7</w:t>
            </w:r>
            <w:r w:rsidRPr="0027536A">
              <w:t>).</w:t>
            </w:r>
          </w:p>
        </w:tc>
      </w:tr>
    </w:tbl>
    <w:p w14:paraId="682E037A" w14:textId="77777777" w:rsidR="00F77477" w:rsidRDefault="00F77477" w:rsidP="00D90298">
      <w:pPr>
        <w:rPr>
          <w:b/>
        </w:rPr>
      </w:pPr>
    </w:p>
    <w:p w14:paraId="48485AE0" w14:textId="77777777" w:rsidR="00323776" w:rsidRDefault="00323776" w:rsidP="00323776">
      <w:pPr>
        <w:tabs>
          <w:tab w:val="left" w:pos="284"/>
        </w:tabs>
        <w:ind w:firstLine="709"/>
        <w:jc w:val="both"/>
      </w:pPr>
    </w:p>
    <w:p w14:paraId="1AD3315F" w14:textId="77777777" w:rsidR="003A4C32" w:rsidRDefault="003A4C32" w:rsidP="00660EEE">
      <w:pPr>
        <w:tabs>
          <w:tab w:val="left" w:pos="142"/>
          <w:tab w:val="left" w:pos="720"/>
        </w:tabs>
        <w:ind w:right="118"/>
        <w:jc w:val="both"/>
      </w:pPr>
    </w:p>
    <w:p w14:paraId="3319D5DD" w14:textId="77777777" w:rsidR="003A4C32" w:rsidRDefault="003A4C32" w:rsidP="00660EEE">
      <w:pPr>
        <w:tabs>
          <w:tab w:val="left" w:pos="142"/>
          <w:tab w:val="left" w:pos="720"/>
        </w:tabs>
        <w:ind w:right="118"/>
        <w:jc w:val="both"/>
      </w:pPr>
    </w:p>
    <w:p w14:paraId="012E5CA6"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6AA50C37" w14:textId="77777777" w:rsidR="007F25FD" w:rsidRDefault="007F25FD" w:rsidP="007F25FD">
      <w:pPr>
        <w:widowControl w:val="0"/>
        <w:jc w:val="center"/>
        <w:rPr>
          <w:rFonts w:ascii="Arial" w:hAnsi="Arial" w:cs="Arial"/>
          <w:b/>
          <w:bCs/>
          <w:sz w:val="22"/>
          <w:szCs w:val="22"/>
        </w:rPr>
      </w:pPr>
    </w:p>
    <w:p w14:paraId="58D297DC" w14:textId="77777777" w:rsidR="007F25FD" w:rsidRDefault="007F25FD" w:rsidP="007F25FD">
      <w:pPr>
        <w:widowControl w:val="0"/>
        <w:jc w:val="center"/>
        <w:rPr>
          <w:b/>
          <w:bCs/>
          <w:sz w:val="22"/>
          <w:szCs w:val="22"/>
        </w:rPr>
      </w:pPr>
    </w:p>
    <w:p w14:paraId="63829442" w14:textId="77777777" w:rsidR="00B91C70" w:rsidRPr="007F25FD" w:rsidRDefault="00B91C70" w:rsidP="00B91C70">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237EA290" w14:textId="77777777" w:rsidR="00B91C70" w:rsidRDefault="00B91C70" w:rsidP="00B91C70">
      <w:pPr>
        <w:widowControl w:val="0"/>
        <w:jc w:val="center"/>
        <w:rPr>
          <w:sz w:val="22"/>
          <w:szCs w:val="22"/>
        </w:rPr>
      </w:pPr>
      <w:r w:rsidRPr="007F25FD">
        <w:rPr>
          <w:sz w:val="22"/>
          <w:szCs w:val="22"/>
        </w:rPr>
        <w:t xml:space="preserve">представляемых для участия в </w:t>
      </w:r>
      <w:r>
        <w:rPr>
          <w:sz w:val="22"/>
          <w:szCs w:val="22"/>
        </w:rPr>
        <w:t>продаже посредством публичного предложения</w:t>
      </w:r>
      <w:r w:rsidRPr="007F25FD">
        <w:rPr>
          <w:sz w:val="22"/>
          <w:szCs w:val="22"/>
        </w:rPr>
        <w:t xml:space="preserve"> в электронной форме </w:t>
      </w:r>
    </w:p>
    <w:p w14:paraId="4C2F3F16" w14:textId="77777777" w:rsidR="00B91C70" w:rsidRPr="007F25FD" w:rsidRDefault="00B91C70" w:rsidP="00B91C70">
      <w:pPr>
        <w:widowControl w:val="0"/>
        <w:jc w:val="center"/>
        <w:rPr>
          <w:b/>
          <w:bCs/>
          <w:sz w:val="24"/>
          <w:szCs w:val="24"/>
        </w:rPr>
      </w:pPr>
    </w:p>
    <w:p w14:paraId="4B94017D"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Pr>
          <w:rFonts w:eastAsia="Calibri"/>
          <w:sz w:val="26"/>
          <w:szCs w:val="22"/>
          <w:lang w:eastAsia="en-US"/>
        </w:rPr>
        <w:t>______</w:t>
      </w:r>
      <w:r w:rsidRPr="007F25FD">
        <w:rPr>
          <w:rFonts w:eastAsia="Calibri"/>
          <w:sz w:val="26"/>
          <w:szCs w:val="22"/>
          <w:lang w:eastAsia="en-US"/>
        </w:rPr>
        <w:t>_____</w:t>
      </w:r>
    </w:p>
    <w:p w14:paraId="0809F1B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008B33D5"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Pr>
          <w:sz w:val="22"/>
          <w:szCs w:val="22"/>
        </w:rPr>
        <w:t>продаже посредством публичного предложения</w:t>
      </w:r>
      <w:r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14:paraId="77501BE3"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Pr>
          <w:rFonts w:eastAsia="Calibri"/>
          <w:sz w:val="26"/>
          <w:szCs w:val="22"/>
          <w:lang w:eastAsia="en-US"/>
        </w:rPr>
        <w:t>_________</w:t>
      </w:r>
    </w:p>
    <w:p w14:paraId="574AC56E"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Pr>
          <w:rFonts w:eastAsia="Calibri"/>
          <w:sz w:val="26"/>
          <w:szCs w:val="22"/>
          <w:lang w:eastAsia="en-US"/>
        </w:rPr>
        <w:t>____________________</w:t>
      </w:r>
    </w:p>
    <w:p w14:paraId="6A84FCF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0AE9F1DE" w14:textId="77777777" w:rsidR="00B91C70" w:rsidRPr="007F25FD" w:rsidRDefault="00B91C70" w:rsidP="00B91C70">
      <w:pPr>
        <w:widowControl w:val="0"/>
        <w:jc w:val="both"/>
        <w:rPr>
          <w:sz w:val="22"/>
          <w:szCs w:val="22"/>
        </w:rPr>
      </w:pPr>
      <w:r w:rsidRPr="007F25FD">
        <w:rPr>
          <w:sz w:val="22"/>
          <w:szCs w:val="22"/>
        </w:rPr>
        <w:t xml:space="preserve">направлены </w:t>
      </w:r>
      <w:proofErr w:type="gramStart"/>
      <w:r w:rsidRPr="007F25FD">
        <w:rPr>
          <w:sz w:val="22"/>
          <w:szCs w:val="22"/>
        </w:rPr>
        <w:t>ниже перечисленные</w:t>
      </w:r>
      <w:proofErr w:type="gramEnd"/>
      <w:r w:rsidRPr="007F25FD">
        <w:rPr>
          <w:sz w:val="22"/>
          <w:szCs w:val="22"/>
        </w:rPr>
        <w:t xml:space="preserve"> документы и формы. Документы, предоставленные в составе </w:t>
      </w:r>
      <w:proofErr w:type="gramStart"/>
      <w:r w:rsidRPr="007F25FD">
        <w:rPr>
          <w:sz w:val="22"/>
          <w:szCs w:val="22"/>
        </w:rPr>
        <w:t>заявки,  соответствуют</w:t>
      </w:r>
      <w:proofErr w:type="gramEnd"/>
      <w:r w:rsidRPr="007F25FD">
        <w:rPr>
          <w:sz w:val="22"/>
          <w:szCs w:val="22"/>
        </w:rPr>
        <w:t xml:space="preserve"> описи.</w:t>
      </w:r>
    </w:p>
    <w:p w14:paraId="4BF08C77" w14:textId="77777777" w:rsidR="00B91C70" w:rsidRPr="007F25FD" w:rsidRDefault="00B91C70" w:rsidP="00B91C70">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B91C70" w:rsidRPr="007F25FD" w14:paraId="1FB05077" w14:textId="77777777" w:rsidTr="00AB7140">
        <w:trPr>
          <w:trHeight w:val="887"/>
        </w:trPr>
        <w:tc>
          <w:tcPr>
            <w:tcW w:w="720" w:type="dxa"/>
            <w:tcBorders>
              <w:top w:val="single" w:sz="2" w:space="0" w:color="auto"/>
              <w:left w:val="single" w:sz="2" w:space="0" w:color="auto"/>
              <w:bottom w:val="single" w:sz="2" w:space="0" w:color="auto"/>
              <w:right w:val="single" w:sz="2" w:space="0" w:color="auto"/>
            </w:tcBorders>
          </w:tcPr>
          <w:p w14:paraId="6649A19F"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 </w:t>
            </w:r>
          </w:p>
          <w:p w14:paraId="31CA3C4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3677891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22D34FFD"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B91C70" w:rsidRPr="007F25FD" w14:paraId="7C1E9BE3"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A0B978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39C02B7F"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1C5175BD" w14:textId="77777777" w:rsidR="00B91C70" w:rsidRPr="007F25FD" w:rsidRDefault="00B91C70" w:rsidP="00AB7140">
            <w:pPr>
              <w:rPr>
                <w:rFonts w:eastAsia="Calibri"/>
                <w:sz w:val="22"/>
                <w:szCs w:val="22"/>
                <w:lang w:eastAsia="en-US"/>
              </w:rPr>
            </w:pPr>
          </w:p>
        </w:tc>
      </w:tr>
      <w:tr w:rsidR="00B91C70" w:rsidRPr="007F25FD" w14:paraId="15CF2A6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4F579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7DF1225"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3C7DF52" w14:textId="77777777" w:rsidR="00B91C70" w:rsidRPr="007F25FD" w:rsidRDefault="00B91C70" w:rsidP="00AB7140">
            <w:pPr>
              <w:rPr>
                <w:rFonts w:eastAsia="Calibri"/>
                <w:sz w:val="22"/>
                <w:szCs w:val="22"/>
                <w:lang w:eastAsia="en-US"/>
              </w:rPr>
            </w:pPr>
          </w:p>
        </w:tc>
      </w:tr>
      <w:tr w:rsidR="00B91C70" w:rsidRPr="007F25FD" w14:paraId="4F07AF97"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79979B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65DE6CD1"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21016EE3" w14:textId="77777777" w:rsidR="00B91C70" w:rsidRPr="007F25FD" w:rsidRDefault="00B91C70" w:rsidP="00AB7140">
            <w:pPr>
              <w:rPr>
                <w:rFonts w:eastAsia="Calibri"/>
                <w:sz w:val="22"/>
                <w:szCs w:val="22"/>
                <w:lang w:eastAsia="en-US"/>
              </w:rPr>
            </w:pPr>
          </w:p>
        </w:tc>
      </w:tr>
      <w:tr w:rsidR="00B91C70" w:rsidRPr="007F25FD" w14:paraId="1D0AA97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74E8056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42325B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5369CDD8" w14:textId="77777777" w:rsidR="00B91C70" w:rsidRPr="007F25FD" w:rsidRDefault="00B91C70" w:rsidP="00AB7140">
            <w:pPr>
              <w:rPr>
                <w:rFonts w:eastAsia="Calibri"/>
                <w:sz w:val="22"/>
                <w:szCs w:val="22"/>
                <w:lang w:eastAsia="en-US"/>
              </w:rPr>
            </w:pPr>
          </w:p>
        </w:tc>
      </w:tr>
      <w:tr w:rsidR="00B91C70" w:rsidRPr="007F25FD" w14:paraId="24CD8374"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1322F3"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230A86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FB884DA" w14:textId="77777777" w:rsidR="00B91C70" w:rsidRPr="007F25FD" w:rsidRDefault="00B91C70" w:rsidP="00AB7140">
            <w:pPr>
              <w:rPr>
                <w:rFonts w:eastAsia="Calibri"/>
                <w:sz w:val="22"/>
                <w:szCs w:val="22"/>
                <w:lang w:eastAsia="en-US"/>
              </w:rPr>
            </w:pPr>
          </w:p>
        </w:tc>
      </w:tr>
    </w:tbl>
    <w:p w14:paraId="7B38ADF6" w14:textId="77777777" w:rsidR="00B91C70" w:rsidRPr="007F25FD" w:rsidRDefault="00B91C70" w:rsidP="00B91C70">
      <w:pPr>
        <w:spacing w:after="200" w:line="276" w:lineRule="auto"/>
        <w:jc w:val="both"/>
        <w:rPr>
          <w:rFonts w:eastAsia="Calibri"/>
          <w:sz w:val="16"/>
          <w:szCs w:val="16"/>
          <w:lang w:eastAsia="en-US"/>
        </w:rPr>
      </w:pPr>
    </w:p>
    <w:p w14:paraId="4876B8BE" w14:textId="77777777" w:rsidR="00B91C70" w:rsidRPr="007F25FD" w:rsidRDefault="00B91C70" w:rsidP="00B91C70">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0D9A2CF7" w14:textId="77777777" w:rsidR="00B91C70" w:rsidRPr="007F25FD" w:rsidRDefault="00B91C70" w:rsidP="00B91C70">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6EBBAE55" w14:textId="77777777" w:rsidR="00B91C70" w:rsidRPr="007F25FD" w:rsidRDefault="00B91C70" w:rsidP="00B91C70">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proofErr w:type="gramStart"/>
      <w:r w:rsidRPr="007F25FD">
        <w:rPr>
          <w:rFonts w:eastAsia="Calibri"/>
          <w:sz w:val="22"/>
          <w:szCs w:val="22"/>
          <w:lang w:eastAsia="en-US"/>
        </w:rPr>
        <w:t>юрид.лиц</w:t>
      </w:r>
      <w:proofErr w:type="spellEnd"/>
      <w:proofErr w:type="gramEnd"/>
      <w:r w:rsidRPr="007F25FD">
        <w:rPr>
          <w:rFonts w:eastAsia="Calibri"/>
          <w:sz w:val="22"/>
          <w:szCs w:val="22"/>
          <w:lang w:eastAsia="en-US"/>
        </w:rPr>
        <w:t xml:space="preserve">) </w:t>
      </w:r>
    </w:p>
    <w:p w14:paraId="311BF255" w14:textId="77777777" w:rsidR="00B91C70" w:rsidRPr="007F25FD" w:rsidRDefault="00B91C70" w:rsidP="00B91C70">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182C7FAC" w14:textId="77777777" w:rsidR="00B91C70" w:rsidRPr="007F25FD" w:rsidRDefault="00B91C70" w:rsidP="00B91C70">
      <w:pPr>
        <w:jc w:val="both"/>
        <w:rPr>
          <w:rFonts w:eastAsia="Calibri"/>
          <w:bCs/>
          <w:sz w:val="22"/>
          <w:szCs w:val="22"/>
          <w:lang w:eastAsia="en-US"/>
        </w:rPr>
      </w:pPr>
      <w:r w:rsidRPr="007F25FD">
        <w:rPr>
          <w:rFonts w:eastAsia="Calibri"/>
          <w:bCs/>
          <w:sz w:val="22"/>
          <w:szCs w:val="22"/>
          <w:lang w:eastAsia="en-US"/>
        </w:rPr>
        <w:t xml:space="preserve">М.П. </w:t>
      </w:r>
    </w:p>
    <w:p w14:paraId="7E2AA653" w14:textId="77777777" w:rsidR="00B91C70" w:rsidRPr="007F25FD" w:rsidRDefault="00B91C70" w:rsidP="00B91C70">
      <w:pPr>
        <w:rPr>
          <w:bCs/>
        </w:rPr>
      </w:pPr>
    </w:p>
    <w:p w14:paraId="453BAAE0" w14:textId="77777777" w:rsidR="00B91C70" w:rsidRDefault="00B91C70" w:rsidP="00B91C70">
      <w:pPr>
        <w:rPr>
          <w:bCs/>
        </w:rPr>
      </w:pPr>
      <w:r>
        <w:rPr>
          <w:bCs/>
        </w:rPr>
        <w:br w:type="page"/>
      </w:r>
    </w:p>
    <w:p w14:paraId="0669E635" w14:textId="660C2695"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lastRenderedPageBreak/>
        <w:t xml:space="preserve"> </w:t>
      </w:r>
    </w:p>
    <w:p w14:paraId="27B13B0C" w14:textId="77777777" w:rsidR="007F25FD" w:rsidRPr="007F25FD" w:rsidRDefault="007F25FD">
      <w:pPr>
        <w:rPr>
          <w:bCs/>
        </w:rPr>
      </w:pPr>
    </w:p>
    <w:p w14:paraId="55331340" w14:textId="1A037474" w:rsidR="007F25FD" w:rsidRDefault="007F25FD">
      <w:pPr>
        <w:rPr>
          <w:bCs/>
        </w:rPr>
      </w:pPr>
    </w:p>
    <w:p w14:paraId="23765A90" w14:textId="77777777" w:rsidR="00CE243B" w:rsidRPr="0020727C" w:rsidRDefault="00CE243B" w:rsidP="006910C4">
      <w:pPr>
        <w:ind w:right="-58"/>
        <w:jc w:val="right"/>
        <w:rPr>
          <w:bCs/>
        </w:rPr>
      </w:pPr>
      <w:r w:rsidRPr="00CE243B">
        <w:rPr>
          <w:bCs/>
        </w:rPr>
        <w:t xml:space="preserve">Приложение № </w:t>
      </w:r>
      <w:r w:rsidR="007F25FD">
        <w:rPr>
          <w:bCs/>
        </w:rPr>
        <w:t>2</w:t>
      </w:r>
      <w:r w:rsidRPr="00CE243B">
        <w:rPr>
          <w:bCs/>
        </w:rPr>
        <w:t xml:space="preserve"> к информационному сообщению</w:t>
      </w:r>
    </w:p>
    <w:p w14:paraId="685AE643" w14:textId="77777777" w:rsidR="00B91C70" w:rsidRDefault="00B91C70" w:rsidP="00B91C70">
      <w:pPr>
        <w:jc w:val="center"/>
        <w:rPr>
          <w:b/>
          <w:sz w:val="22"/>
          <w:szCs w:val="22"/>
        </w:rPr>
      </w:pPr>
    </w:p>
    <w:p w14:paraId="5CE947A1" w14:textId="3FACEF08" w:rsidR="00B91C70" w:rsidRPr="007C274A" w:rsidRDefault="00B91C70" w:rsidP="00B91C70">
      <w:pPr>
        <w:jc w:val="center"/>
        <w:rPr>
          <w:b/>
          <w:sz w:val="22"/>
          <w:szCs w:val="22"/>
        </w:rPr>
      </w:pPr>
      <w:r w:rsidRPr="003A5F40">
        <w:rPr>
          <w:b/>
          <w:sz w:val="22"/>
          <w:szCs w:val="22"/>
        </w:rPr>
        <w:t xml:space="preserve">Заявка </w:t>
      </w:r>
      <w:r w:rsidRPr="003A5F40">
        <w:rPr>
          <w:b/>
          <w:bCs/>
          <w:sz w:val="22"/>
          <w:szCs w:val="22"/>
        </w:rPr>
        <w:t xml:space="preserve">на участие в </w:t>
      </w:r>
      <w:r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B91C70" w:rsidRPr="003A5F40" w14:paraId="1CA4DD41" w14:textId="77777777" w:rsidTr="00AB7140">
        <w:trPr>
          <w:trHeight w:val="290"/>
        </w:trPr>
        <w:tc>
          <w:tcPr>
            <w:tcW w:w="9896" w:type="dxa"/>
            <w:tcBorders>
              <w:bottom w:val="single" w:sz="4" w:space="0" w:color="auto"/>
            </w:tcBorders>
            <w:shd w:val="clear" w:color="auto" w:fill="auto"/>
          </w:tcPr>
          <w:p w14:paraId="7C6DD582" w14:textId="77777777" w:rsidR="00B91C70" w:rsidRPr="003A5F40" w:rsidRDefault="00B91C70" w:rsidP="00AB7140">
            <w:pPr>
              <w:pStyle w:val="13"/>
              <w:spacing w:before="0" w:after="0" w:line="216" w:lineRule="auto"/>
              <w:ind w:left="0" w:right="0" w:firstLine="0"/>
              <w:jc w:val="center"/>
              <w:rPr>
                <w:color w:val="auto"/>
                <w:sz w:val="22"/>
                <w:szCs w:val="22"/>
              </w:rPr>
            </w:pPr>
          </w:p>
        </w:tc>
      </w:tr>
    </w:tbl>
    <w:p w14:paraId="7BC8D85B"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 xml:space="preserve">(наименование </w:t>
      </w:r>
      <w:r>
        <w:rPr>
          <w:color w:val="auto"/>
        </w:rPr>
        <w:t>лота</w:t>
      </w:r>
      <w:r w:rsidRPr="00FC46C7">
        <w:rPr>
          <w:color w:val="auto"/>
        </w:rPr>
        <w:t>)</w:t>
      </w:r>
    </w:p>
    <w:p w14:paraId="632121C7"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0919BFEA"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(местонахождение)</w:t>
      </w:r>
    </w:p>
    <w:p w14:paraId="3BE427B5"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3AD43155"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B91C70" w:rsidRPr="003A5F40" w14:paraId="32DDF51E" w14:textId="77777777" w:rsidTr="00AB7140">
        <w:tc>
          <w:tcPr>
            <w:tcW w:w="3528" w:type="dxa"/>
            <w:gridSpan w:val="4"/>
            <w:tcBorders>
              <w:top w:val="nil"/>
              <w:left w:val="nil"/>
              <w:bottom w:val="nil"/>
              <w:right w:val="nil"/>
            </w:tcBorders>
            <w:shd w:val="clear" w:color="auto" w:fill="auto"/>
          </w:tcPr>
          <w:p w14:paraId="797556E7"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2593D1A2" w14:textId="77777777" w:rsidR="00B91C70" w:rsidRPr="003A5F40" w:rsidRDefault="00B91C70" w:rsidP="00AB7140">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B91C70" w:rsidRPr="003A5F40" w14:paraId="27ABC22C" w14:textId="77777777" w:rsidTr="00AB7140">
        <w:tc>
          <w:tcPr>
            <w:tcW w:w="3528" w:type="dxa"/>
            <w:gridSpan w:val="4"/>
            <w:tcBorders>
              <w:top w:val="nil"/>
              <w:left w:val="nil"/>
              <w:bottom w:val="single" w:sz="4" w:space="0" w:color="auto"/>
              <w:right w:val="nil"/>
            </w:tcBorders>
            <w:shd w:val="clear" w:color="auto" w:fill="auto"/>
          </w:tcPr>
          <w:p w14:paraId="08113B65" w14:textId="77777777" w:rsidR="00B91C70" w:rsidRPr="003A5F40" w:rsidRDefault="00B91C70" w:rsidP="00AB7140">
            <w:pPr>
              <w:pStyle w:val="13"/>
              <w:spacing w:before="0" w:after="0" w:line="216" w:lineRule="auto"/>
              <w:ind w:left="0" w:right="0" w:firstLine="0"/>
              <w:rPr>
                <w:b/>
                <w:bCs/>
                <w:color w:val="auto"/>
                <w:sz w:val="22"/>
                <w:szCs w:val="22"/>
              </w:rPr>
            </w:pPr>
          </w:p>
          <w:p w14:paraId="18204DB6" w14:textId="77777777" w:rsidR="00B91C70" w:rsidRPr="003A5F40" w:rsidRDefault="00B91C70" w:rsidP="00AB7140">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2A52058D"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1CB5D27" w14:textId="77777777" w:rsidTr="00AB7140">
        <w:tc>
          <w:tcPr>
            <w:tcW w:w="3528" w:type="dxa"/>
            <w:gridSpan w:val="4"/>
            <w:tcBorders>
              <w:top w:val="single" w:sz="4" w:space="0" w:color="auto"/>
              <w:left w:val="nil"/>
              <w:bottom w:val="nil"/>
              <w:right w:val="nil"/>
            </w:tcBorders>
            <w:shd w:val="clear" w:color="auto" w:fill="auto"/>
          </w:tcPr>
          <w:p w14:paraId="0344E48F"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0500FBDF"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FAC6C91" w14:textId="77777777" w:rsidTr="00AB7140">
        <w:tc>
          <w:tcPr>
            <w:tcW w:w="4785" w:type="dxa"/>
            <w:gridSpan w:val="5"/>
            <w:tcBorders>
              <w:top w:val="nil"/>
              <w:left w:val="nil"/>
              <w:bottom w:val="nil"/>
              <w:right w:val="nil"/>
            </w:tcBorders>
            <w:shd w:val="clear" w:color="auto" w:fill="auto"/>
          </w:tcPr>
          <w:p w14:paraId="41C1620C"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32DB3C7E"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4B55E70B" w14:textId="77777777" w:rsidTr="00AB7140">
        <w:tc>
          <w:tcPr>
            <w:tcW w:w="1196" w:type="dxa"/>
            <w:tcBorders>
              <w:top w:val="nil"/>
              <w:left w:val="nil"/>
              <w:bottom w:val="nil"/>
              <w:right w:val="nil"/>
            </w:tcBorders>
            <w:shd w:val="clear" w:color="auto" w:fill="auto"/>
          </w:tcPr>
          <w:p w14:paraId="34CDB265"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52419D9D" w14:textId="77777777" w:rsidR="00B91C70" w:rsidRPr="003A5F40" w:rsidRDefault="00B91C70" w:rsidP="00AB7140">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3A487078"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080F7CAB" w14:textId="77777777" w:rsidR="00B91C70" w:rsidRPr="003A5F40" w:rsidRDefault="00B91C70" w:rsidP="00AB7140">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552E7420"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7229DED1"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03704C96" w14:textId="77777777" w:rsidTr="00AB7140">
        <w:tc>
          <w:tcPr>
            <w:tcW w:w="9571" w:type="dxa"/>
            <w:gridSpan w:val="7"/>
            <w:tcBorders>
              <w:top w:val="nil"/>
              <w:left w:val="nil"/>
              <w:bottom w:val="single" w:sz="4" w:space="0" w:color="auto"/>
              <w:right w:val="nil"/>
            </w:tcBorders>
            <w:shd w:val="clear" w:color="auto" w:fill="auto"/>
          </w:tcPr>
          <w:p w14:paraId="398D7939" w14:textId="77777777" w:rsidR="00B91C70" w:rsidRPr="003A5F40" w:rsidRDefault="00B91C70" w:rsidP="00AB7140">
            <w:pPr>
              <w:pStyle w:val="13"/>
              <w:spacing w:before="113" w:after="0" w:line="216" w:lineRule="auto"/>
              <w:ind w:left="0" w:right="0" w:firstLine="0"/>
              <w:rPr>
                <w:b/>
                <w:bCs/>
                <w:color w:val="auto"/>
                <w:sz w:val="22"/>
                <w:szCs w:val="22"/>
              </w:rPr>
            </w:pPr>
          </w:p>
        </w:tc>
      </w:tr>
    </w:tbl>
    <w:p w14:paraId="0636D7E9" w14:textId="77777777" w:rsidR="00B91C70" w:rsidRPr="00FC46C7" w:rsidRDefault="00B91C70" w:rsidP="00B91C70">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B91C70" w:rsidRPr="003A5F40" w14:paraId="3FE33329" w14:textId="77777777" w:rsidTr="00AB7140">
        <w:tc>
          <w:tcPr>
            <w:tcW w:w="4785" w:type="dxa"/>
            <w:gridSpan w:val="2"/>
            <w:shd w:val="clear" w:color="auto" w:fill="auto"/>
          </w:tcPr>
          <w:p w14:paraId="0105A8B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51262841"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r w:rsidR="00B91C70" w:rsidRPr="003A5F40" w14:paraId="79C0B73E" w14:textId="77777777" w:rsidTr="00AB7140">
        <w:tc>
          <w:tcPr>
            <w:tcW w:w="1368" w:type="dxa"/>
            <w:shd w:val="clear" w:color="auto" w:fill="auto"/>
          </w:tcPr>
          <w:p w14:paraId="0A2E8044"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34FB7869" w14:textId="77777777" w:rsidR="00B91C70" w:rsidRPr="003A5F40" w:rsidRDefault="00B91C70" w:rsidP="00AB7140">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2E47277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7AC1D978"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bl>
    <w:p w14:paraId="7142C007" w14:textId="77777777" w:rsidR="00B91C70" w:rsidRPr="003A5F40" w:rsidRDefault="00B91C70" w:rsidP="00B91C70">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B91C70" w:rsidRPr="003A5F40" w14:paraId="5AE3E295" w14:textId="77777777" w:rsidTr="00AB7140">
        <w:tc>
          <w:tcPr>
            <w:tcW w:w="3528" w:type="dxa"/>
            <w:gridSpan w:val="3"/>
            <w:tcBorders>
              <w:top w:val="nil"/>
              <w:left w:val="nil"/>
              <w:bottom w:val="nil"/>
              <w:right w:val="nil"/>
            </w:tcBorders>
            <w:shd w:val="clear" w:color="auto" w:fill="auto"/>
          </w:tcPr>
          <w:p w14:paraId="28CDCC26"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7A1D8E2A"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B64A49F" w14:textId="77777777" w:rsidTr="00AB7140">
        <w:tc>
          <w:tcPr>
            <w:tcW w:w="9571" w:type="dxa"/>
            <w:gridSpan w:val="4"/>
            <w:tcBorders>
              <w:top w:val="nil"/>
              <w:left w:val="nil"/>
              <w:bottom w:val="single" w:sz="4" w:space="0" w:color="auto"/>
              <w:right w:val="nil"/>
            </w:tcBorders>
            <w:shd w:val="clear" w:color="auto" w:fill="auto"/>
          </w:tcPr>
          <w:p w14:paraId="73785BBF"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7E0D8CA" w14:textId="77777777" w:rsidTr="00AB7140">
        <w:tc>
          <w:tcPr>
            <w:tcW w:w="9571" w:type="dxa"/>
            <w:gridSpan w:val="4"/>
            <w:tcBorders>
              <w:top w:val="single" w:sz="4" w:space="0" w:color="auto"/>
              <w:left w:val="nil"/>
              <w:bottom w:val="nil"/>
              <w:right w:val="nil"/>
            </w:tcBorders>
            <w:shd w:val="clear" w:color="auto" w:fill="auto"/>
          </w:tcPr>
          <w:p w14:paraId="0F0C59E1" w14:textId="77777777" w:rsidR="00B91C70" w:rsidRPr="00FC46C7" w:rsidRDefault="00B91C70" w:rsidP="00AB7140">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Pr>
                <w:bCs/>
                <w:color w:val="auto"/>
              </w:rPr>
              <w:t>, ИНН, ОГРН</w:t>
            </w:r>
            <w:r w:rsidRPr="00FC46C7">
              <w:rPr>
                <w:bCs/>
                <w:color w:val="auto"/>
              </w:rPr>
              <w:t>)</w:t>
            </w:r>
          </w:p>
        </w:tc>
      </w:tr>
      <w:tr w:rsidR="00B91C70" w:rsidRPr="003A5F40" w14:paraId="2ED7B72F" w14:textId="77777777" w:rsidTr="00AB7140">
        <w:tc>
          <w:tcPr>
            <w:tcW w:w="1728" w:type="dxa"/>
            <w:tcBorders>
              <w:top w:val="nil"/>
              <w:left w:val="nil"/>
              <w:bottom w:val="nil"/>
              <w:right w:val="nil"/>
            </w:tcBorders>
            <w:shd w:val="clear" w:color="auto" w:fill="auto"/>
          </w:tcPr>
          <w:p w14:paraId="37E9A53C"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1974BF33"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501BB047" w14:textId="77777777" w:rsidTr="00AB7140">
        <w:tc>
          <w:tcPr>
            <w:tcW w:w="2988" w:type="dxa"/>
            <w:gridSpan w:val="2"/>
            <w:tcBorders>
              <w:top w:val="nil"/>
              <w:left w:val="nil"/>
              <w:bottom w:val="nil"/>
              <w:right w:val="nil"/>
            </w:tcBorders>
            <w:shd w:val="clear" w:color="auto" w:fill="auto"/>
          </w:tcPr>
          <w:p w14:paraId="249B4DA2"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74FE053B" w14:textId="77777777" w:rsidR="00B91C70" w:rsidRPr="003A5F40" w:rsidRDefault="00B91C70" w:rsidP="00AB7140">
            <w:pPr>
              <w:pStyle w:val="13"/>
              <w:spacing w:before="113" w:after="0" w:line="216" w:lineRule="auto"/>
              <w:ind w:left="0" w:right="0" w:firstLine="0"/>
              <w:jc w:val="center"/>
              <w:rPr>
                <w:bCs/>
                <w:color w:val="auto"/>
                <w:sz w:val="22"/>
                <w:szCs w:val="22"/>
              </w:rPr>
            </w:pPr>
          </w:p>
        </w:tc>
      </w:tr>
    </w:tbl>
    <w:p w14:paraId="514679C5" w14:textId="77777777" w:rsidR="00B91C70" w:rsidRPr="006403AE" w:rsidRDefault="00B91C70" w:rsidP="00B91C70">
      <w:pPr>
        <w:pStyle w:val="13"/>
        <w:spacing w:before="113" w:after="0" w:line="216" w:lineRule="auto"/>
        <w:ind w:left="0" w:right="0" w:firstLine="708"/>
        <w:rPr>
          <w:color w:val="auto"/>
        </w:rPr>
      </w:pPr>
      <w:r w:rsidRPr="006403AE">
        <w:rPr>
          <w:color w:val="auto"/>
        </w:rPr>
        <w:t xml:space="preserve">Принимая решение о приобретении в собственность </w:t>
      </w:r>
      <w:proofErr w:type="gramStart"/>
      <w:r w:rsidRPr="006403AE">
        <w:rPr>
          <w:color w:val="auto"/>
        </w:rPr>
        <w:t>муниципального имущества</w:t>
      </w:r>
      <w:proofErr w:type="gramEnd"/>
      <w:r w:rsidRPr="006403AE">
        <w:rPr>
          <w:color w:val="auto"/>
        </w:rPr>
        <w:t xml:space="preserve"> обязуюсь:</w:t>
      </w:r>
    </w:p>
    <w:p w14:paraId="17BA5C93" w14:textId="77777777" w:rsidR="00B91C70" w:rsidRPr="006403AE" w:rsidRDefault="00B91C70" w:rsidP="00B91C70">
      <w:pPr>
        <w:ind w:firstLine="708"/>
        <w:jc w:val="both"/>
      </w:pPr>
      <w:r w:rsidRPr="006403AE">
        <w:t xml:space="preserve">1. Соблюдать условия </w:t>
      </w:r>
      <w:r>
        <w:t>продажи</w:t>
      </w:r>
      <w:r w:rsidRPr="006403AE">
        <w:t xml:space="preserve">, содержащиеся в информационном сообщении о проведении </w:t>
      </w:r>
      <w:r>
        <w:t>продажи</w:t>
      </w:r>
      <w:r w:rsidRPr="006403AE">
        <w:t xml:space="preserve">, а также порядок проведения </w:t>
      </w:r>
      <w:r>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t>27</w:t>
      </w:r>
      <w:r w:rsidRPr="006403AE">
        <w:t>.08.20</w:t>
      </w:r>
      <w:r>
        <w:t>1</w:t>
      </w:r>
      <w:r w:rsidRPr="006403AE">
        <w:t xml:space="preserve">2 № </w:t>
      </w:r>
      <w:r>
        <w:t>860</w:t>
      </w:r>
      <w:r w:rsidRPr="006403AE">
        <w:t>.</w:t>
      </w:r>
    </w:p>
    <w:p w14:paraId="637E3D5B" w14:textId="77777777" w:rsidR="00B91C70" w:rsidRPr="006403AE" w:rsidRDefault="00B91C70" w:rsidP="00B91C70">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7D04B09C" w14:textId="77777777" w:rsidR="00B91C70" w:rsidRDefault="00B91C70" w:rsidP="00B91C70">
      <w:pPr>
        <w:ind w:firstLine="708"/>
        <w:jc w:val="both"/>
      </w:pPr>
      <w:r w:rsidRPr="006403AE">
        <w:t xml:space="preserve">Настоящим Претендент подтверждает, что он ознакомлен с порядком проведения </w:t>
      </w:r>
      <w:r>
        <w:t>продажи</w:t>
      </w:r>
      <w:r w:rsidRPr="006403AE">
        <w:t xml:space="preserve">, с имуществом и соответствующей документацией, характеризующей имущество. </w:t>
      </w:r>
    </w:p>
    <w:p w14:paraId="37F847BC" w14:textId="77777777" w:rsidR="00B91C70" w:rsidRPr="006910C4" w:rsidRDefault="00B91C70" w:rsidP="00B91C70">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4AE4C2E6" w14:textId="77777777" w:rsidR="00B91C70" w:rsidRPr="006403AE" w:rsidRDefault="00B91C70" w:rsidP="00B91C70">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B91C70" w:rsidRPr="003A5F40" w14:paraId="71BE0120" w14:textId="77777777" w:rsidTr="00AB7140">
        <w:tc>
          <w:tcPr>
            <w:tcW w:w="9571" w:type="dxa"/>
            <w:tcBorders>
              <w:bottom w:val="single" w:sz="4" w:space="0" w:color="auto"/>
            </w:tcBorders>
            <w:shd w:val="clear" w:color="auto" w:fill="auto"/>
          </w:tcPr>
          <w:p w14:paraId="4515D5F5" w14:textId="77777777" w:rsidR="00B91C70" w:rsidRPr="003A5F40" w:rsidRDefault="00B91C70" w:rsidP="00AB7140">
            <w:pPr>
              <w:pStyle w:val="13"/>
              <w:spacing w:before="0" w:after="0" w:line="216" w:lineRule="auto"/>
              <w:ind w:left="0" w:right="0" w:firstLine="0"/>
              <w:rPr>
                <w:color w:val="auto"/>
                <w:sz w:val="22"/>
                <w:szCs w:val="22"/>
              </w:rPr>
            </w:pPr>
          </w:p>
        </w:tc>
      </w:tr>
      <w:tr w:rsidR="00B91C70" w:rsidRPr="003A5F40" w14:paraId="67C84950" w14:textId="77777777" w:rsidTr="00AB7140">
        <w:tc>
          <w:tcPr>
            <w:tcW w:w="9571" w:type="dxa"/>
            <w:tcBorders>
              <w:top w:val="single" w:sz="4" w:space="0" w:color="auto"/>
              <w:bottom w:val="single" w:sz="4" w:space="0" w:color="auto"/>
            </w:tcBorders>
            <w:shd w:val="clear" w:color="auto" w:fill="auto"/>
          </w:tcPr>
          <w:p w14:paraId="213E22C3" w14:textId="77777777" w:rsidR="00B91C70" w:rsidRPr="003A5F40" w:rsidRDefault="00B91C70" w:rsidP="00AB7140">
            <w:pPr>
              <w:pStyle w:val="13"/>
              <w:spacing w:before="0" w:after="0" w:line="216" w:lineRule="auto"/>
              <w:ind w:left="0" w:right="0" w:firstLine="0"/>
              <w:rPr>
                <w:color w:val="auto"/>
                <w:sz w:val="22"/>
                <w:szCs w:val="22"/>
              </w:rPr>
            </w:pPr>
          </w:p>
        </w:tc>
      </w:tr>
    </w:tbl>
    <w:p w14:paraId="09B15DEE"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746D1B18"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18B56B4C"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 xml:space="preserve"> </w:t>
      </w:r>
    </w:p>
    <w:p w14:paraId="02E1F497"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3170FE40" w14:textId="77777777" w:rsidR="00B91C70" w:rsidRPr="003A5F40" w:rsidRDefault="00B91C70" w:rsidP="00B91C70">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0E7D17C3" w14:textId="08CF6096" w:rsidR="0020727C" w:rsidRPr="00EB0E23" w:rsidRDefault="00B91C70" w:rsidP="00B91C70">
      <w:pPr>
        <w:jc w:val="right"/>
        <w:rPr>
          <w:color w:val="000000"/>
          <w:sz w:val="26"/>
          <w:szCs w:val="26"/>
        </w:rPr>
      </w:pPr>
      <w:r>
        <w:rPr>
          <w:sz w:val="26"/>
          <w:szCs w:val="26"/>
        </w:rPr>
        <w:br w:type="page"/>
      </w:r>
    </w:p>
    <w:p w14:paraId="132C58CC" w14:textId="11975891" w:rsidR="00CE243B" w:rsidRPr="006910C4" w:rsidRDefault="00CE243B" w:rsidP="006910C4">
      <w:pPr>
        <w:jc w:val="right"/>
        <w:rPr>
          <w:bCs/>
          <w:sz w:val="22"/>
          <w:szCs w:val="22"/>
        </w:rPr>
      </w:pP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275C9856" w14:textId="77777777" w:rsidR="00446FC9" w:rsidRPr="0062160F" w:rsidRDefault="00CE243B" w:rsidP="00446FC9">
      <w:pPr>
        <w:jc w:val="center"/>
        <w:rPr>
          <w:b/>
          <w:sz w:val="28"/>
          <w:szCs w:val="28"/>
        </w:rPr>
      </w:pPr>
      <w:r w:rsidRPr="00984172">
        <w:t xml:space="preserve">                             </w:t>
      </w:r>
      <w:r w:rsidRPr="00984172">
        <w:tab/>
      </w:r>
      <w:r w:rsidR="00446FC9" w:rsidRPr="0062160F">
        <w:rPr>
          <w:b/>
          <w:sz w:val="28"/>
          <w:szCs w:val="28"/>
        </w:rPr>
        <w:t xml:space="preserve">Договор купли-продажи № </w:t>
      </w:r>
      <w:r w:rsidR="00446FC9">
        <w:rPr>
          <w:b/>
          <w:sz w:val="28"/>
          <w:szCs w:val="28"/>
        </w:rPr>
        <w:t>____</w:t>
      </w:r>
    </w:p>
    <w:p w14:paraId="264CD550" w14:textId="77777777" w:rsidR="00446FC9" w:rsidRPr="0062160F" w:rsidRDefault="00446FC9" w:rsidP="00446FC9">
      <w:pPr>
        <w:jc w:val="both"/>
        <w:rPr>
          <w:sz w:val="28"/>
          <w:szCs w:val="28"/>
        </w:rPr>
      </w:pPr>
    </w:p>
    <w:p w14:paraId="6CA02F22" w14:textId="77777777" w:rsidR="00446FC9" w:rsidRPr="00522B95" w:rsidRDefault="00446FC9" w:rsidP="00446FC9">
      <w:pPr>
        <w:pStyle w:val="ae"/>
        <w:spacing w:after="0"/>
        <w:ind w:left="0" w:firstLine="708"/>
        <w:jc w:val="both"/>
        <w:rPr>
          <w:sz w:val="28"/>
          <w:szCs w:val="28"/>
        </w:rPr>
      </w:pPr>
      <w:r w:rsidRPr="00522B95">
        <w:rPr>
          <w:sz w:val="28"/>
          <w:szCs w:val="28"/>
        </w:rPr>
        <w:t>Департамент имущественных отношений Нефтеюганского района, действующий от имени муниципального образования Нефтеюганский район, именуемый в дальнейшем «Продавец», в лице директора департамента</w:t>
      </w:r>
      <w:r>
        <w:rPr>
          <w:sz w:val="28"/>
          <w:szCs w:val="28"/>
        </w:rPr>
        <w:t xml:space="preserve"> имущественных отношений Нефтеюганского района ______________</w:t>
      </w:r>
      <w:r w:rsidRPr="00522B95">
        <w:rPr>
          <w:color w:val="000000"/>
          <w:sz w:val="28"/>
          <w:szCs w:val="28"/>
        </w:rPr>
        <w:t xml:space="preserve">, </w:t>
      </w:r>
      <w:r w:rsidRPr="00522B95">
        <w:rPr>
          <w:sz w:val="28"/>
          <w:szCs w:val="28"/>
        </w:rPr>
        <w:t>действующей на основании Положения о департаменте имущественных отношений Нефтеюганского района,  утвержденного решением Думы Нефтеюганского района от 24.07.2013 №</w:t>
      </w:r>
      <w:r>
        <w:rPr>
          <w:sz w:val="28"/>
          <w:szCs w:val="28"/>
        </w:rPr>
        <w:t xml:space="preserve"> </w:t>
      </w:r>
      <w:r w:rsidRPr="00522B95">
        <w:rPr>
          <w:sz w:val="28"/>
          <w:szCs w:val="28"/>
        </w:rPr>
        <w:t xml:space="preserve">384, с одной стороны, и </w:t>
      </w:r>
      <w:r>
        <w:rPr>
          <w:sz w:val="28"/>
          <w:szCs w:val="28"/>
        </w:rPr>
        <w:t>_________________</w:t>
      </w:r>
      <w:r w:rsidRPr="00522B95">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w:t>
      </w:r>
      <w:r w:rsidRPr="008E672C">
        <w:rPr>
          <w:sz w:val="28"/>
          <w:szCs w:val="28"/>
        </w:rPr>
        <w:t>________</w:t>
      </w:r>
      <w:r w:rsidRPr="00BD42FE">
        <w:rPr>
          <w:sz w:val="28"/>
          <w:szCs w:val="28"/>
        </w:rPr>
        <w:t>_</w:t>
      </w:r>
      <w:r w:rsidRPr="00522B95">
        <w:rPr>
          <w:color w:val="000000"/>
          <w:sz w:val="28"/>
          <w:szCs w:val="28"/>
        </w:rPr>
        <w:t xml:space="preserve"> №</w:t>
      </w:r>
      <w:r w:rsidRPr="008E672C">
        <w:rPr>
          <w:color w:val="000000"/>
          <w:sz w:val="28"/>
          <w:szCs w:val="28"/>
        </w:rPr>
        <w:t>_____</w:t>
      </w:r>
      <w:r w:rsidRPr="00522B95">
        <w:rPr>
          <w:sz w:val="28"/>
          <w:szCs w:val="28"/>
        </w:rPr>
        <w:t>, настоящий Договор (далее - Договор) о нижеследующем:</w:t>
      </w:r>
    </w:p>
    <w:p w14:paraId="583D19B8" w14:textId="77777777" w:rsidR="00446FC9" w:rsidRPr="00522B95" w:rsidRDefault="00446FC9" w:rsidP="00446FC9">
      <w:pPr>
        <w:jc w:val="center"/>
        <w:rPr>
          <w:b/>
          <w:sz w:val="28"/>
          <w:szCs w:val="28"/>
        </w:rPr>
      </w:pPr>
    </w:p>
    <w:p w14:paraId="3B10971D" w14:textId="77777777" w:rsidR="00446FC9" w:rsidRPr="00522B95" w:rsidRDefault="00446FC9" w:rsidP="00446FC9">
      <w:pPr>
        <w:numPr>
          <w:ilvl w:val="0"/>
          <w:numId w:val="14"/>
        </w:numPr>
        <w:jc w:val="center"/>
        <w:rPr>
          <w:b/>
          <w:sz w:val="28"/>
          <w:szCs w:val="28"/>
        </w:rPr>
      </w:pPr>
      <w:r w:rsidRPr="00522B95">
        <w:rPr>
          <w:b/>
          <w:sz w:val="28"/>
          <w:szCs w:val="28"/>
        </w:rPr>
        <w:t>ПРЕДМЕТ ДОГОВОРА</w:t>
      </w:r>
    </w:p>
    <w:p w14:paraId="06820343" w14:textId="77777777" w:rsidR="00446FC9" w:rsidRPr="00522B95" w:rsidRDefault="00446FC9" w:rsidP="00446FC9">
      <w:pPr>
        <w:ind w:left="720"/>
        <w:rPr>
          <w:b/>
          <w:sz w:val="28"/>
          <w:szCs w:val="28"/>
        </w:rPr>
      </w:pPr>
    </w:p>
    <w:p w14:paraId="44C3DF02" w14:textId="77777777" w:rsidR="00446FC9" w:rsidRPr="00522B95" w:rsidRDefault="00446FC9" w:rsidP="00446FC9">
      <w:pPr>
        <w:ind w:firstLine="709"/>
        <w:jc w:val="both"/>
        <w:rPr>
          <w:sz w:val="28"/>
          <w:szCs w:val="28"/>
        </w:rPr>
      </w:pPr>
      <w:r w:rsidRPr="00522B95">
        <w:rPr>
          <w:sz w:val="28"/>
          <w:szCs w:val="28"/>
        </w:rPr>
        <w:t>1.</w:t>
      </w:r>
      <w:proofErr w:type="gramStart"/>
      <w:r w:rsidRPr="00522B95">
        <w:rPr>
          <w:sz w:val="28"/>
          <w:szCs w:val="28"/>
        </w:rPr>
        <w:t>1.По</w:t>
      </w:r>
      <w:proofErr w:type="gramEnd"/>
      <w:r w:rsidRPr="00522B95">
        <w:rPr>
          <w:sz w:val="28"/>
          <w:szCs w:val="28"/>
        </w:rPr>
        <w:t xml:space="preserve"> Договору «Продавец» обязуется передать в собственность «Покупателя», а «Покупатель» обязуется принять и оплатить муниципальное имущество:</w:t>
      </w:r>
    </w:p>
    <w:p w14:paraId="294F1603" w14:textId="77777777" w:rsidR="00446FC9" w:rsidRPr="00522B95" w:rsidRDefault="00446FC9" w:rsidP="00446FC9">
      <w:pPr>
        <w:ind w:firstLine="709"/>
        <w:jc w:val="both"/>
        <w:rPr>
          <w:sz w:val="28"/>
          <w:szCs w:val="28"/>
        </w:rPr>
      </w:pPr>
      <w:r>
        <w:rPr>
          <w:sz w:val="28"/>
          <w:szCs w:val="28"/>
        </w:rPr>
        <w:t>____________________________________________</w:t>
      </w:r>
      <w:r w:rsidRPr="00522B95">
        <w:rPr>
          <w:sz w:val="28"/>
          <w:szCs w:val="28"/>
        </w:rPr>
        <w:t xml:space="preserve"> (далее «Имущество»).</w:t>
      </w:r>
    </w:p>
    <w:p w14:paraId="5A0C331A" w14:textId="77777777" w:rsidR="00446FC9" w:rsidRPr="00522B95" w:rsidRDefault="00446FC9" w:rsidP="00446FC9">
      <w:pPr>
        <w:pStyle w:val="ae"/>
        <w:spacing w:after="0"/>
        <w:ind w:left="0" w:firstLine="708"/>
        <w:jc w:val="both"/>
        <w:rPr>
          <w:sz w:val="28"/>
          <w:szCs w:val="28"/>
        </w:rPr>
      </w:pPr>
      <w:r w:rsidRPr="00522B95">
        <w:rPr>
          <w:sz w:val="28"/>
          <w:szCs w:val="28"/>
        </w:rPr>
        <w:t>1.2.«Имущество» принадлежит муниципальному образованию Нефтеюганский район на праве собственности, что подтверждается:</w:t>
      </w:r>
      <w:r>
        <w:rPr>
          <w:sz w:val="28"/>
          <w:szCs w:val="28"/>
        </w:rPr>
        <w:t xml:space="preserve"> _____________________</w:t>
      </w:r>
      <w:r w:rsidRPr="00522B95">
        <w:rPr>
          <w:sz w:val="28"/>
          <w:szCs w:val="28"/>
        </w:rPr>
        <w:t xml:space="preserve">. </w:t>
      </w:r>
    </w:p>
    <w:p w14:paraId="21114743" w14:textId="77777777" w:rsidR="00446FC9" w:rsidRDefault="00446FC9" w:rsidP="00446FC9">
      <w:pPr>
        <w:jc w:val="both"/>
        <w:rPr>
          <w:sz w:val="28"/>
          <w:szCs w:val="28"/>
        </w:rPr>
      </w:pPr>
      <w:r w:rsidRPr="00522B95">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14:paraId="2EE78E83" w14:textId="77777777" w:rsidR="00446FC9" w:rsidRPr="009F247E" w:rsidRDefault="00446FC9" w:rsidP="00446FC9">
      <w:pPr>
        <w:pStyle w:val="ab"/>
        <w:numPr>
          <w:ilvl w:val="0"/>
          <w:numId w:val="14"/>
        </w:numPr>
        <w:jc w:val="center"/>
        <w:rPr>
          <w:b/>
          <w:sz w:val="28"/>
          <w:szCs w:val="28"/>
        </w:rPr>
      </w:pPr>
      <w:r>
        <w:rPr>
          <w:b/>
          <w:sz w:val="28"/>
          <w:szCs w:val="28"/>
        </w:rPr>
        <w:t>НАЛИЧИЕ ОБРЕМЕНЕНИЙ И КОНТРОЛЬ ЗА ИХ ИСПОЛНЕНИЕМ</w:t>
      </w:r>
      <w:r w:rsidRPr="009F247E">
        <w:rPr>
          <w:b/>
          <w:sz w:val="28"/>
          <w:szCs w:val="28"/>
        </w:rPr>
        <w:t xml:space="preserve">   </w:t>
      </w:r>
    </w:p>
    <w:p w14:paraId="045301C6" w14:textId="77777777" w:rsidR="00446FC9" w:rsidRPr="00522B95" w:rsidRDefault="00446FC9" w:rsidP="00446FC9">
      <w:pPr>
        <w:jc w:val="both"/>
        <w:rPr>
          <w:sz w:val="28"/>
          <w:szCs w:val="28"/>
        </w:rPr>
      </w:pPr>
    </w:p>
    <w:p w14:paraId="7F77B5A9" w14:textId="77777777" w:rsidR="00446FC9" w:rsidRPr="0003049B" w:rsidRDefault="00446FC9" w:rsidP="00446FC9">
      <w:pPr>
        <w:ind w:firstLine="708"/>
        <w:jc w:val="both"/>
        <w:rPr>
          <w:sz w:val="28"/>
          <w:szCs w:val="28"/>
        </w:rPr>
      </w:pPr>
      <w:r>
        <w:rPr>
          <w:sz w:val="28"/>
          <w:szCs w:val="28"/>
        </w:rPr>
        <w:t xml:space="preserve">2.1. </w:t>
      </w:r>
      <w:r w:rsidRPr="00BF3F69">
        <w:rPr>
          <w:sz w:val="28"/>
          <w:szCs w:val="28"/>
        </w:rPr>
        <w:t>Имущество указанное в п.п.1.1 настоящего Договора, в соответствии со ст.30.1</w:t>
      </w:r>
      <w:r>
        <w:rPr>
          <w:sz w:val="28"/>
          <w:szCs w:val="28"/>
        </w:rPr>
        <w:t xml:space="preserve"> Федерального закона от 21.12.2001 № 178-ФЗ «О приватизации государственного и муниципального имущества», обременено эксплуатационными и </w:t>
      </w:r>
      <w:r w:rsidRPr="0003049B">
        <w:rPr>
          <w:sz w:val="28"/>
          <w:szCs w:val="28"/>
        </w:rPr>
        <w:t>инвестиционными обязательствами «Покупателя» как собственника Имущества:</w:t>
      </w:r>
    </w:p>
    <w:p w14:paraId="2E80FF18" w14:textId="77777777" w:rsidR="00446FC9" w:rsidRPr="0003049B" w:rsidRDefault="00446FC9" w:rsidP="00446FC9">
      <w:pPr>
        <w:ind w:firstLine="708"/>
        <w:jc w:val="both"/>
        <w:rPr>
          <w:sz w:val="28"/>
          <w:szCs w:val="28"/>
        </w:rPr>
      </w:pPr>
      <w:r w:rsidRPr="0003049B">
        <w:rPr>
          <w:bCs/>
          <w:color w:val="000000"/>
          <w:sz w:val="28"/>
          <w:szCs w:val="28"/>
        </w:rPr>
        <w:t xml:space="preserve">- </w:t>
      </w:r>
      <w:r w:rsidRPr="0003049B">
        <w:rPr>
          <w:sz w:val="28"/>
          <w:szCs w:val="28"/>
        </w:rPr>
        <w:t>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25C7085F" w14:textId="77777777" w:rsidR="00446FC9" w:rsidRPr="0003049B" w:rsidRDefault="00446FC9" w:rsidP="00446FC9">
      <w:pPr>
        <w:ind w:firstLine="708"/>
        <w:jc w:val="both"/>
        <w:rPr>
          <w:sz w:val="28"/>
          <w:szCs w:val="28"/>
        </w:rPr>
      </w:pPr>
      <w:r w:rsidRPr="0003049B">
        <w:rPr>
          <w:sz w:val="28"/>
          <w:szCs w:val="28"/>
        </w:rPr>
        <w:lastRenderedPageBreak/>
        <w:t>-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не должен превышать установленный действующим законодательством;</w:t>
      </w:r>
    </w:p>
    <w:p w14:paraId="5F98F761" w14:textId="77777777" w:rsidR="00446FC9" w:rsidRPr="0003049B" w:rsidRDefault="00446FC9" w:rsidP="00446FC9">
      <w:pPr>
        <w:ind w:firstLine="708"/>
        <w:jc w:val="both"/>
        <w:rPr>
          <w:sz w:val="28"/>
          <w:szCs w:val="28"/>
        </w:rPr>
      </w:pPr>
      <w:r w:rsidRPr="0003049B">
        <w:rPr>
          <w:sz w:val="28"/>
          <w:szCs w:val="28"/>
        </w:rPr>
        <w:t>- по истечении срока полезного использования при условии необходимости строительства, реконструкции и (или) модернизации объектов включить их в инвестиционную программу Покупателя в соответствии с требованиями Федерального закона от 26.03.2003 № 35-ФЗ «Об электроэнергетике»;</w:t>
      </w:r>
    </w:p>
    <w:p w14:paraId="0A574066" w14:textId="77777777" w:rsidR="00446FC9" w:rsidRPr="0003049B" w:rsidRDefault="00446FC9" w:rsidP="00446FC9">
      <w:pPr>
        <w:ind w:firstLine="708"/>
        <w:jc w:val="both"/>
        <w:rPr>
          <w:sz w:val="28"/>
          <w:szCs w:val="28"/>
        </w:rPr>
      </w:pPr>
      <w:r w:rsidRPr="0003049B">
        <w:rPr>
          <w:sz w:val="28"/>
          <w:szCs w:val="28"/>
        </w:rPr>
        <w:t>- обеспечить эксплуатацию объектов в соответствии с Приказом Минэнерго России от 04.10.2022 № 1070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 757, от 12 июля 2018 г. N 548»;</w:t>
      </w:r>
    </w:p>
    <w:p w14:paraId="504E3BB5" w14:textId="77777777" w:rsidR="00446FC9" w:rsidRPr="0003049B" w:rsidRDefault="00446FC9" w:rsidP="00446FC9">
      <w:pPr>
        <w:ind w:firstLine="708"/>
        <w:jc w:val="both"/>
        <w:rPr>
          <w:sz w:val="28"/>
          <w:szCs w:val="28"/>
        </w:rPr>
      </w:pPr>
      <w:r w:rsidRPr="0003049B">
        <w:rPr>
          <w:sz w:val="28"/>
          <w:szCs w:val="28"/>
        </w:rPr>
        <w:t>- обеспечить электроснабжение потребителей с соблюдением требований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и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w:t>
      </w:r>
    </w:p>
    <w:p w14:paraId="64556080" w14:textId="77777777" w:rsidR="00446FC9" w:rsidRPr="0003049B" w:rsidRDefault="00446FC9" w:rsidP="00446FC9">
      <w:pPr>
        <w:autoSpaceDE w:val="0"/>
        <w:autoSpaceDN w:val="0"/>
        <w:adjustRightInd w:val="0"/>
        <w:ind w:firstLine="708"/>
        <w:jc w:val="both"/>
        <w:rPr>
          <w:sz w:val="28"/>
          <w:szCs w:val="28"/>
        </w:rPr>
      </w:pPr>
      <w:r w:rsidRPr="0003049B">
        <w:rPr>
          <w:sz w:val="28"/>
          <w:szCs w:val="28"/>
        </w:rPr>
        <w:t>- обеспечить выполнение требований к качеству электроэнергии согласно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введенному в действие Приказом Росстандарта от 22 июля 2013 года № 400-ст.</w:t>
      </w:r>
    </w:p>
    <w:p w14:paraId="3A63EEDC" w14:textId="77777777" w:rsidR="00446FC9" w:rsidRPr="0003049B" w:rsidRDefault="00446FC9" w:rsidP="00446FC9">
      <w:pPr>
        <w:autoSpaceDE w:val="0"/>
        <w:autoSpaceDN w:val="0"/>
        <w:adjustRightInd w:val="0"/>
        <w:ind w:firstLine="709"/>
        <w:jc w:val="both"/>
        <w:rPr>
          <w:sz w:val="28"/>
          <w:szCs w:val="28"/>
        </w:rPr>
      </w:pPr>
      <w:r w:rsidRPr="0003049B">
        <w:rPr>
          <w:sz w:val="28"/>
          <w:szCs w:val="28"/>
        </w:rPr>
        <w:t>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w:t>
      </w:r>
    </w:p>
    <w:p w14:paraId="26CF3807" w14:textId="77777777" w:rsidR="00446FC9" w:rsidRPr="0003049B" w:rsidRDefault="00446FC9" w:rsidP="00446FC9">
      <w:pPr>
        <w:autoSpaceDE w:val="0"/>
        <w:autoSpaceDN w:val="0"/>
        <w:adjustRightInd w:val="0"/>
        <w:ind w:firstLine="709"/>
        <w:jc w:val="both"/>
        <w:rPr>
          <w:sz w:val="28"/>
          <w:szCs w:val="28"/>
        </w:rPr>
      </w:pPr>
      <w:r w:rsidRPr="0003049B">
        <w:rPr>
          <w:sz w:val="28"/>
          <w:szCs w:val="28"/>
        </w:rPr>
        <w:t>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w:t>
      </w:r>
    </w:p>
    <w:p w14:paraId="76A530AB" w14:textId="77777777" w:rsidR="00446FC9" w:rsidRDefault="00446FC9" w:rsidP="00446FC9">
      <w:pPr>
        <w:autoSpaceDE w:val="0"/>
        <w:autoSpaceDN w:val="0"/>
        <w:adjustRightInd w:val="0"/>
        <w:ind w:firstLine="708"/>
        <w:jc w:val="both"/>
        <w:rPr>
          <w:sz w:val="28"/>
          <w:szCs w:val="28"/>
        </w:rPr>
      </w:pPr>
      <w:r w:rsidRPr="00D01657">
        <w:rPr>
          <w:sz w:val="28"/>
          <w:szCs w:val="28"/>
        </w:rPr>
        <w:t>2.</w:t>
      </w:r>
      <w:proofErr w:type="gramStart"/>
      <w:r w:rsidRPr="00D01657">
        <w:rPr>
          <w:sz w:val="28"/>
          <w:szCs w:val="28"/>
        </w:rPr>
        <w:t>2.Государственная</w:t>
      </w:r>
      <w:proofErr w:type="gramEnd"/>
      <w:r w:rsidRPr="00D01657">
        <w:rPr>
          <w:sz w:val="28"/>
          <w:szCs w:val="28"/>
        </w:rPr>
        <w:t xml:space="preserve"> регистрация ограничений (обременений)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14:paraId="3A48FEF1" w14:textId="77777777" w:rsidR="00446FC9" w:rsidRPr="00670306" w:rsidRDefault="00446FC9" w:rsidP="00446FC9">
      <w:pPr>
        <w:autoSpaceDE w:val="0"/>
        <w:autoSpaceDN w:val="0"/>
        <w:adjustRightInd w:val="0"/>
        <w:ind w:firstLine="708"/>
        <w:jc w:val="both"/>
        <w:rPr>
          <w:sz w:val="28"/>
          <w:szCs w:val="28"/>
        </w:rPr>
      </w:pPr>
      <w:r>
        <w:rPr>
          <w:sz w:val="28"/>
          <w:szCs w:val="28"/>
        </w:rPr>
        <w:t>2</w:t>
      </w:r>
      <w:r w:rsidRPr="00670306">
        <w:rPr>
          <w:sz w:val="28"/>
          <w:szCs w:val="28"/>
        </w:rPr>
        <w:t>.3.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14:paraId="1D692FE8" w14:textId="77777777" w:rsidR="00446FC9" w:rsidRPr="00670306" w:rsidRDefault="00446FC9" w:rsidP="00446FC9">
      <w:pPr>
        <w:autoSpaceDE w:val="0"/>
        <w:autoSpaceDN w:val="0"/>
        <w:adjustRightInd w:val="0"/>
        <w:ind w:firstLine="708"/>
        <w:jc w:val="both"/>
        <w:rPr>
          <w:sz w:val="28"/>
          <w:szCs w:val="28"/>
        </w:rPr>
      </w:pPr>
      <w:r>
        <w:rPr>
          <w:sz w:val="28"/>
          <w:szCs w:val="28"/>
        </w:rPr>
        <w:lastRenderedPageBreak/>
        <w:t xml:space="preserve">2.4. Контроль за исполнением условий эксплуатационных обязательств в отношении имущества осуществляется в соответствии с Постановлением администрации Нефтеюганского района от 19.05.2023 №692-па «О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p>
    <w:p w14:paraId="675F8E47" w14:textId="77777777" w:rsidR="00446FC9" w:rsidRPr="00BF3F69" w:rsidRDefault="00446FC9" w:rsidP="00446FC9">
      <w:pPr>
        <w:ind w:firstLine="708"/>
        <w:jc w:val="both"/>
        <w:rPr>
          <w:sz w:val="28"/>
          <w:szCs w:val="28"/>
        </w:rPr>
      </w:pPr>
      <w:r>
        <w:rPr>
          <w:sz w:val="28"/>
          <w:szCs w:val="28"/>
        </w:rPr>
        <w:t xml:space="preserve"> </w:t>
      </w:r>
    </w:p>
    <w:p w14:paraId="57E22012" w14:textId="77777777" w:rsidR="00446FC9" w:rsidRPr="00522B95" w:rsidRDefault="00446FC9" w:rsidP="00446FC9">
      <w:pPr>
        <w:numPr>
          <w:ilvl w:val="0"/>
          <w:numId w:val="14"/>
        </w:numPr>
        <w:jc w:val="center"/>
        <w:rPr>
          <w:b/>
          <w:sz w:val="28"/>
          <w:szCs w:val="28"/>
        </w:rPr>
      </w:pPr>
      <w:r w:rsidRPr="00522B95">
        <w:rPr>
          <w:b/>
          <w:sz w:val="28"/>
          <w:szCs w:val="28"/>
        </w:rPr>
        <w:t xml:space="preserve">СТОИМОСТЬ ДОГОВОРА И ПОРЯДОК РАСЧЕТОВ   </w:t>
      </w:r>
    </w:p>
    <w:p w14:paraId="18F52A0F" w14:textId="77777777" w:rsidR="00446FC9" w:rsidRPr="00522B95" w:rsidRDefault="00446FC9" w:rsidP="00446FC9">
      <w:pPr>
        <w:ind w:left="720"/>
        <w:rPr>
          <w:b/>
          <w:sz w:val="28"/>
          <w:szCs w:val="28"/>
        </w:rPr>
      </w:pPr>
      <w:r w:rsidRPr="00522B95">
        <w:rPr>
          <w:b/>
          <w:sz w:val="28"/>
          <w:szCs w:val="28"/>
        </w:rPr>
        <w:t xml:space="preserve">    </w:t>
      </w:r>
    </w:p>
    <w:p w14:paraId="105B3AEC" w14:textId="77777777" w:rsidR="00446FC9" w:rsidRPr="00522B95" w:rsidRDefault="00446FC9" w:rsidP="00446FC9">
      <w:pPr>
        <w:ind w:firstLine="709"/>
        <w:jc w:val="both"/>
        <w:rPr>
          <w:sz w:val="28"/>
          <w:szCs w:val="28"/>
        </w:rPr>
      </w:pPr>
      <w:r>
        <w:rPr>
          <w:sz w:val="28"/>
          <w:szCs w:val="28"/>
        </w:rPr>
        <w:t>3</w:t>
      </w:r>
      <w:r w:rsidRPr="00522B95">
        <w:rPr>
          <w:sz w:val="28"/>
          <w:szCs w:val="28"/>
        </w:rPr>
        <w:t>.</w:t>
      </w:r>
      <w:proofErr w:type="gramStart"/>
      <w:r w:rsidRPr="00522B95">
        <w:rPr>
          <w:sz w:val="28"/>
          <w:szCs w:val="28"/>
        </w:rPr>
        <w:t>1.Стоимость</w:t>
      </w:r>
      <w:proofErr w:type="gramEnd"/>
      <w:r w:rsidRPr="00522B95">
        <w:rPr>
          <w:sz w:val="28"/>
          <w:szCs w:val="28"/>
        </w:rPr>
        <w:t xml:space="preserve"> «Имущества»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w:t>
      </w:r>
      <w:r>
        <w:rPr>
          <w:sz w:val="28"/>
          <w:szCs w:val="28"/>
        </w:rPr>
        <w:t>_________</w:t>
      </w:r>
      <w:r w:rsidRPr="00522B95">
        <w:rPr>
          <w:sz w:val="28"/>
          <w:szCs w:val="28"/>
        </w:rPr>
        <w:t xml:space="preserve"> №</w:t>
      </w:r>
      <w:r>
        <w:rPr>
          <w:sz w:val="28"/>
          <w:szCs w:val="28"/>
        </w:rPr>
        <w:t>_____</w:t>
      </w:r>
      <w:r w:rsidRPr="00522B95">
        <w:rPr>
          <w:sz w:val="28"/>
          <w:szCs w:val="28"/>
        </w:rPr>
        <w:t xml:space="preserve"> составляет – </w:t>
      </w:r>
      <w:r>
        <w:rPr>
          <w:sz w:val="28"/>
          <w:szCs w:val="28"/>
        </w:rPr>
        <w:t>________</w:t>
      </w:r>
      <w:r w:rsidRPr="00522B95">
        <w:rPr>
          <w:sz w:val="28"/>
          <w:szCs w:val="28"/>
        </w:rPr>
        <w:t xml:space="preserve"> (</w:t>
      </w:r>
      <w:r>
        <w:rPr>
          <w:sz w:val="28"/>
          <w:szCs w:val="28"/>
        </w:rPr>
        <w:t>____________</w:t>
      </w:r>
      <w:r w:rsidRPr="00522B95">
        <w:rPr>
          <w:sz w:val="28"/>
          <w:szCs w:val="28"/>
        </w:rPr>
        <w:t xml:space="preserve">) рублей,  00 копеек, в том числе НДС. </w:t>
      </w:r>
    </w:p>
    <w:p w14:paraId="16F02F6D" w14:textId="77777777" w:rsidR="00446FC9" w:rsidRPr="00522B95" w:rsidRDefault="00446FC9" w:rsidP="00446FC9">
      <w:pPr>
        <w:ind w:firstLine="709"/>
        <w:jc w:val="both"/>
        <w:rPr>
          <w:sz w:val="28"/>
          <w:szCs w:val="28"/>
        </w:rPr>
      </w:pPr>
      <w:r>
        <w:rPr>
          <w:sz w:val="28"/>
          <w:szCs w:val="28"/>
        </w:rPr>
        <w:t>3</w:t>
      </w:r>
      <w:r w:rsidRPr="00522B95">
        <w:rPr>
          <w:sz w:val="28"/>
          <w:szCs w:val="28"/>
        </w:rPr>
        <w:t>.</w:t>
      </w:r>
      <w:proofErr w:type="gramStart"/>
      <w:r w:rsidRPr="00522B95">
        <w:rPr>
          <w:sz w:val="28"/>
          <w:szCs w:val="28"/>
        </w:rPr>
        <w:t>2.Стоимость</w:t>
      </w:r>
      <w:proofErr w:type="gramEnd"/>
      <w:r w:rsidRPr="00522B95">
        <w:rPr>
          <w:sz w:val="28"/>
          <w:szCs w:val="28"/>
        </w:rPr>
        <w:t xml:space="preserve"> «Имущества», указанная в п.</w:t>
      </w:r>
      <w:r>
        <w:rPr>
          <w:sz w:val="28"/>
          <w:szCs w:val="28"/>
        </w:rPr>
        <w:t>3</w:t>
      </w:r>
      <w:r w:rsidRPr="00522B95">
        <w:rPr>
          <w:sz w:val="28"/>
          <w:szCs w:val="28"/>
        </w:rPr>
        <w:t>.1 Договора, включает в себя:</w:t>
      </w:r>
    </w:p>
    <w:p w14:paraId="17582B36" w14:textId="77777777" w:rsidR="00446FC9" w:rsidRPr="00522B95" w:rsidRDefault="00446FC9" w:rsidP="00446FC9">
      <w:pPr>
        <w:ind w:firstLine="709"/>
        <w:jc w:val="both"/>
        <w:rPr>
          <w:sz w:val="28"/>
          <w:szCs w:val="28"/>
        </w:rPr>
      </w:pPr>
      <w:r>
        <w:rPr>
          <w:sz w:val="28"/>
          <w:szCs w:val="28"/>
        </w:rPr>
        <w:t>3</w:t>
      </w:r>
      <w:r w:rsidRPr="00522B95">
        <w:rPr>
          <w:sz w:val="28"/>
          <w:szCs w:val="28"/>
        </w:rPr>
        <w:t>.2.</w:t>
      </w:r>
      <w:proofErr w:type="gramStart"/>
      <w:r w:rsidRPr="00522B95">
        <w:rPr>
          <w:sz w:val="28"/>
          <w:szCs w:val="28"/>
        </w:rPr>
        <w:t>1.Сумма</w:t>
      </w:r>
      <w:proofErr w:type="gramEnd"/>
      <w:r w:rsidRPr="00522B95">
        <w:rPr>
          <w:sz w:val="28"/>
          <w:szCs w:val="28"/>
        </w:rPr>
        <w:t xml:space="preserve"> – </w:t>
      </w:r>
      <w:r>
        <w:rPr>
          <w:sz w:val="28"/>
          <w:szCs w:val="28"/>
        </w:rPr>
        <w:t>__________</w:t>
      </w:r>
      <w:r w:rsidRPr="00522B95">
        <w:rPr>
          <w:sz w:val="28"/>
          <w:szCs w:val="28"/>
        </w:rPr>
        <w:t xml:space="preserve"> (</w:t>
      </w:r>
      <w:r>
        <w:rPr>
          <w:sz w:val="28"/>
          <w:szCs w:val="28"/>
        </w:rPr>
        <w:t>_____________</w:t>
      </w:r>
      <w:r w:rsidRPr="00522B95">
        <w:rPr>
          <w:sz w:val="28"/>
          <w:szCs w:val="28"/>
        </w:rPr>
        <w:t xml:space="preserve">) рублей </w:t>
      </w:r>
      <w:r>
        <w:rPr>
          <w:sz w:val="28"/>
          <w:szCs w:val="28"/>
        </w:rPr>
        <w:t>_____</w:t>
      </w:r>
      <w:r w:rsidRPr="00522B95">
        <w:rPr>
          <w:sz w:val="28"/>
          <w:szCs w:val="28"/>
        </w:rPr>
        <w:t xml:space="preserve"> копеек - денежные средства, подлежащая внесению «Покупателем» по реквизитам:</w:t>
      </w:r>
    </w:p>
    <w:p w14:paraId="2C7E7C74" w14:textId="77777777" w:rsidR="00446FC9" w:rsidRPr="00522B95" w:rsidRDefault="00446FC9" w:rsidP="00446FC9">
      <w:pPr>
        <w:tabs>
          <w:tab w:val="left" w:pos="915"/>
        </w:tabs>
        <w:jc w:val="both"/>
        <w:rPr>
          <w:bCs/>
          <w:sz w:val="28"/>
          <w:szCs w:val="28"/>
        </w:rPr>
      </w:pPr>
      <w:r>
        <w:rPr>
          <w:bCs/>
          <w:sz w:val="28"/>
          <w:szCs w:val="28"/>
        </w:rPr>
        <w:t>_____________________________________________________________________</w:t>
      </w:r>
      <w:r w:rsidRPr="00522B95">
        <w:rPr>
          <w:bCs/>
          <w:sz w:val="28"/>
          <w:szCs w:val="28"/>
        </w:rPr>
        <w:t>.</w:t>
      </w:r>
    </w:p>
    <w:p w14:paraId="0B792CB6" w14:textId="77777777" w:rsidR="00446FC9" w:rsidRPr="00522B95" w:rsidRDefault="00446FC9" w:rsidP="00446FC9">
      <w:pPr>
        <w:suppressAutoHyphens/>
        <w:ind w:firstLine="709"/>
        <w:jc w:val="both"/>
        <w:rPr>
          <w:sz w:val="28"/>
          <w:szCs w:val="28"/>
        </w:rPr>
      </w:pPr>
      <w:r>
        <w:rPr>
          <w:sz w:val="28"/>
          <w:szCs w:val="28"/>
        </w:rPr>
        <w:t>3</w:t>
      </w:r>
      <w:r w:rsidRPr="00522B95">
        <w:rPr>
          <w:sz w:val="28"/>
          <w:szCs w:val="28"/>
        </w:rPr>
        <w:t>.2.</w:t>
      </w:r>
      <w:proofErr w:type="gramStart"/>
      <w:r w:rsidRPr="00522B95">
        <w:rPr>
          <w:sz w:val="28"/>
          <w:szCs w:val="28"/>
        </w:rPr>
        <w:t>2.Сумма</w:t>
      </w:r>
      <w:proofErr w:type="gramEnd"/>
      <w:r w:rsidRPr="00522B95">
        <w:rPr>
          <w:sz w:val="28"/>
          <w:szCs w:val="28"/>
        </w:rPr>
        <w:t xml:space="preserve"> – </w:t>
      </w:r>
      <w:r>
        <w:rPr>
          <w:sz w:val="28"/>
          <w:szCs w:val="28"/>
        </w:rPr>
        <w:t>__________</w:t>
      </w:r>
      <w:r w:rsidRPr="00522B95">
        <w:rPr>
          <w:sz w:val="28"/>
          <w:szCs w:val="28"/>
        </w:rPr>
        <w:t xml:space="preserve"> (</w:t>
      </w:r>
      <w:r>
        <w:rPr>
          <w:sz w:val="28"/>
          <w:szCs w:val="28"/>
        </w:rPr>
        <w:t>_________________________________</w:t>
      </w:r>
      <w:r w:rsidRPr="00522B95">
        <w:rPr>
          <w:sz w:val="28"/>
          <w:szCs w:val="28"/>
        </w:rPr>
        <w:t xml:space="preserve">) рубля </w:t>
      </w:r>
      <w:r>
        <w:rPr>
          <w:sz w:val="28"/>
          <w:szCs w:val="28"/>
        </w:rPr>
        <w:t>_______</w:t>
      </w:r>
      <w:r w:rsidRPr="00522B95">
        <w:rPr>
          <w:sz w:val="28"/>
          <w:szCs w:val="28"/>
        </w:rPr>
        <w:t xml:space="preserve"> копейки - НДС, подлежащая уплате «Покупателем» в бюджет Российской Федерации. </w:t>
      </w:r>
    </w:p>
    <w:p w14:paraId="42B4E8EE" w14:textId="77777777" w:rsidR="00446FC9" w:rsidRPr="00522B95" w:rsidRDefault="00446FC9" w:rsidP="00446FC9">
      <w:pPr>
        <w:suppressAutoHyphens/>
        <w:ind w:firstLine="426"/>
        <w:jc w:val="both"/>
        <w:rPr>
          <w:sz w:val="28"/>
          <w:szCs w:val="28"/>
        </w:rPr>
      </w:pPr>
      <w:r w:rsidRPr="00522B95">
        <w:rPr>
          <w:sz w:val="28"/>
          <w:szCs w:val="28"/>
        </w:rPr>
        <w:t xml:space="preserve">    </w:t>
      </w:r>
      <w:r>
        <w:rPr>
          <w:sz w:val="28"/>
          <w:szCs w:val="28"/>
        </w:rPr>
        <w:t>3</w:t>
      </w:r>
      <w:r w:rsidRPr="00522B95">
        <w:rPr>
          <w:sz w:val="28"/>
          <w:szCs w:val="28"/>
        </w:rPr>
        <w:t>.</w:t>
      </w:r>
      <w:proofErr w:type="gramStart"/>
      <w:r w:rsidRPr="00522B95">
        <w:rPr>
          <w:sz w:val="28"/>
          <w:szCs w:val="28"/>
        </w:rPr>
        <w:t>3.Оплата</w:t>
      </w:r>
      <w:proofErr w:type="gramEnd"/>
      <w:r w:rsidRPr="00522B95">
        <w:rPr>
          <w:sz w:val="28"/>
          <w:szCs w:val="28"/>
        </w:rPr>
        <w:t xml:space="preserve"> производится путем перечисления денежных средств, по реквизитам, указанным в п.</w:t>
      </w:r>
      <w:r>
        <w:rPr>
          <w:sz w:val="28"/>
          <w:szCs w:val="28"/>
        </w:rPr>
        <w:t>3</w:t>
      </w:r>
      <w:r w:rsidRPr="00522B95">
        <w:rPr>
          <w:sz w:val="28"/>
          <w:szCs w:val="28"/>
        </w:rPr>
        <w:t>.2 Договора не позднее 30 календарных дней с даты заключения Договора.</w:t>
      </w:r>
    </w:p>
    <w:p w14:paraId="3158CFBF" w14:textId="77777777" w:rsidR="00446FC9" w:rsidRPr="00522B95" w:rsidRDefault="00446FC9" w:rsidP="00446FC9">
      <w:pPr>
        <w:suppressAutoHyphens/>
        <w:ind w:firstLine="426"/>
        <w:jc w:val="both"/>
        <w:rPr>
          <w:sz w:val="28"/>
          <w:szCs w:val="28"/>
        </w:rPr>
      </w:pPr>
      <w:r w:rsidRPr="00522B95">
        <w:rPr>
          <w:sz w:val="28"/>
          <w:szCs w:val="28"/>
        </w:rPr>
        <w:t xml:space="preserve">    </w:t>
      </w:r>
      <w:r>
        <w:rPr>
          <w:sz w:val="28"/>
          <w:szCs w:val="28"/>
        </w:rPr>
        <w:t>3</w:t>
      </w:r>
      <w:r w:rsidRPr="00522B95">
        <w:rPr>
          <w:sz w:val="28"/>
          <w:szCs w:val="28"/>
        </w:rPr>
        <w:t>.</w:t>
      </w:r>
      <w:proofErr w:type="gramStart"/>
      <w:r w:rsidRPr="00522B95">
        <w:rPr>
          <w:sz w:val="28"/>
          <w:szCs w:val="28"/>
        </w:rPr>
        <w:t>4.Датой</w:t>
      </w:r>
      <w:proofErr w:type="gramEnd"/>
      <w:r w:rsidRPr="00522B95">
        <w:rPr>
          <w:sz w:val="28"/>
          <w:szCs w:val="28"/>
        </w:rPr>
        <w:t xml:space="preserve"> оплаты считается дата поступления денежных средств на расчетные счета «Продавца», указанные в пункте п.</w:t>
      </w:r>
      <w:r>
        <w:rPr>
          <w:sz w:val="28"/>
          <w:szCs w:val="28"/>
        </w:rPr>
        <w:t>3</w:t>
      </w:r>
      <w:r w:rsidRPr="00522B95">
        <w:rPr>
          <w:sz w:val="28"/>
          <w:szCs w:val="28"/>
        </w:rPr>
        <w:t>.2 Договора.</w:t>
      </w:r>
    </w:p>
    <w:p w14:paraId="3726B1B2" w14:textId="77777777" w:rsidR="00446FC9" w:rsidRPr="00522B95" w:rsidRDefault="00446FC9" w:rsidP="00446FC9">
      <w:pPr>
        <w:tabs>
          <w:tab w:val="left" w:pos="2114"/>
        </w:tabs>
        <w:suppressAutoHyphens/>
        <w:ind w:firstLine="426"/>
        <w:jc w:val="both"/>
        <w:rPr>
          <w:sz w:val="28"/>
          <w:szCs w:val="28"/>
        </w:rPr>
      </w:pPr>
    </w:p>
    <w:p w14:paraId="627BD54D" w14:textId="77777777" w:rsidR="00446FC9" w:rsidRPr="00522B95" w:rsidRDefault="00446FC9" w:rsidP="00446FC9">
      <w:pPr>
        <w:widowControl w:val="0"/>
        <w:numPr>
          <w:ilvl w:val="0"/>
          <w:numId w:val="14"/>
        </w:numPr>
        <w:jc w:val="center"/>
        <w:rPr>
          <w:b/>
          <w:sz w:val="28"/>
          <w:szCs w:val="28"/>
        </w:rPr>
      </w:pPr>
      <w:r w:rsidRPr="00522B95">
        <w:rPr>
          <w:b/>
          <w:sz w:val="28"/>
          <w:szCs w:val="28"/>
        </w:rPr>
        <w:t>ПРАВА И ОБЯЗАННОСТИ СТОРОН</w:t>
      </w:r>
    </w:p>
    <w:p w14:paraId="43B2CA6E" w14:textId="77777777" w:rsidR="00446FC9" w:rsidRPr="00522B95" w:rsidRDefault="00446FC9" w:rsidP="00446FC9">
      <w:pPr>
        <w:widowControl w:val="0"/>
        <w:ind w:left="720"/>
        <w:rPr>
          <w:sz w:val="28"/>
          <w:szCs w:val="28"/>
        </w:rPr>
      </w:pPr>
    </w:p>
    <w:p w14:paraId="3D0CC789"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.1.«Продавец» обязан:</w:t>
      </w:r>
    </w:p>
    <w:p w14:paraId="2E4FA9FD" w14:textId="77777777" w:rsidR="00446FC9" w:rsidRPr="00522B95" w:rsidRDefault="00446FC9" w:rsidP="00446FC9">
      <w:pPr>
        <w:widowControl w:val="0"/>
        <w:ind w:firstLine="567"/>
        <w:jc w:val="both"/>
        <w:rPr>
          <w:sz w:val="28"/>
          <w:szCs w:val="28"/>
        </w:rPr>
      </w:pPr>
      <w:r>
        <w:rPr>
          <w:noProof/>
          <w:sz w:val="28"/>
          <w:szCs w:val="28"/>
        </w:rPr>
        <w:t>4</w:t>
      </w:r>
      <w:r w:rsidRPr="00522B95">
        <w:rPr>
          <w:noProof/>
          <w:sz w:val="28"/>
          <w:szCs w:val="28"/>
        </w:rPr>
        <w:t>.1.</w:t>
      </w:r>
      <w:proofErr w:type="gramStart"/>
      <w:r w:rsidRPr="00522B95">
        <w:rPr>
          <w:noProof/>
          <w:sz w:val="28"/>
          <w:szCs w:val="28"/>
        </w:rPr>
        <w:t>1.</w:t>
      </w:r>
      <w:r w:rsidRPr="00522B95">
        <w:rPr>
          <w:sz w:val="28"/>
          <w:szCs w:val="28"/>
        </w:rPr>
        <w:t>Принять</w:t>
      </w:r>
      <w:proofErr w:type="gramEnd"/>
      <w:r w:rsidRPr="00522B95">
        <w:rPr>
          <w:sz w:val="28"/>
          <w:szCs w:val="28"/>
        </w:rPr>
        <w:t xml:space="preserve"> оплату за «Имущество»;</w:t>
      </w:r>
    </w:p>
    <w:p w14:paraId="413912DF"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.1.</w:t>
      </w:r>
      <w:proofErr w:type="gramStart"/>
      <w:r w:rsidRPr="00522B95">
        <w:rPr>
          <w:sz w:val="28"/>
          <w:szCs w:val="28"/>
        </w:rPr>
        <w:t>2.Передать</w:t>
      </w:r>
      <w:proofErr w:type="gramEnd"/>
      <w:r w:rsidRPr="00522B95">
        <w:rPr>
          <w:sz w:val="28"/>
          <w:szCs w:val="28"/>
        </w:rPr>
        <w:t xml:space="preserve"> «Покупателю» «Имущество» по акту приема-передачи.</w:t>
      </w:r>
    </w:p>
    <w:p w14:paraId="4595C52F" w14:textId="77777777" w:rsidR="00446FC9" w:rsidRPr="00522B95" w:rsidRDefault="00446FC9" w:rsidP="00446FC9">
      <w:pPr>
        <w:widowControl w:val="0"/>
        <w:ind w:firstLine="567"/>
        <w:jc w:val="both"/>
        <w:rPr>
          <w:sz w:val="28"/>
          <w:szCs w:val="28"/>
        </w:rPr>
      </w:pPr>
      <w:r>
        <w:rPr>
          <w:noProof/>
          <w:sz w:val="28"/>
          <w:szCs w:val="28"/>
        </w:rPr>
        <w:t>4</w:t>
      </w:r>
      <w:r w:rsidRPr="00522B95">
        <w:rPr>
          <w:noProof/>
          <w:sz w:val="28"/>
          <w:szCs w:val="28"/>
        </w:rPr>
        <w:t>.2.</w:t>
      </w:r>
      <w:r w:rsidRPr="00522B95">
        <w:rPr>
          <w:sz w:val="28"/>
          <w:szCs w:val="28"/>
        </w:rPr>
        <w:t>«Покупатель» обязан:</w:t>
      </w:r>
    </w:p>
    <w:p w14:paraId="1DBA838D" w14:textId="77777777" w:rsidR="00446FC9" w:rsidRPr="00522B95" w:rsidRDefault="00446FC9" w:rsidP="00446FC9">
      <w:pPr>
        <w:widowControl w:val="0"/>
        <w:ind w:firstLine="567"/>
        <w:jc w:val="both"/>
        <w:rPr>
          <w:sz w:val="28"/>
          <w:szCs w:val="28"/>
        </w:rPr>
      </w:pPr>
      <w:r>
        <w:rPr>
          <w:noProof/>
          <w:sz w:val="28"/>
          <w:szCs w:val="28"/>
        </w:rPr>
        <w:t>4</w:t>
      </w:r>
      <w:r w:rsidRPr="00522B95">
        <w:rPr>
          <w:noProof/>
          <w:sz w:val="28"/>
          <w:szCs w:val="28"/>
        </w:rPr>
        <w:t>.2.</w:t>
      </w:r>
      <w:proofErr w:type="gramStart"/>
      <w:r w:rsidRPr="00522B95">
        <w:rPr>
          <w:noProof/>
          <w:sz w:val="28"/>
          <w:szCs w:val="28"/>
        </w:rPr>
        <w:t>1.</w:t>
      </w:r>
      <w:r w:rsidRPr="00522B95">
        <w:rPr>
          <w:sz w:val="28"/>
          <w:szCs w:val="28"/>
        </w:rPr>
        <w:t>Оплатить</w:t>
      </w:r>
      <w:proofErr w:type="gramEnd"/>
      <w:r w:rsidRPr="00522B95">
        <w:rPr>
          <w:sz w:val="28"/>
          <w:szCs w:val="28"/>
        </w:rPr>
        <w:t xml:space="preserve"> «Имущество» в объеме, в порядке и в сроки, установленные разделом 2 Договора;</w:t>
      </w:r>
    </w:p>
    <w:p w14:paraId="17558C25"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.2.</w:t>
      </w:r>
      <w:proofErr w:type="gramStart"/>
      <w:r w:rsidRPr="00522B95">
        <w:rPr>
          <w:sz w:val="28"/>
          <w:szCs w:val="28"/>
        </w:rPr>
        <w:t>2.Принять</w:t>
      </w:r>
      <w:proofErr w:type="gramEnd"/>
      <w:r w:rsidRPr="00522B95">
        <w:rPr>
          <w:sz w:val="28"/>
          <w:szCs w:val="28"/>
        </w:rPr>
        <w:t xml:space="preserve"> «Имущество» на условиях, предусмотренных разделом </w:t>
      </w:r>
      <w:r>
        <w:rPr>
          <w:sz w:val="28"/>
          <w:szCs w:val="28"/>
        </w:rPr>
        <w:t>5</w:t>
      </w:r>
      <w:r w:rsidRPr="00522B95">
        <w:rPr>
          <w:sz w:val="28"/>
          <w:szCs w:val="28"/>
        </w:rPr>
        <w:t xml:space="preserve"> Договора;</w:t>
      </w:r>
    </w:p>
    <w:p w14:paraId="47EE2BB3"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.2.3.В случае неисполнения или несвоевременного исполнения обязательств по Договору, уплатить сумму пени «Продавцу» в соответствии с п.</w:t>
      </w:r>
      <w:r>
        <w:rPr>
          <w:sz w:val="28"/>
          <w:szCs w:val="28"/>
        </w:rPr>
        <w:t>6</w:t>
      </w:r>
      <w:r w:rsidRPr="00522B95">
        <w:rPr>
          <w:sz w:val="28"/>
          <w:szCs w:val="28"/>
        </w:rPr>
        <w:t>.1 Договора.</w:t>
      </w:r>
    </w:p>
    <w:p w14:paraId="170F5E14"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 xml:space="preserve">.3. «Стороны» обязуются </w:t>
      </w:r>
      <w:r>
        <w:rPr>
          <w:sz w:val="28"/>
          <w:szCs w:val="28"/>
        </w:rPr>
        <w:t>не позднее 30 дней</w:t>
      </w:r>
      <w:r w:rsidRPr="00522B95">
        <w:rPr>
          <w:sz w:val="28"/>
          <w:szCs w:val="28"/>
        </w:rPr>
        <w:t>,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14:paraId="4398D5E5" w14:textId="77777777" w:rsidR="00446FC9" w:rsidRPr="00522B95" w:rsidRDefault="00446FC9" w:rsidP="00446FC9">
      <w:pPr>
        <w:widowControl w:val="0"/>
        <w:jc w:val="both"/>
        <w:rPr>
          <w:sz w:val="28"/>
          <w:szCs w:val="28"/>
        </w:rPr>
      </w:pPr>
    </w:p>
    <w:p w14:paraId="5952879C" w14:textId="77777777" w:rsidR="00446FC9" w:rsidRPr="00522B95" w:rsidRDefault="00446FC9" w:rsidP="00446FC9">
      <w:pPr>
        <w:widowControl w:val="0"/>
        <w:numPr>
          <w:ilvl w:val="0"/>
          <w:numId w:val="14"/>
        </w:numPr>
        <w:jc w:val="center"/>
        <w:rPr>
          <w:b/>
          <w:sz w:val="28"/>
          <w:szCs w:val="28"/>
        </w:rPr>
      </w:pPr>
      <w:r w:rsidRPr="00522B95">
        <w:rPr>
          <w:b/>
          <w:sz w:val="28"/>
          <w:szCs w:val="28"/>
        </w:rPr>
        <w:lastRenderedPageBreak/>
        <w:t>ПОРЯДОК ПЕРЕДАЧИ ИМУЩЕСТВА</w:t>
      </w:r>
    </w:p>
    <w:p w14:paraId="4E294835" w14:textId="77777777" w:rsidR="00446FC9" w:rsidRPr="00522B95" w:rsidRDefault="00446FC9" w:rsidP="00446FC9">
      <w:pPr>
        <w:widowControl w:val="0"/>
        <w:ind w:left="720"/>
        <w:rPr>
          <w:b/>
          <w:sz w:val="28"/>
          <w:szCs w:val="28"/>
        </w:rPr>
      </w:pPr>
    </w:p>
    <w:p w14:paraId="20C3FF9C" w14:textId="77777777" w:rsidR="00446FC9" w:rsidRPr="00522B95" w:rsidRDefault="00446FC9" w:rsidP="00446FC9">
      <w:pPr>
        <w:widowControl w:val="0"/>
        <w:ind w:firstLine="567"/>
        <w:jc w:val="both"/>
        <w:rPr>
          <w:sz w:val="28"/>
          <w:szCs w:val="28"/>
        </w:rPr>
      </w:pPr>
      <w:r>
        <w:rPr>
          <w:sz w:val="28"/>
          <w:szCs w:val="28"/>
        </w:rPr>
        <w:t>5</w:t>
      </w:r>
      <w:r w:rsidRPr="00522B95">
        <w:rPr>
          <w:sz w:val="28"/>
          <w:szCs w:val="28"/>
        </w:rPr>
        <w:t>.</w:t>
      </w:r>
      <w:proofErr w:type="gramStart"/>
      <w:r w:rsidRPr="00522B95">
        <w:rPr>
          <w:sz w:val="28"/>
          <w:szCs w:val="28"/>
        </w:rPr>
        <w:t>1.Прием</w:t>
      </w:r>
      <w:proofErr w:type="gramEnd"/>
      <w:r w:rsidRPr="00522B95">
        <w:rPr>
          <w:sz w:val="28"/>
          <w:szCs w:val="28"/>
        </w:rPr>
        <w:t xml:space="preserve">-передача «Имущества» осуществляется по акту приема-передачи, подписываемому полномочными представителями Сторон. </w:t>
      </w:r>
    </w:p>
    <w:p w14:paraId="1A31BBCC" w14:textId="77777777" w:rsidR="00446FC9" w:rsidRPr="00522B95" w:rsidRDefault="00446FC9" w:rsidP="00446FC9">
      <w:pPr>
        <w:ind w:firstLine="567"/>
        <w:jc w:val="center"/>
        <w:rPr>
          <w:b/>
          <w:sz w:val="28"/>
          <w:szCs w:val="28"/>
        </w:rPr>
      </w:pPr>
    </w:p>
    <w:p w14:paraId="00FE3676" w14:textId="77777777" w:rsidR="00446FC9" w:rsidRPr="00522B95" w:rsidRDefault="00446FC9" w:rsidP="00446FC9">
      <w:pPr>
        <w:numPr>
          <w:ilvl w:val="0"/>
          <w:numId w:val="14"/>
        </w:numPr>
        <w:jc w:val="center"/>
        <w:rPr>
          <w:b/>
          <w:sz w:val="28"/>
          <w:szCs w:val="28"/>
        </w:rPr>
      </w:pPr>
      <w:r w:rsidRPr="00522B95">
        <w:rPr>
          <w:b/>
          <w:sz w:val="28"/>
          <w:szCs w:val="28"/>
        </w:rPr>
        <w:t>ОТВЕТСТВЕННОСТЬ СТОРОН</w:t>
      </w:r>
    </w:p>
    <w:p w14:paraId="337C0CEF" w14:textId="77777777" w:rsidR="00446FC9" w:rsidRPr="00522B95" w:rsidRDefault="00446FC9" w:rsidP="00446FC9">
      <w:pPr>
        <w:ind w:left="720"/>
        <w:rPr>
          <w:b/>
          <w:sz w:val="28"/>
          <w:szCs w:val="28"/>
        </w:rPr>
      </w:pPr>
    </w:p>
    <w:p w14:paraId="3908EBEA" w14:textId="77777777" w:rsidR="00446FC9" w:rsidRPr="00522B95" w:rsidRDefault="00446FC9" w:rsidP="00446FC9">
      <w:pPr>
        <w:ind w:firstLine="567"/>
        <w:jc w:val="both"/>
        <w:rPr>
          <w:sz w:val="28"/>
          <w:szCs w:val="28"/>
        </w:rPr>
      </w:pPr>
      <w:r>
        <w:rPr>
          <w:sz w:val="28"/>
          <w:szCs w:val="28"/>
        </w:rPr>
        <w:t>6</w:t>
      </w:r>
      <w:r w:rsidRPr="00522B95">
        <w:rPr>
          <w:sz w:val="28"/>
          <w:szCs w:val="28"/>
        </w:rPr>
        <w:t>.</w:t>
      </w:r>
      <w:proofErr w:type="gramStart"/>
      <w:r w:rsidRPr="00522B95">
        <w:rPr>
          <w:sz w:val="28"/>
          <w:szCs w:val="28"/>
        </w:rPr>
        <w:t>1.За</w:t>
      </w:r>
      <w:proofErr w:type="gramEnd"/>
      <w:r w:rsidRPr="00522B95">
        <w:rPr>
          <w:sz w:val="28"/>
          <w:szCs w:val="28"/>
        </w:rPr>
        <w:t xml:space="preserve"> нарушение сроков оплаты, предусмотренных п.</w:t>
      </w:r>
      <w:r>
        <w:rPr>
          <w:sz w:val="28"/>
          <w:szCs w:val="28"/>
        </w:rPr>
        <w:t>3</w:t>
      </w:r>
      <w:r w:rsidRPr="00522B95">
        <w:rPr>
          <w:sz w:val="28"/>
          <w:szCs w:val="28"/>
        </w:rPr>
        <w:t>.3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14:paraId="264F531A" w14:textId="77777777" w:rsidR="00446FC9" w:rsidRPr="00522B95" w:rsidRDefault="00446FC9" w:rsidP="00446FC9">
      <w:pPr>
        <w:ind w:firstLine="567"/>
        <w:jc w:val="both"/>
        <w:rPr>
          <w:sz w:val="28"/>
          <w:szCs w:val="28"/>
        </w:rPr>
      </w:pPr>
      <w:r>
        <w:rPr>
          <w:sz w:val="28"/>
          <w:szCs w:val="28"/>
        </w:rPr>
        <w:t>6</w:t>
      </w:r>
      <w:r w:rsidRPr="00522B95">
        <w:rPr>
          <w:sz w:val="28"/>
          <w:szCs w:val="28"/>
        </w:rPr>
        <w:t>.</w:t>
      </w:r>
      <w:proofErr w:type="gramStart"/>
      <w:r w:rsidRPr="00522B95">
        <w:rPr>
          <w:sz w:val="28"/>
          <w:szCs w:val="28"/>
        </w:rPr>
        <w:t>2.За</w:t>
      </w:r>
      <w:proofErr w:type="gramEnd"/>
      <w:r w:rsidRPr="00522B95">
        <w:rPr>
          <w:sz w:val="28"/>
          <w:szCs w:val="28"/>
        </w:rPr>
        <w:t xml:space="preserve">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4C33DB92" w14:textId="77777777" w:rsidR="00446FC9" w:rsidRPr="00522B95" w:rsidRDefault="00446FC9" w:rsidP="00446FC9">
      <w:pPr>
        <w:ind w:firstLine="567"/>
        <w:jc w:val="both"/>
        <w:rPr>
          <w:sz w:val="28"/>
          <w:szCs w:val="28"/>
        </w:rPr>
      </w:pPr>
      <w:r>
        <w:rPr>
          <w:sz w:val="28"/>
          <w:szCs w:val="28"/>
        </w:rPr>
        <w:t>6</w:t>
      </w:r>
      <w:r w:rsidRPr="00522B95">
        <w:rPr>
          <w:sz w:val="28"/>
          <w:szCs w:val="28"/>
        </w:rPr>
        <w:t>.3.«Сторона»,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7C7B42AE" w14:textId="77777777" w:rsidR="00446FC9" w:rsidRPr="00522B95" w:rsidRDefault="00446FC9" w:rsidP="00446FC9">
      <w:pPr>
        <w:ind w:firstLine="567"/>
        <w:jc w:val="both"/>
        <w:rPr>
          <w:sz w:val="28"/>
          <w:szCs w:val="28"/>
        </w:rPr>
      </w:pPr>
      <w:r>
        <w:rPr>
          <w:sz w:val="28"/>
          <w:szCs w:val="28"/>
        </w:rPr>
        <w:t>6</w:t>
      </w:r>
      <w:r w:rsidRPr="00522B95">
        <w:rPr>
          <w:sz w:val="28"/>
          <w:szCs w:val="28"/>
        </w:rPr>
        <w:t>.</w:t>
      </w:r>
      <w:proofErr w:type="gramStart"/>
      <w:r w:rsidRPr="00522B95">
        <w:rPr>
          <w:sz w:val="28"/>
          <w:szCs w:val="28"/>
        </w:rPr>
        <w:t>4.Во</w:t>
      </w:r>
      <w:proofErr w:type="gramEnd"/>
      <w:r w:rsidRPr="00522B95">
        <w:rPr>
          <w:sz w:val="28"/>
          <w:szCs w:val="28"/>
        </w:rPr>
        <w:t xml:space="preserve">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14:paraId="1FBA1AD4" w14:textId="77777777" w:rsidR="00446FC9" w:rsidRPr="00522B95" w:rsidRDefault="00446FC9" w:rsidP="00446FC9">
      <w:pPr>
        <w:ind w:firstLine="567"/>
        <w:jc w:val="center"/>
        <w:rPr>
          <w:b/>
          <w:sz w:val="28"/>
          <w:szCs w:val="28"/>
        </w:rPr>
      </w:pPr>
    </w:p>
    <w:p w14:paraId="41A3F62E" w14:textId="77777777" w:rsidR="00446FC9" w:rsidRPr="00522B95" w:rsidRDefault="00446FC9" w:rsidP="00446FC9">
      <w:pPr>
        <w:ind w:firstLine="567"/>
        <w:jc w:val="center"/>
        <w:rPr>
          <w:sz w:val="28"/>
          <w:szCs w:val="28"/>
        </w:rPr>
      </w:pPr>
      <w:r>
        <w:rPr>
          <w:b/>
          <w:sz w:val="28"/>
          <w:szCs w:val="28"/>
        </w:rPr>
        <w:t>7</w:t>
      </w:r>
      <w:r w:rsidRPr="00522B95">
        <w:rPr>
          <w:b/>
          <w:sz w:val="28"/>
          <w:szCs w:val="28"/>
        </w:rPr>
        <w:t>.ФОРС-МАЖОР</w:t>
      </w:r>
    </w:p>
    <w:p w14:paraId="4A282145" w14:textId="77777777" w:rsidR="00446FC9" w:rsidRPr="00522B95" w:rsidRDefault="00446FC9" w:rsidP="00446FC9">
      <w:pPr>
        <w:ind w:firstLine="567"/>
        <w:jc w:val="center"/>
        <w:rPr>
          <w:b/>
          <w:sz w:val="28"/>
          <w:szCs w:val="28"/>
        </w:rPr>
      </w:pPr>
    </w:p>
    <w:p w14:paraId="009136C0" w14:textId="77777777" w:rsidR="00446FC9" w:rsidRPr="00522B95" w:rsidRDefault="00446FC9" w:rsidP="00446FC9">
      <w:pPr>
        <w:ind w:firstLine="567"/>
        <w:jc w:val="both"/>
        <w:rPr>
          <w:sz w:val="28"/>
          <w:szCs w:val="28"/>
        </w:rPr>
      </w:pPr>
      <w:r>
        <w:rPr>
          <w:sz w:val="28"/>
          <w:szCs w:val="28"/>
        </w:rPr>
        <w:t>7</w:t>
      </w:r>
      <w:r w:rsidRPr="00522B95">
        <w:rPr>
          <w:sz w:val="28"/>
          <w:szCs w:val="28"/>
        </w:rPr>
        <w:t>.</w:t>
      </w:r>
      <w:proofErr w:type="gramStart"/>
      <w:r w:rsidRPr="00522B95">
        <w:rPr>
          <w:sz w:val="28"/>
          <w:szCs w:val="28"/>
        </w:rPr>
        <w:t>1.Ни</w:t>
      </w:r>
      <w:proofErr w:type="gramEnd"/>
      <w:r w:rsidRPr="00522B95">
        <w:rPr>
          <w:sz w:val="28"/>
          <w:szCs w:val="28"/>
        </w:rPr>
        <w:t xml:space="preserve"> одна из </w:t>
      </w:r>
      <w:r w:rsidRPr="00522B95">
        <w:rPr>
          <w:bCs/>
          <w:sz w:val="28"/>
          <w:szCs w:val="28"/>
        </w:rPr>
        <w:t>«Сторон»</w:t>
      </w:r>
      <w:r w:rsidRPr="00522B95">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5DEE1FB1" w14:textId="77777777" w:rsidR="00446FC9" w:rsidRPr="00522B95" w:rsidRDefault="00446FC9" w:rsidP="00446FC9">
      <w:pPr>
        <w:ind w:firstLine="567"/>
        <w:jc w:val="both"/>
        <w:rPr>
          <w:sz w:val="28"/>
          <w:szCs w:val="28"/>
        </w:rPr>
      </w:pPr>
      <w:r w:rsidRPr="00522B95">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1342AF22" w14:textId="77777777" w:rsidR="00446FC9" w:rsidRPr="00522B95" w:rsidRDefault="00446FC9" w:rsidP="00446FC9">
      <w:pPr>
        <w:ind w:firstLine="567"/>
        <w:jc w:val="both"/>
        <w:rPr>
          <w:sz w:val="28"/>
          <w:szCs w:val="28"/>
        </w:rPr>
      </w:pPr>
      <w:r w:rsidRPr="00522B95">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00456487" w14:textId="77777777" w:rsidR="00446FC9" w:rsidRPr="00522B95" w:rsidRDefault="00446FC9" w:rsidP="00446FC9">
      <w:pPr>
        <w:ind w:firstLine="567"/>
        <w:jc w:val="both"/>
        <w:rPr>
          <w:sz w:val="28"/>
          <w:szCs w:val="28"/>
        </w:rPr>
      </w:pPr>
      <w:r>
        <w:rPr>
          <w:sz w:val="28"/>
          <w:szCs w:val="28"/>
        </w:rPr>
        <w:t>7</w:t>
      </w:r>
      <w:r w:rsidRPr="00522B95">
        <w:rPr>
          <w:sz w:val="28"/>
          <w:szCs w:val="28"/>
        </w:rPr>
        <w:t>.</w:t>
      </w:r>
      <w:proofErr w:type="gramStart"/>
      <w:r w:rsidRPr="00522B95">
        <w:rPr>
          <w:sz w:val="28"/>
          <w:szCs w:val="28"/>
        </w:rPr>
        <w:t>2.Ненадлежащее</w:t>
      </w:r>
      <w:proofErr w:type="gramEnd"/>
      <w:r w:rsidRPr="00522B95">
        <w:rPr>
          <w:sz w:val="28"/>
          <w:szCs w:val="28"/>
        </w:rPr>
        <w:t xml:space="preserve">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обстоятельств влечет за собой утрату права ссылаться на эти обстоятельства.</w:t>
      </w:r>
    </w:p>
    <w:p w14:paraId="012E32DD" w14:textId="77777777" w:rsidR="00446FC9" w:rsidRPr="00522B95" w:rsidRDefault="00446FC9" w:rsidP="00446FC9">
      <w:pPr>
        <w:ind w:firstLine="567"/>
        <w:jc w:val="both"/>
        <w:rPr>
          <w:sz w:val="28"/>
          <w:szCs w:val="28"/>
        </w:rPr>
      </w:pPr>
      <w:r>
        <w:rPr>
          <w:sz w:val="28"/>
          <w:szCs w:val="28"/>
        </w:rPr>
        <w:t>7</w:t>
      </w:r>
      <w:r w:rsidRPr="00522B95">
        <w:rPr>
          <w:sz w:val="28"/>
          <w:szCs w:val="28"/>
        </w:rPr>
        <w:t>.</w:t>
      </w:r>
      <w:proofErr w:type="gramStart"/>
      <w:r w:rsidRPr="00522B95">
        <w:rPr>
          <w:sz w:val="28"/>
          <w:szCs w:val="28"/>
        </w:rPr>
        <w:t>3.Оплата</w:t>
      </w:r>
      <w:proofErr w:type="gramEnd"/>
      <w:r w:rsidRPr="00522B95">
        <w:rPr>
          <w:sz w:val="28"/>
          <w:szCs w:val="28"/>
        </w:rPr>
        <w:t xml:space="preserve"> пени не освобождает «Стороны» от исполнения обязательств по Договору, в том случае, когда другая «Сторона» на этом настаивает.</w:t>
      </w:r>
    </w:p>
    <w:p w14:paraId="6461F504" w14:textId="77777777" w:rsidR="00446FC9" w:rsidRPr="00522B95" w:rsidRDefault="00446FC9" w:rsidP="00446FC9">
      <w:pPr>
        <w:jc w:val="both"/>
        <w:rPr>
          <w:sz w:val="28"/>
          <w:szCs w:val="28"/>
        </w:rPr>
      </w:pPr>
    </w:p>
    <w:p w14:paraId="1D019387" w14:textId="77777777" w:rsidR="00446FC9" w:rsidRPr="00D01657" w:rsidRDefault="00446FC9" w:rsidP="00446FC9">
      <w:pPr>
        <w:widowControl w:val="0"/>
        <w:jc w:val="center"/>
        <w:rPr>
          <w:b/>
          <w:sz w:val="28"/>
          <w:szCs w:val="28"/>
        </w:rPr>
      </w:pPr>
      <w:r w:rsidRPr="00D01657">
        <w:rPr>
          <w:b/>
          <w:sz w:val="28"/>
          <w:szCs w:val="28"/>
        </w:rPr>
        <w:t>8.ВОЗНИКНОВЕНИЕ ПРАВА СОБСТВЕННОСТИ</w:t>
      </w:r>
    </w:p>
    <w:p w14:paraId="60855E82" w14:textId="77777777" w:rsidR="00446FC9" w:rsidRPr="00D01657" w:rsidRDefault="00446FC9" w:rsidP="00446FC9">
      <w:pPr>
        <w:widowControl w:val="0"/>
        <w:ind w:left="720"/>
        <w:rPr>
          <w:b/>
          <w:sz w:val="28"/>
          <w:szCs w:val="28"/>
        </w:rPr>
      </w:pPr>
    </w:p>
    <w:p w14:paraId="77879177" w14:textId="77777777" w:rsidR="00446FC9" w:rsidRPr="00522B95" w:rsidRDefault="00446FC9" w:rsidP="00446FC9">
      <w:pPr>
        <w:widowControl w:val="0"/>
        <w:ind w:firstLine="567"/>
        <w:jc w:val="both"/>
        <w:rPr>
          <w:sz w:val="28"/>
          <w:szCs w:val="28"/>
        </w:rPr>
      </w:pPr>
      <w:r w:rsidRPr="00D01657">
        <w:rPr>
          <w:noProof/>
          <w:sz w:val="28"/>
          <w:szCs w:val="28"/>
        </w:rPr>
        <w:t>8.</w:t>
      </w:r>
      <w:proofErr w:type="gramStart"/>
      <w:r w:rsidRPr="00D01657">
        <w:rPr>
          <w:noProof/>
          <w:sz w:val="28"/>
          <w:szCs w:val="28"/>
        </w:rPr>
        <w:t>1.</w:t>
      </w:r>
      <w:r w:rsidRPr="00D01657">
        <w:rPr>
          <w:sz w:val="28"/>
          <w:szCs w:val="28"/>
        </w:rPr>
        <w:t>Право</w:t>
      </w:r>
      <w:proofErr w:type="gramEnd"/>
      <w:r w:rsidRPr="00D01657">
        <w:rPr>
          <w:sz w:val="28"/>
          <w:szCs w:val="28"/>
        </w:rPr>
        <w:t xml:space="preserve"> собственности на «Имущество» возникает у «Покупателя» после </w:t>
      </w:r>
      <w:r w:rsidRPr="00D01657">
        <w:rPr>
          <w:sz w:val="28"/>
          <w:szCs w:val="28"/>
        </w:rPr>
        <w:lastRenderedPageBreak/>
        <w:t>осуществления государственной регистрации права собственности на «Имущество».</w:t>
      </w:r>
    </w:p>
    <w:p w14:paraId="26E4862E" w14:textId="77777777" w:rsidR="00446FC9" w:rsidRPr="00522B95" w:rsidRDefault="00446FC9" w:rsidP="00446FC9">
      <w:pPr>
        <w:widowControl w:val="0"/>
        <w:jc w:val="center"/>
        <w:rPr>
          <w:b/>
          <w:sz w:val="28"/>
          <w:szCs w:val="28"/>
        </w:rPr>
      </w:pPr>
    </w:p>
    <w:p w14:paraId="27FC679B" w14:textId="77777777" w:rsidR="00446FC9" w:rsidRPr="00522B95" w:rsidRDefault="00446FC9" w:rsidP="00446FC9">
      <w:pPr>
        <w:widowControl w:val="0"/>
        <w:jc w:val="center"/>
        <w:rPr>
          <w:b/>
          <w:sz w:val="28"/>
          <w:szCs w:val="28"/>
        </w:rPr>
      </w:pPr>
      <w:r>
        <w:rPr>
          <w:b/>
          <w:sz w:val="28"/>
          <w:szCs w:val="28"/>
        </w:rPr>
        <w:t>9</w:t>
      </w:r>
      <w:r w:rsidRPr="00522B95">
        <w:rPr>
          <w:b/>
          <w:sz w:val="28"/>
          <w:szCs w:val="28"/>
        </w:rPr>
        <w:t>. СРОК ДЕЙСТВИЯ ДОГОВОРА</w:t>
      </w:r>
    </w:p>
    <w:p w14:paraId="191F776F" w14:textId="77777777" w:rsidR="00446FC9" w:rsidRPr="00522B95" w:rsidRDefault="00446FC9" w:rsidP="00446FC9">
      <w:pPr>
        <w:widowControl w:val="0"/>
        <w:jc w:val="center"/>
        <w:rPr>
          <w:b/>
          <w:sz w:val="28"/>
          <w:szCs w:val="28"/>
        </w:rPr>
      </w:pPr>
    </w:p>
    <w:p w14:paraId="673593CC" w14:textId="77777777" w:rsidR="00446FC9" w:rsidRPr="00522B95" w:rsidRDefault="00446FC9" w:rsidP="00446FC9">
      <w:pPr>
        <w:widowControl w:val="0"/>
        <w:ind w:firstLine="567"/>
        <w:jc w:val="both"/>
        <w:rPr>
          <w:b/>
          <w:sz w:val="28"/>
          <w:szCs w:val="28"/>
        </w:rPr>
      </w:pPr>
      <w:r>
        <w:rPr>
          <w:noProof/>
          <w:sz w:val="28"/>
          <w:szCs w:val="28"/>
        </w:rPr>
        <w:t>9</w:t>
      </w:r>
      <w:r w:rsidRPr="00522B95">
        <w:rPr>
          <w:noProof/>
          <w:sz w:val="28"/>
          <w:szCs w:val="28"/>
        </w:rPr>
        <w:t>.</w:t>
      </w:r>
      <w:proofErr w:type="gramStart"/>
      <w:r w:rsidRPr="00522B95">
        <w:rPr>
          <w:noProof/>
          <w:sz w:val="28"/>
          <w:szCs w:val="28"/>
        </w:rPr>
        <w:t>1.</w:t>
      </w:r>
      <w:r w:rsidRPr="00522B95">
        <w:rPr>
          <w:sz w:val="28"/>
          <w:szCs w:val="28"/>
        </w:rPr>
        <w:t>Договор</w:t>
      </w:r>
      <w:proofErr w:type="gramEnd"/>
      <w:r w:rsidRPr="00522B95">
        <w:rPr>
          <w:sz w:val="28"/>
          <w:szCs w:val="28"/>
        </w:rPr>
        <w:t xml:space="preserve"> действует с момента его подписания и до</w:t>
      </w:r>
      <w:r>
        <w:rPr>
          <w:sz w:val="28"/>
          <w:szCs w:val="28"/>
        </w:rPr>
        <w:t xml:space="preserve"> 31.12.2024, а в части исполнения обязательств договора до</w:t>
      </w:r>
      <w:r w:rsidRPr="00522B95">
        <w:rPr>
          <w:sz w:val="28"/>
          <w:szCs w:val="28"/>
        </w:rPr>
        <w:t xml:space="preserve"> полного исполнения «Сторонами» всех обязательств по Договору.</w:t>
      </w:r>
    </w:p>
    <w:p w14:paraId="0D73D4FA" w14:textId="77777777" w:rsidR="00446FC9" w:rsidRPr="00522B95" w:rsidRDefault="00446FC9" w:rsidP="00446FC9">
      <w:pPr>
        <w:ind w:firstLine="567"/>
        <w:jc w:val="center"/>
        <w:rPr>
          <w:b/>
          <w:sz w:val="28"/>
          <w:szCs w:val="28"/>
        </w:rPr>
      </w:pPr>
    </w:p>
    <w:p w14:paraId="2FBE2275" w14:textId="77777777" w:rsidR="00446FC9" w:rsidRPr="00522B95" w:rsidRDefault="00446FC9" w:rsidP="00446FC9">
      <w:pPr>
        <w:ind w:firstLine="567"/>
        <w:jc w:val="center"/>
        <w:rPr>
          <w:b/>
          <w:sz w:val="28"/>
          <w:szCs w:val="28"/>
        </w:rPr>
      </w:pPr>
      <w:r>
        <w:rPr>
          <w:b/>
          <w:sz w:val="28"/>
          <w:szCs w:val="28"/>
        </w:rPr>
        <w:t>10</w:t>
      </w:r>
      <w:r w:rsidRPr="00522B95">
        <w:rPr>
          <w:b/>
          <w:sz w:val="28"/>
          <w:szCs w:val="28"/>
        </w:rPr>
        <w:t>. РАСТОРЖЕНИЕ ДОГОВОРА</w:t>
      </w:r>
    </w:p>
    <w:p w14:paraId="2C3CBFB7" w14:textId="77777777" w:rsidR="00446FC9" w:rsidRPr="00522B95" w:rsidRDefault="00446FC9" w:rsidP="00446FC9">
      <w:pPr>
        <w:ind w:firstLine="567"/>
        <w:jc w:val="center"/>
        <w:rPr>
          <w:b/>
          <w:sz w:val="28"/>
          <w:szCs w:val="28"/>
        </w:rPr>
      </w:pPr>
    </w:p>
    <w:p w14:paraId="3193A7D2" w14:textId="77777777" w:rsidR="00446FC9" w:rsidRPr="00522B95" w:rsidRDefault="00446FC9" w:rsidP="00446FC9">
      <w:pPr>
        <w:ind w:firstLine="567"/>
        <w:jc w:val="both"/>
        <w:rPr>
          <w:sz w:val="28"/>
          <w:szCs w:val="28"/>
        </w:rPr>
      </w:pPr>
      <w:r>
        <w:rPr>
          <w:sz w:val="28"/>
          <w:szCs w:val="28"/>
        </w:rPr>
        <w:t>10</w:t>
      </w:r>
      <w:r w:rsidRPr="00522B95">
        <w:rPr>
          <w:sz w:val="28"/>
          <w:szCs w:val="28"/>
        </w:rPr>
        <w:t>.</w:t>
      </w:r>
      <w:proofErr w:type="gramStart"/>
      <w:r w:rsidRPr="00522B95">
        <w:rPr>
          <w:sz w:val="28"/>
          <w:szCs w:val="28"/>
        </w:rPr>
        <w:t>1.Договор</w:t>
      </w:r>
      <w:proofErr w:type="gramEnd"/>
      <w:r w:rsidRPr="00522B95">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14:paraId="089A030D" w14:textId="77777777" w:rsidR="00446FC9" w:rsidRPr="00522B95" w:rsidRDefault="00446FC9" w:rsidP="00446FC9">
      <w:pPr>
        <w:ind w:firstLine="567"/>
        <w:jc w:val="both"/>
        <w:rPr>
          <w:sz w:val="28"/>
          <w:szCs w:val="28"/>
        </w:rPr>
      </w:pPr>
      <w:r>
        <w:rPr>
          <w:sz w:val="28"/>
          <w:szCs w:val="28"/>
        </w:rPr>
        <w:t>10</w:t>
      </w:r>
      <w:r w:rsidRPr="00522B95">
        <w:rPr>
          <w:sz w:val="28"/>
          <w:szCs w:val="28"/>
        </w:rPr>
        <w:t>.2.«Продавец»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14:paraId="1773C272" w14:textId="77777777" w:rsidR="00446FC9" w:rsidRPr="003C23F8" w:rsidRDefault="00446FC9" w:rsidP="00446FC9">
      <w:pPr>
        <w:ind w:firstLine="567"/>
        <w:jc w:val="both"/>
        <w:rPr>
          <w:sz w:val="28"/>
          <w:szCs w:val="28"/>
        </w:rPr>
      </w:pPr>
      <w:r w:rsidRPr="00522B95">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14:paraId="4EF75625" w14:textId="77777777" w:rsidR="00446FC9" w:rsidRDefault="00446FC9" w:rsidP="00446FC9">
      <w:pPr>
        <w:ind w:firstLine="567"/>
        <w:jc w:val="center"/>
        <w:rPr>
          <w:b/>
          <w:sz w:val="28"/>
          <w:szCs w:val="28"/>
        </w:rPr>
      </w:pPr>
    </w:p>
    <w:p w14:paraId="01B0B544" w14:textId="77777777" w:rsidR="00446FC9" w:rsidRPr="00522B95" w:rsidRDefault="00446FC9" w:rsidP="00446FC9">
      <w:pPr>
        <w:ind w:firstLine="567"/>
        <w:jc w:val="center"/>
        <w:rPr>
          <w:b/>
          <w:sz w:val="28"/>
          <w:szCs w:val="28"/>
        </w:rPr>
      </w:pPr>
      <w:r w:rsidRPr="00522B95">
        <w:rPr>
          <w:b/>
          <w:sz w:val="28"/>
          <w:szCs w:val="28"/>
        </w:rPr>
        <w:t>1</w:t>
      </w:r>
      <w:r>
        <w:rPr>
          <w:b/>
          <w:sz w:val="28"/>
          <w:szCs w:val="28"/>
        </w:rPr>
        <w:t>1</w:t>
      </w:r>
      <w:r w:rsidRPr="00522B95">
        <w:rPr>
          <w:b/>
          <w:sz w:val="28"/>
          <w:szCs w:val="28"/>
        </w:rPr>
        <w:t>. РАЗРЕШЕНИЕ СПОРОВ</w:t>
      </w:r>
    </w:p>
    <w:p w14:paraId="7326B3C9" w14:textId="77777777" w:rsidR="00446FC9" w:rsidRPr="00522B95" w:rsidRDefault="00446FC9" w:rsidP="00446FC9">
      <w:pPr>
        <w:ind w:firstLine="567"/>
        <w:jc w:val="center"/>
        <w:rPr>
          <w:b/>
          <w:sz w:val="28"/>
          <w:szCs w:val="28"/>
        </w:rPr>
      </w:pPr>
    </w:p>
    <w:p w14:paraId="2ECC2E2B" w14:textId="77777777" w:rsidR="00446FC9" w:rsidRPr="00522B95" w:rsidRDefault="00446FC9" w:rsidP="00446FC9">
      <w:pPr>
        <w:ind w:firstLine="567"/>
        <w:jc w:val="both"/>
        <w:rPr>
          <w:sz w:val="28"/>
          <w:szCs w:val="28"/>
        </w:rPr>
      </w:pPr>
      <w:r w:rsidRPr="00522B95">
        <w:rPr>
          <w:sz w:val="28"/>
          <w:szCs w:val="28"/>
        </w:rPr>
        <w:t>1</w:t>
      </w:r>
      <w:r>
        <w:rPr>
          <w:sz w:val="28"/>
          <w:szCs w:val="28"/>
        </w:rPr>
        <w:t>1</w:t>
      </w:r>
      <w:r w:rsidRPr="00522B95">
        <w:rPr>
          <w:sz w:val="28"/>
          <w:szCs w:val="28"/>
        </w:rPr>
        <w:t>.</w:t>
      </w:r>
      <w:proofErr w:type="gramStart"/>
      <w:r w:rsidRPr="00522B95">
        <w:rPr>
          <w:sz w:val="28"/>
          <w:szCs w:val="28"/>
        </w:rPr>
        <w:t>1.Все</w:t>
      </w:r>
      <w:proofErr w:type="gramEnd"/>
      <w:r w:rsidRPr="00522B95">
        <w:rPr>
          <w:sz w:val="28"/>
          <w:szCs w:val="28"/>
        </w:rPr>
        <w:t xml:space="preserve"> споры и разногласия, которые могут возникнуть между «Сторонами»</w:t>
      </w:r>
      <w:r w:rsidRPr="00522B95">
        <w:rPr>
          <w:b/>
          <w:sz w:val="28"/>
          <w:szCs w:val="28"/>
        </w:rPr>
        <w:t xml:space="preserve"> </w:t>
      </w:r>
      <w:r w:rsidRPr="00522B95">
        <w:rPr>
          <w:sz w:val="28"/>
          <w:szCs w:val="28"/>
        </w:rPr>
        <w:t>Договора, будут разрешаться путем переговоров в соответствии с действующим законодательством Российской Федерации.</w:t>
      </w:r>
    </w:p>
    <w:p w14:paraId="6A13F3AC" w14:textId="77777777" w:rsidR="00446FC9" w:rsidRPr="00522B95" w:rsidRDefault="00446FC9" w:rsidP="00446FC9">
      <w:pPr>
        <w:ind w:firstLine="567"/>
        <w:jc w:val="both"/>
        <w:rPr>
          <w:b/>
          <w:sz w:val="28"/>
          <w:szCs w:val="28"/>
        </w:rPr>
      </w:pPr>
      <w:r w:rsidRPr="00522B95">
        <w:rPr>
          <w:sz w:val="28"/>
          <w:szCs w:val="28"/>
        </w:rPr>
        <w:t>1</w:t>
      </w:r>
      <w:r>
        <w:rPr>
          <w:sz w:val="28"/>
          <w:szCs w:val="28"/>
        </w:rPr>
        <w:t>1</w:t>
      </w:r>
      <w:r w:rsidRPr="00522B95">
        <w:rPr>
          <w:sz w:val="28"/>
          <w:szCs w:val="28"/>
        </w:rPr>
        <w:t xml:space="preserve">.2.В случае недостижения соглашения путём переговоров, споры подлежат рассмотрению </w:t>
      </w:r>
      <w:r w:rsidRPr="003C23F8">
        <w:rPr>
          <w:sz w:val="28"/>
          <w:szCs w:val="28"/>
        </w:rPr>
        <w:t xml:space="preserve">в </w:t>
      </w:r>
      <w:r w:rsidRPr="003C23F8">
        <w:rPr>
          <w:rFonts w:eastAsia="Calibri"/>
          <w:sz w:val="28"/>
          <w:szCs w:val="28"/>
        </w:rPr>
        <w:t>Арбитражном суде Ханты-Мансийского автономного округа - Югры</w:t>
      </w:r>
      <w:r w:rsidRPr="003C23F8">
        <w:rPr>
          <w:sz w:val="28"/>
          <w:szCs w:val="28"/>
        </w:rPr>
        <w:t>.</w:t>
      </w:r>
      <w:r w:rsidRPr="00522B95">
        <w:rPr>
          <w:sz w:val="28"/>
          <w:szCs w:val="28"/>
        </w:rPr>
        <w:t xml:space="preserve"> </w:t>
      </w:r>
      <w:r w:rsidRPr="00522B95">
        <w:rPr>
          <w:b/>
          <w:sz w:val="28"/>
          <w:szCs w:val="28"/>
        </w:rPr>
        <w:t xml:space="preserve"> </w:t>
      </w:r>
    </w:p>
    <w:p w14:paraId="1A77F556" w14:textId="77777777" w:rsidR="00446FC9" w:rsidRPr="00522B95" w:rsidRDefault="00446FC9" w:rsidP="00446FC9">
      <w:pPr>
        <w:ind w:firstLine="567"/>
        <w:jc w:val="both"/>
        <w:rPr>
          <w:b/>
          <w:sz w:val="28"/>
          <w:szCs w:val="28"/>
        </w:rPr>
      </w:pPr>
    </w:p>
    <w:p w14:paraId="070BB4A5" w14:textId="77777777" w:rsidR="00446FC9" w:rsidRPr="00522B95" w:rsidRDefault="00446FC9" w:rsidP="00446FC9">
      <w:pPr>
        <w:ind w:firstLine="567"/>
        <w:jc w:val="center"/>
        <w:rPr>
          <w:b/>
          <w:sz w:val="28"/>
          <w:szCs w:val="28"/>
        </w:rPr>
      </w:pPr>
      <w:r w:rsidRPr="00522B95">
        <w:rPr>
          <w:b/>
          <w:sz w:val="28"/>
          <w:szCs w:val="28"/>
        </w:rPr>
        <w:t>1</w:t>
      </w:r>
      <w:r>
        <w:rPr>
          <w:b/>
          <w:sz w:val="28"/>
          <w:szCs w:val="28"/>
        </w:rPr>
        <w:t>2</w:t>
      </w:r>
      <w:r w:rsidRPr="00522B95">
        <w:rPr>
          <w:b/>
          <w:sz w:val="28"/>
          <w:szCs w:val="28"/>
        </w:rPr>
        <w:t>. ЗАКЛЮЧИТЕЛЬНЫЕ ПОЛОЖЕНИЯ</w:t>
      </w:r>
    </w:p>
    <w:p w14:paraId="671DCD98" w14:textId="77777777" w:rsidR="00446FC9" w:rsidRPr="00522B95" w:rsidRDefault="00446FC9" w:rsidP="00446FC9">
      <w:pPr>
        <w:ind w:firstLine="567"/>
        <w:jc w:val="center"/>
        <w:rPr>
          <w:b/>
          <w:sz w:val="28"/>
          <w:szCs w:val="28"/>
        </w:rPr>
      </w:pPr>
    </w:p>
    <w:p w14:paraId="7D652E23"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1.Любые</w:t>
      </w:r>
      <w:proofErr w:type="gramEnd"/>
      <w:r w:rsidRPr="00522B95">
        <w:rPr>
          <w:sz w:val="28"/>
          <w:szCs w:val="28"/>
        </w:rPr>
        <w:t xml:space="preserve"> изменения и дополнения к Договору должны быть составлены в письменной форме и подписаны «Сторонами».</w:t>
      </w:r>
    </w:p>
    <w:p w14:paraId="2DA7E077"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2.Во</w:t>
      </w:r>
      <w:proofErr w:type="gramEnd"/>
      <w:r w:rsidRPr="00522B95">
        <w:rPr>
          <w:sz w:val="28"/>
          <w:szCs w:val="28"/>
        </w:rPr>
        <w:t xml:space="preserve"> всем остальном, что не предусмотрено Договором, «Стороны» руководствуются действующим законодательством Российской Федерации.</w:t>
      </w:r>
    </w:p>
    <w:p w14:paraId="1C5AF080"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3.Договор</w:t>
      </w:r>
      <w:proofErr w:type="gramEnd"/>
      <w:r w:rsidRPr="00522B95">
        <w:rPr>
          <w:sz w:val="28"/>
          <w:szCs w:val="28"/>
        </w:rPr>
        <w:t xml:space="preserve">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67C92BF9"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4.Приложение</w:t>
      </w:r>
      <w:proofErr w:type="gramEnd"/>
      <w:r w:rsidRPr="00522B95">
        <w:rPr>
          <w:sz w:val="28"/>
          <w:szCs w:val="28"/>
        </w:rPr>
        <w:t>, являющееся неотъемлемой частью Договора:</w:t>
      </w:r>
    </w:p>
    <w:p w14:paraId="2BA8E89E" w14:textId="77777777" w:rsidR="00446FC9" w:rsidRPr="00522B95" w:rsidRDefault="00446FC9" w:rsidP="00446FC9">
      <w:pPr>
        <w:jc w:val="both"/>
        <w:rPr>
          <w:sz w:val="28"/>
          <w:szCs w:val="28"/>
        </w:rPr>
      </w:pPr>
      <w:r w:rsidRPr="00522B95">
        <w:rPr>
          <w:sz w:val="28"/>
          <w:szCs w:val="28"/>
        </w:rPr>
        <w:t xml:space="preserve">         -акт приема-передачи к договору купли-продажи</w:t>
      </w:r>
      <w:r>
        <w:rPr>
          <w:sz w:val="28"/>
          <w:szCs w:val="28"/>
        </w:rPr>
        <w:t>.</w:t>
      </w:r>
    </w:p>
    <w:p w14:paraId="09F0C43A" w14:textId="77777777" w:rsidR="00446FC9" w:rsidRPr="00522B95" w:rsidRDefault="00446FC9" w:rsidP="00446FC9">
      <w:pPr>
        <w:jc w:val="both"/>
        <w:rPr>
          <w:sz w:val="28"/>
          <w:szCs w:val="28"/>
        </w:rPr>
      </w:pPr>
    </w:p>
    <w:p w14:paraId="74A49BD7" w14:textId="77777777" w:rsidR="00446FC9" w:rsidRPr="003C23F8" w:rsidRDefault="00446FC9" w:rsidP="00446FC9">
      <w:pPr>
        <w:ind w:firstLine="567"/>
        <w:jc w:val="center"/>
        <w:rPr>
          <w:b/>
          <w:sz w:val="28"/>
          <w:szCs w:val="28"/>
        </w:rPr>
      </w:pPr>
      <w:r w:rsidRPr="00522B95">
        <w:rPr>
          <w:b/>
          <w:sz w:val="28"/>
          <w:szCs w:val="28"/>
        </w:rPr>
        <w:t>1</w:t>
      </w:r>
      <w:r>
        <w:rPr>
          <w:b/>
          <w:sz w:val="28"/>
          <w:szCs w:val="28"/>
        </w:rPr>
        <w:t>3</w:t>
      </w:r>
      <w:r w:rsidRPr="00522B95">
        <w:rPr>
          <w:b/>
          <w:sz w:val="28"/>
          <w:szCs w:val="28"/>
        </w:rPr>
        <w:t>. АДРЕСА И БАНКОВСКИЕ РЕКВИЗИТЫ СТО</w:t>
      </w:r>
      <w:r>
        <w:rPr>
          <w:b/>
          <w:sz w:val="28"/>
          <w:szCs w:val="28"/>
        </w:rPr>
        <w:t>РОН</w:t>
      </w:r>
    </w:p>
    <w:p w14:paraId="69FB7ED7" w14:textId="77777777" w:rsidR="00446FC9" w:rsidRDefault="00446FC9" w:rsidP="00446FC9">
      <w:pPr>
        <w:jc w:val="right"/>
        <w:rPr>
          <w:sz w:val="27"/>
          <w:szCs w:val="27"/>
        </w:rPr>
      </w:pPr>
      <w:r>
        <w:rPr>
          <w:sz w:val="27"/>
          <w:szCs w:val="27"/>
        </w:rPr>
        <w:lastRenderedPageBreak/>
        <w:t>Приложение к договору купли-продажи</w:t>
      </w:r>
    </w:p>
    <w:p w14:paraId="703DE222" w14:textId="77777777" w:rsidR="00446FC9" w:rsidRDefault="00446FC9" w:rsidP="00446FC9">
      <w:pPr>
        <w:jc w:val="right"/>
        <w:rPr>
          <w:sz w:val="27"/>
          <w:szCs w:val="27"/>
        </w:rPr>
      </w:pPr>
      <w:r>
        <w:rPr>
          <w:sz w:val="27"/>
          <w:szCs w:val="27"/>
        </w:rPr>
        <w:t>№____ от ____________</w:t>
      </w:r>
    </w:p>
    <w:p w14:paraId="11191F00" w14:textId="77777777" w:rsidR="00446FC9" w:rsidRDefault="00446FC9" w:rsidP="00446FC9">
      <w:pPr>
        <w:jc w:val="right"/>
        <w:rPr>
          <w:sz w:val="27"/>
          <w:szCs w:val="27"/>
        </w:rPr>
      </w:pPr>
    </w:p>
    <w:p w14:paraId="0BC7052A" w14:textId="77777777" w:rsidR="00446FC9" w:rsidRDefault="00446FC9" w:rsidP="00446FC9">
      <w:pPr>
        <w:jc w:val="center"/>
        <w:rPr>
          <w:sz w:val="27"/>
          <w:szCs w:val="27"/>
        </w:rPr>
      </w:pPr>
      <w:r>
        <w:rPr>
          <w:sz w:val="27"/>
          <w:szCs w:val="27"/>
        </w:rPr>
        <w:t xml:space="preserve">Акт приема-передачи </w:t>
      </w:r>
    </w:p>
    <w:p w14:paraId="6D1DDEA4" w14:textId="77777777" w:rsidR="00446FC9" w:rsidRDefault="00446FC9" w:rsidP="00446FC9">
      <w:pPr>
        <w:jc w:val="center"/>
        <w:rPr>
          <w:sz w:val="27"/>
          <w:szCs w:val="27"/>
        </w:rPr>
      </w:pPr>
      <w:r>
        <w:rPr>
          <w:sz w:val="27"/>
          <w:szCs w:val="27"/>
        </w:rPr>
        <w:t>к договору купли-продажи от ________ № _____</w:t>
      </w:r>
    </w:p>
    <w:p w14:paraId="2DF3373C" w14:textId="77777777" w:rsidR="00446FC9" w:rsidRDefault="00446FC9" w:rsidP="00446FC9">
      <w:pPr>
        <w:jc w:val="center"/>
        <w:rPr>
          <w:b/>
          <w:sz w:val="27"/>
          <w:szCs w:val="27"/>
        </w:rPr>
      </w:pPr>
    </w:p>
    <w:p w14:paraId="669AC3CC" w14:textId="77777777" w:rsidR="00446FC9" w:rsidRDefault="00446FC9" w:rsidP="00446FC9">
      <w:pPr>
        <w:jc w:val="both"/>
        <w:rPr>
          <w:rFonts w:eastAsia="Arial Unicode MS"/>
          <w:sz w:val="27"/>
          <w:szCs w:val="27"/>
        </w:rPr>
      </w:pPr>
      <w:proofErr w:type="spellStart"/>
      <w:r>
        <w:rPr>
          <w:sz w:val="27"/>
          <w:szCs w:val="27"/>
        </w:rPr>
        <w:t>г.Нефтеюганск</w:t>
      </w:r>
      <w:proofErr w:type="spellEnd"/>
      <w:r>
        <w:rPr>
          <w:sz w:val="27"/>
          <w:szCs w:val="27"/>
        </w:rPr>
        <w:t xml:space="preserve">                                                               </w:t>
      </w:r>
      <w:proofErr w:type="gramStart"/>
      <w:r>
        <w:rPr>
          <w:sz w:val="27"/>
          <w:szCs w:val="27"/>
        </w:rPr>
        <w:t xml:space="preserve">   «</w:t>
      </w:r>
      <w:proofErr w:type="gramEnd"/>
      <w:r>
        <w:rPr>
          <w:sz w:val="27"/>
          <w:szCs w:val="27"/>
        </w:rPr>
        <w:t xml:space="preserve">____» _________ 20__ г. </w:t>
      </w:r>
    </w:p>
    <w:p w14:paraId="5A56627E" w14:textId="77777777" w:rsidR="00446FC9" w:rsidRDefault="00446FC9" w:rsidP="00446FC9">
      <w:pPr>
        <w:rPr>
          <w:b/>
          <w:sz w:val="27"/>
          <w:szCs w:val="27"/>
        </w:rPr>
      </w:pPr>
    </w:p>
    <w:p w14:paraId="3F0D5F81" w14:textId="77777777" w:rsidR="00446FC9" w:rsidRDefault="00446FC9" w:rsidP="00446FC9">
      <w:pPr>
        <w:pStyle w:val="ae"/>
        <w:ind w:left="0" w:firstLine="708"/>
        <w:jc w:val="both"/>
        <w:rPr>
          <w:sz w:val="27"/>
          <w:szCs w:val="27"/>
        </w:rPr>
      </w:pPr>
      <w:r>
        <w:rPr>
          <w:sz w:val="27"/>
          <w:szCs w:val="27"/>
        </w:rPr>
        <w:t>Департамент имущественных отношений Нефтеюганского района, действующий от имени муниципального образования Нефтеюганский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14:paraId="7F15A8A2" w14:textId="77777777" w:rsidR="00446FC9" w:rsidRDefault="00446FC9" w:rsidP="00446FC9">
      <w:pPr>
        <w:ind w:firstLine="709"/>
        <w:jc w:val="both"/>
        <w:rPr>
          <w:sz w:val="27"/>
          <w:szCs w:val="27"/>
        </w:rPr>
      </w:pPr>
      <w:r>
        <w:rPr>
          <w:sz w:val="27"/>
          <w:szCs w:val="27"/>
        </w:rPr>
        <w:t>- ________________________________________________________________.</w:t>
      </w:r>
    </w:p>
    <w:p w14:paraId="7CF347B5" w14:textId="77777777" w:rsidR="00446FC9" w:rsidRDefault="00446FC9" w:rsidP="00446FC9">
      <w:pPr>
        <w:ind w:firstLine="567"/>
        <w:jc w:val="both"/>
        <w:rPr>
          <w:sz w:val="27"/>
          <w:szCs w:val="27"/>
        </w:rPr>
      </w:pPr>
    </w:p>
    <w:p w14:paraId="1C12EA82" w14:textId="77777777" w:rsidR="00446FC9" w:rsidRDefault="00446FC9" w:rsidP="00446FC9">
      <w:pPr>
        <w:ind w:firstLine="567"/>
        <w:jc w:val="both"/>
        <w:rPr>
          <w:sz w:val="27"/>
          <w:szCs w:val="27"/>
        </w:rPr>
      </w:pPr>
      <w:r>
        <w:rPr>
          <w:sz w:val="27"/>
          <w:szCs w:val="27"/>
        </w:rPr>
        <w:t>Стороны по передаваемому «Имуществу» претензий друг к другу не имеют.</w:t>
      </w:r>
    </w:p>
    <w:p w14:paraId="1CBB4B87" w14:textId="77777777" w:rsidR="00446FC9" w:rsidRDefault="00446FC9" w:rsidP="00446FC9">
      <w:pPr>
        <w:ind w:firstLine="567"/>
        <w:jc w:val="both"/>
        <w:rPr>
          <w:sz w:val="27"/>
          <w:szCs w:val="27"/>
        </w:rPr>
      </w:pPr>
      <w:r>
        <w:rPr>
          <w:sz w:val="27"/>
          <w:szCs w:val="27"/>
        </w:rPr>
        <w:t xml:space="preserve"> </w:t>
      </w:r>
    </w:p>
    <w:p w14:paraId="584D4CC3" w14:textId="77777777" w:rsidR="00446FC9" w:rsidRDefault="00446FC9" w:rsidP="00446FC9">
      <w:pPr>
        <w:ind w:firstLine="567"/>
        <w:jc w:val="both"/>
        <w:rPr>
          <w:sz w:val="27"/>
          <w:szCs w:val="27"/>
        </w:rPr>
      </w:pPr>
      <w:r>
        <w:rPr>
          <w:sz w:val="27"/>
          <w:szCs w:val="27"/>
        </w:rPr>
        <w:t>Акт приема-передачи составлен в двух экземплярах, имеющих одинаковую юридическую силу, по одному экземпляру для каждой из «Сторон».</w:t>
      </w:r>
    </w:p>
    <w:p w14:paraId="2886C310" w14:textId="77777777" w:rsidR="00446FC9" w:rsidRDefault="00446FC9" w:rsidP="00446FC9">
      <w:pPr>
        <w:spacing w:line="216" w:lineRule="auto"/>
        <w:jc w:val="both"/>
        <w:rPr>
          <w:sz w:val="27"/>
          <w:szCs w:val="27"/>
        </w:rPr>
      </w:pPr>
    </w:p>
    <w:p w14:paraId="54F5F7B5" w14:textId="77777777" w:rsidR="00446FC9" w:rsidRDefault="00446FC9" w:rsidP="00446FC9">
      <w:pPr>
        <w:spacing w:line="216" w:lineRule="auto"/>
        <w:jc w:val="both"/>
        <w:rPr>
          <w:sz w:val="27"/>
          <w:szCs w:val="27"/>
        </w:rPr>
      </w:pPr>
    </w:p>
    <w:p w14:paraId="7B2CABC0" w14:textId="77777777" w:rsidR="00446FC9" w:rsidRDefault="00446FC9" w:rsidP="00446FC9">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446FC9" w14:paraId="1F3E8AB8" w14:textId="77777777" w:rsidTr="00467270">
        <w:tc>
          <w:tcPr>
            <w:tcW w:w="4785" w:type="dxa"/>
          </w:tcPr>
          <w:p w14:paraId="7BC5CC26" w14:textId="77777777" w:rsidR="00446FC9" w:rsidRDefault="00446FC9" w:rsidP="00467270">
            <w:pPr>
              <w:rPr>
                <w:bCs/>
                <w:sz w:val="27"/>
                <w:szCs w:val="27"/>
              </w:rPr>
            </w:pPr>
          </w:p>
        </w:tc>
        <w:tc>
          <w:tcPr>
            <w:tcW w:w="4785" w:type="dxa"/>
          </w:tcPr>
          <w:p w14:paraId="6E35C11E" w14:textId="77777777" w:rsidR="00446FC9" w:rsidRDefault="00446FC9" w:rsidP="00467270">
            <w:pPr>
              <w:rPr>
                <w:bCs/>
                <w:sz w:val="27"/>
                <w:szCs w:val="27"/>
              </w:rPr>
            </w:pPr>
          </w:p>
        </w:tc>
      </w:tr>
      <w:tr w:rsidR="00446FC9" w14:paraId="6295C626" w14:textId="77777777" w:rsidTr="00467270">
        <w:tc>
          <w:tcPr>
            <w:tcW w:w="4785" w:type="dxa"/>
            <w:hideMark/>
          </w:tcPr>
          <w:p w14:paraId="3D5C8132" w14:textId="77777777" w:rsidR="00446FC9" w:rsidRDefault="00446FC9" w:rsidP="00467270">
            <w:pPr>
              <w:rPr>
                <w:bCs/>
                <w:sz w:val="27"/>
                <w:szCs w:val="27"/>
              </w:rPr>
            </w:pPr>
            <w:r>
              <w:rPr>
                <w:bCs/>
                <w:sz w:val="27"/>
                <w:szCs w:val="27"/>
              </w:rPr>
              <w:t>_________________</w:t>
            </w:r>
          </w:p>
          <w:p w14:paraId="20D53887" w14:textId="77777777" w:rsidR="00446FC9" w:rsidRDefault="00446FC9" w:rsidP="00467270">
            <w:pPr>
              <w:rPr>
                <w:bCs/>
                <w:sz w:val="27"/>
                <w:szCs w:val="27"/>
              </w:rPr>
            </w:pPr>
            <w:r>
              <w:rPr>
                <w:bCs/>
                <w:sz w:val="27"/>
                <w:szCs w:val="27"/>
              </w:rPr>
              <w:t>М.П.</w:t>
            </w:r>
          </w:p>
        </w:tc>
        <w:tc>
          <w:tcPr>
            <w:tcW w:w="4785" w:type="dxa"/>
          </w:tcPr>
          <w:p w14:paraId="2EE652F5" w14:textId="77777777" w:rsidR="00446FC9" w:rsidRDefault="00446FC9" w:rsidP="00467270">
            <w:pPr>
              <w:tabs>
                <w:tab w:val="left" w:pos="910"/>
              </w:tabs>
              <w:jc w:val="both"/>
              <w:rPr>
                <w:sz w:val="27"/>
                <w:szCs w:val="27"/>
              </w:rPr>
            </w:pPr>
            <w:r>
              <w:rPr>
                <w:sz w:val="27"/>
                <w:szCs w:val="27"/>
              </w:rPr>
              <w:t xml:space="preserve">__________________ </w:t>
            </w:r>
          </w:p>
          <w:p w14:paraId="55095885" w14:textId="77777777" w:rsidR="00446FC9" w:rsidRDefault="00446FC9" w:rsidP="00467270">
            <w:pPr>
              <w:tabs>
                <w:tab w:val="left" w:pos="910"/>
              </w:tabs>
              <w:jc w:val="both"/>
              <w:rPr>
                <w:sz w:val="27"/>
                <w:szCs w:val="27"/>
              </w:rPr>
            </w:pPr>
          </w:p>
        </w:tc>
      </w:tr>
    </w:tbl>
    <w:p w14:paraId="26DF85DC" w14:textId="77777777" w:rsidR="00446FC9" w:rsidRDefault="00446FC9" w:rsidP="00446FC9">
      <w:pPr>
        <w:rPr>
          <w:b/>
          <w:bCs/>
          <w:sz w:val="27"/>
          <w:szCs w:val="27"/>
        </w:rPr>
      </w:pPr>
    </w:p>
    <w:p w14:paraId="681F0B88" w14:textId="77777777" w:rsidR="00446FC9" w:rsidRPr="00581793" w:rsidRDefault="00446FC9" w:rsidP="00446FC9">
      <w:pPr>
        <w:rPr>
          <w:sz w:val="28"/>
          <w:szCs w:val="28"/>
        </w:rPr>
      </w:pPr>
    </w:p>
    <w:p w14:paraId="2757339F" w14:textId="0A0A4C9B"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45A8"/>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390"/>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87750"/>
    <w:rsid w:val="00090B81"/>
    <w:rsid w:val="00091C71"/>
    <w:rsid w:val="00091FD8"/>
    <w:rsid w:val="00092EE3"/>
    <w:rsid w:val="00094070"/>
    <w:rsid w:val="0009762F"/>
    <w:rsid w:val="000A07F4"/>
    <w:rsid w:val="000A0C69"/>
    <w:rsid w:val="000A2ACB"/>
    <w:rsid w:val="000A49A1"/>
    <w:rsid w:val="000A4F19"/>
    <w:rsid w:val="000A6BAA"/>
    <w:rsid w:val="000B0FC3"/>
    <w:rsid w:val="000B1878"/>
    <w:rsid w:val="000B35A6"/>
    <w:rsid w:val="000B3FB8"/>
    <w:rsid w:val="000B4081"/>
    <w:rsid w:val="000B591C"/>
    <w:rsid w:val="000B723D"/>
    <w:rsid w:val="000C5F55"/>
    <w:rsid w:val="000C6349"/>
    <w:rsid w:val="000C66DB"/>
    <w:rsid w:val="000C7110"/>
    <w:rsid w:val="000D0B56"/>
    <w:rsid w:val="000D25D9"/>
    <w:rsid w:val="000D284B"/>
    <w:rsid w:val="000D4747"/>
    <w:rsid w:val="000D4D3D"/>
    <w:rsid w:val="000D7766"/>
    <w:rsid w:val="000E0D74"/>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4DE5"/>
    <w:rsid w:val="00136902"/>
    <w:rsid w:val="00141EC6"/>
    <w:rsid w:val="00142880"/>
    <w:rsid w:val="0014360A"/>
    <w:rsid w:val="00143B83"/>
    <w:rsid w:val="00145A56"/>
    <w:rsid w:val="00146CC2"/>
    <w:rsid w:val="001479A2"/>
    <w:rsid w:val="0015037C"/>
    <w:rsid w:val="00155022"/>
    <w:rsid w:val="00155708"/>
    <w:rsid w:val="00155B56"/>
    <w:rsid w:val="00157041"/>
    <w:rsid w:val="00160B13"/>
    <w:rsid w:val="00163075"/>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136"/>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07735"/>
    <w:rsid w:val="00210D3B"/>
    <w:rsid w:val="002127A0"/>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0E00"/>
    <w:rsid w:val="002410FC"/>
    <w:rsid w:val="0024361E"/>
    <w:rsid w:val="0024521D"/>
    <w:rsid w:val="002501C3"/>
    <w:rsid w:val="00250FCC"/>
    <w:rsid w:val="002512BD"/>
    <w:rsid w:val="002531C9"/>
    <w:rsid w:val="00255904"/>
    <w:rsid w:val="00261D26"/>
    <w:rsid w:val="00261DEA"/>
    <w:rsid w:val="002624EA"/>
    <w:rsid w:val="0026394F"/>
    <w:rsid w:val="00274D0D"/>
    <w:rsid w:val="0027536A"/>
    <w:rsid w:val="002776A5"/>
    <w:rsid w:val="002804D1"/>
    <w:rsid w:val="002808AF"/>
    <w:rsid w:val="0028165B"/>
    <w:rsid w:val="00281AC2"/>
    <w:rsid w:val="002824EE"/>
    <w:rsid w:val="002845DF"/>
    <w:rsid w:val="00284808"/>
    <w:rsid w:val="00285416"/>
    <w:rsid w:val="00285EF4"/>
    <w:rsid w:val="002863B2"/>
    <w:rsid w:val="00287526"/>
    <w:rsid w:val="0029103F"/>
    <w:rsid w:val="00294B1C"/>
    <w:rsid w:val="0029717F"/>
    <w:rsid w:val="00297AE5"/>
    <w:rsid w:val="002A18D1"/>
    <w:rsid w:val="002A1A61"/>
    <w:rsid w:val="002A534A"/>
    <w:rsid w:val="002A6350"/>
    <w:rsid w:val="002A64AD"/>
    <w:rsid w:val="002A78F5"/>
    <w:rsid w:val="002A79B3"/>
    <w:rsid w:val="002A7B2F"/>
    <w:rsid w:val="002B2275"/>
    <w:rsid w:val="002B23DD"/>
    <w:rsid w:val="002B3511"/>
    <w:rsid w:val="002B43AC"/>
    <w:rsid w:val="002B4B18"/>
    <w:rsid w:val="002B51D5"/>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2F70CC"/>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403"/>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B89"/>
    <w:rsid w:val="00382EAB"/>
    <w:rsid w:val="003831E5"/>
    <w:rsid w:val="00383A15"/>
    <w:rsid w:val="00384300"/>
    <w:rsid w:val="00384450"/>
    <w:rsid w:val="00384B9E"/>
    <w:rsid w:val="0038502F"/>
    <w:rsid w:val="0038763B"/>
    <w:rsid w:val="00390008"/>
    <w:rsid w:val="00392B62"/>
    <w:rsid w:val="00394052"/>
    <w:rsid w:val="003944A4"/>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2FAA"/>
    <w:rsid w:val="003E30F5"/>
    <w:rsid w:val="003E4411"/>
    <w:rsid w:val="003E4A2F"/>
    <w:rsid w:val="003E5776"/>
    <w:rsid w:val="003E7673"/>
    <w:rsid w:val="003F09C9"/>
    <w:rsid w:val="003F0E0F"/>
    <w:rsid w:val="003F34EB"/>
    <w:rsid w:val="003F4106"/>
    <w:rsid w:val="003F436B"/>
    <w:rsid w:val="003F4E38"/>
    <w:rsid w:val="003F52BA"/>
    <w:rsid w:val="003F72C7"/>
    <w:rsid w:val="00400845"/>
    <w:rsid w:val="0040104A"/>
    <w:rsid w:val="00402224"/>
    <w:rsid w:val="00402B4F"/>
    <w:rsid w:val="00405039"/>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6FC9"/>
    <w:rsid w:val="0044736E"/>
    <w:rsid w:val="004526D2"/>
    <w:rsid w:val="00456D90"/>
    <w:rsid w:val="00457D3F"/>
    <w:rsid w:val="00460927"/>
    <w:rsid w:val="00460DF8"/>
    <w:rsid w:val="00462AC0"/>
    <w:rsid w:val="00463241"/>
    <w:rsid w:val="00463954"/>
    <w:rsid w:val="00466CB1"/>
    <w:rsid w:val="00466E2A"/>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C8A"/>
    <w:rsid w:val="004A1EDD"/>
    <w:rsid w:val="004A540F"/>
    <w:rsid w:val="004A5866"/>
    <w:rsid w:val="004A6704"/>
    <w:rsid w:val="004B03DE"/>
    <w:rsid w:val="004B27B3"/>
    <w:rsid w:val="004B34BC"/>
    <w:rsid w:val="004B537F"/>
    <w:rsid w:val="004B56AE"/>
    <w:rsid w:val="004B5AB5"/>
    <w:rsid w:val="004B6071"/>
    <w:rsid w:val="004C0EF8"/>
    <w:rsid w:val="004C252D"/>
    <w:rsid w:val="004C26B5"/>
    <w:rsid w:val="004C2769"/>
    <w:rsid w:val="004C3FE0"/>
    <w:rsid w:val="004C453D"/>
    <w:rsid w:val="004C78D3"/>
    <w:rsid w:val="004D00D7"/>
    <w:rsid w:val="004D024D"/>
    <w:rsid w:val="004D09BC"/>
    <w:rsid w:val="004D0EE0"/>
    <w:rsid w:val="004D12C9"/>
    <w:rsid w:val="004D1F2F"/>
    <w:rsid w:val="004D550D"/>
    <w:rsid w:val="004D565B"/>
    <w:rsid w:val="004D57DD"/>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1E02"/>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501D5"/>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2ED9"/>
    <w:rsid w:val="005A3689"/>
    <w:rsid w:val="005A36C5"/>
    <w:rsid w:val="005A4B40"/>
    <w:rsid w:val="005B0D37"/>
    <w:rsid w:val="005B0E5C"/>
    <w:rsid w:val="005B5698"/>
    <w:rsid w:val="005B7EDB"/>
    <w:rsid w:val="005C1967"/>
    <w:rsid w:val="005C3D5A"/>
    <w:rsid w:val="005C4534"/>
    <w:rsid w:val="005D1C35"/>
    <w:rsid w:val="005D2B0C"/>
    <w:rsid w:val="005D3248"/>
    <w:rsid w:val="005D6588"/>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3696"/>
    <w:rsid w:val="006246B7"/>
    <w:rsid w:val="00624EE7"/>
    <w:rsid w:val="006259BB"/>
    <w:rsid w:val="0062625F"/>
    <w:rsid w:val="00627438"/>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8E6"/>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08E6"/>
    <w:rsid w:val="006E30FB"/>
    <w:rsid w:val="006E44A4"/>
    <w:rsid w:val="006E45D2"/>
    <w:rsid w:val="006E4B14"/>
    <w:rsid w:val="006E5B0E"/>
    <w:rsid w:val="006E65CD"/>
    <w:rsid w:val="006E7634"/>
    <w:rsid w:val="006E7E07"/>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10EC"/>
    <w:rsid w:val="007528BA"/>
    <w:rsid w:val="007576EB"/>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06F"/>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95D"/>
    <w:rsid w:val="00826BAE"/>
    <w:rsid w:val="00827053"/>
    <w:rsid w:val="00831436"/>
    <w:rsid w:val="00834267"/>
    <w:rsid w:val="00834927"/>
    <w:rsid w:val="00835373"/>
    <w:rsid w:val="00837208"/>
    <w:rsid w:val="00840FB3"/>
    <w:rsid w:val="0084116C"/>
    <w:rsid w:val="0084169F"/>
    <w:rsid w:val="00841949"/>
    <w:rsid w:val="00842F5C"/>
    <w:rsid w:val="0084422E"/>
    <w:rsid w:val="00845CEA"/>
    <w:rsid w:val="00847457"/>
    <w:rsid w:val="00850C96"/>
    <w:rsid w:val="008527F0"/>
    <w:rsid w:val="00852D26"/>
    <w:rsid w:val="008534FB"/>
    <w:rsid w:val="008546EC"/>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97C81"/>
    <w:rsid w:val="008A0745"/>
    <w:rsid w:val="008A0E64"/>
    <w:rsid w:val="008A37F3"/>
    <w:rsid w:val="008A44E6"/>
    <w:rsid w:val="008A6519"/>
    <w:rsid w:val="008A6FBD"/>
    <w:rsid w:val="008B22D2"/>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672C"/>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E0"/>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6758E"/>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E4B"/>
    <w:rsid w:val="009A0737"/>
    <w:rsid w:val="009A3C35"/>
    <w:rsid w:val="009A5A03"/>
    <w:rsid w:val="009A6853"/>
    <w:rsid w:val="009B2CC9"/>
    <w:rsid w:val="009B4A9B"/>
    <w:rsid w:val="009B4E79"/>
    <w:rsid w:val="009B64C6"/>
    <w:rsid w:val="009C3911"/>
    <w:rsid w:val="009C449B"/>
    <w:rsid w:val="009C5344"/>
    <w:rsid w:val="009C6351"/>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4E51"/>
    <w:rsid w:val="00A27E80"/>
    <w:rsid w:val="00A3053F"/>
    <w:rsid w:val="00A306AF"/>
    <w:rsid w:val="00A367B3"/>
    <w:rsid w:val="00A4087A"/>
    <w:rsid w:val="00A45E92"/>
    <w:rsid w:val="00A471CE"/>
    <w:rsid w:val="00A50A86"/>
    <w:rsid w:val="00A50C97"/>
    <w:rsid w:val="00A50FA3"/>
    <w:rsid w:val="00A517CD"/>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EF3"/>
    <w:rsid w:val="00AA0F6D"/>
    <w:rsid w:val="00AA28BF"/>
    <w:rsid w:val="00AA2AA3"/>
    <w:rsid w:val="00AA34BA"/>
    <w:rsid w:val="00AA36BF"/>
    <w:rsid w:val="00AA57A8"/>
    <w:rsid w:val="00AA5A92"/>
    <w:rsid w:val="00AA680A"/>
    <w:rsid w:val="00AA6C56"/>
    <w:rsid w:val="00AB008E"/>
    <w:rsid w:val="00AB0297"/>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AF765D"/>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C70"/>
    <w:rsid w:val="00B96566"/>
    <w:rsid w:val="00B976AB"/>
    <w:rsid w:val="00BA2420"/>
    <w:rsid w:val="00BB0C31"/>
    <w:rsid w:val="00BB17D8"/>
    <w:rsid w:val="00BB1B3F"/>
    <w:rsid w:val="00BB1B63"/>
    <w:rsid w:val="00BB2725"/>
    <w:rsid w:val="00BB2FCC"/>
    <w:rsid w:val="00BB340B"/>
    <w:rsid w:val="00BB4A9B"/>
    <w:rsid w:val="00BB582D"/>
    <w:rsid w:val="00BB6522"/>
    <w:rsid w:val="00BB6932"/>
    <w:rsid w:val="00BB71A7"/>
    <w:rsid w:val="00BC06CC"/>
    <w:rsid w:val="00BC107F"/>
    <w:rsid w:val="00BC1DC7"/>
    <w:rsid w:val="00BC1ED0"/>
    <w:rsid w:val="00BC4E84"/>
    <w:rsid w:val="00BC540D"/>
    <w:rsid w:val="00BC5851"/>
    <w:rsid w:val="00BC638F"/>
    <w:rsid w:val="00BC64E3"/>
    <w:rsid w:val="00BC7A82"/>
    <w:rsid w:val="00BD1070"/>
    <w:rsid w:val="00BD108B"/>
    <w:rsid w:val="00BD127F"/>
    <w:rsid w:val="00BD1284"/>
    <w:rsid w:val="00BD183D"/>
    <w:rsid w:val="00BD1C15"/>
    <w:rsid w:val="00BD41A9"/>
    <w:rsid w:val="00BD42FE"/>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008"/>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26B83"/>
    <w:rsid w:val="00C30612"/>
    <w:rsid w:val="00C30C1B"/>
    <w:rsid w:val="00C325F5"/>
    <w:rsid w:val="00C346DD"/>
    <w:rsid w:val="00C34DE2"/>
    <w:rsid w:val="00C355F6"/>
    <w:rsid w:val="00C37375"/>
    <w:rsid w:val="00C41DDB"/>
    <w:rsid w:val="00C44546"/>
    <w:rsid w:val="00C4474C"/>
    <w:rsid w:val="00C469B6"/>
    <w:rsid w:val="00C502B6"/>
    <w:rsid w:val="00C50CCD"/>
    <w:rsid w:val="00C50EB8"/>
    <w:rsid w:val="00C52640"/>
    <w:rsid w:val="00C52C46"/>
    <w:rsid w:val="00C5512C"/>
    <w:rsid w:val="00C554C5"/>
    <w:rsid w:val="00C557BE"/>
    <w:rsid w:val="00C5663C"/>
    <w:rsid w:val="00C572A9"/>
    <w:rsid w:val="00C64771"/>
    <w:rsid w:val="00C6777E"/>
    <w:rsid w:val="00C67872"/>
    <w:rsid w:val="00C67C1F"/>
    <w:rsid w:val="00C7398D"/>
    <w:rsid w:val="00C75220"/>
    <w:rsid w:val="00C764A0"/>
    <w:rsid w:val="00C801B4"/>
    <w:rsid w:val="00C80A07"/>
    <w:rsid w:val="00C819D3"/>
    <w:rsid w:val="00C83E74"/>
    <w:rsid w:val="00C84D4E"/>
    <w:rsid w:val="00C86DBE"/>
    <w:rsid w:val="00C870C8"/>
    <w:rsid w:val="00C877EA"/>
    <w:rsid w:val="00C93EBF"/>
    <w:rsid w:val="00C94FAB"/>
    <w:rsid w:val="00C958E8"/>
    <w:rsid w:val="00C962BA"/>
    <w:rsid w:val="00C96C95"/>
    <w:rsid w:val="00C97DC1"/>
    <w:rsid w:val="00CA0D03"/>
    <w:rsid w:val="00CA4B8A"/>
    <w:rsid w:val="00CA515B"/>
    <w:rsid w:val="00CA7049"/>
    <w:rsid w:val="00CB02E5"/>
    <w:rsid w:val="00CB1220"/>
    <w:rsid w:val="00CB12B1"/>
    <w:rsid w:val="00CB2735"/>
    <w:rsid w:val="00CB2D0D"/>
    <w:rsid w:val="00CB3075"/>
    <w:rsid w:val="00CB3086"/>
    <w:rsid w:val="00CB3482"/>
    <w:rsid w:val="00CB390B"/>
    <w:rsid w:val="00CB42D6"/>
    <w:rsid w:val="00CB43F0"/>
    <w:rsid w:val="00CB582C"/>
    <w:rsid w:val="00CB78B6"/>
    <w:rsid w:val="00CB78C7"/>
    <w:rsid w:val="00CC11DB"/>
    <w:rsid w:val="00CC1AF9"/>
    <w:rsid w:val="00CC33AB"/>
    <w:rsid w:val="00CC410E"/>
    <w:rsid w:val="00CC5A1F"/>
    <w:rsid w:val="00CC5FC5"/>
    <w:rsid w:val="00CC62AE"/>
    <w:rsid w:val="00CC6B85"/>
    <w:rsid w:val="00CD0864"/>
    <w:rsid w:val="00CD1941"/>
    <w:rsid w:val="00CD197E"/>
    <w:rsid w:val="00CD3B38"/>
    <w:rsid w:val="00CD4414"/>
    <w:rsid w:val="00CD4DB9"/>
    <w:rsid w:val="00CD5A1D"/>
    <w:rsid w:val="00CE1E6E"/>
    <w:rsid w:val="00CE222C"/>
    <w:rsid w:val="00CE243B"/>
    <w:rsid w:val="00CE48D1"/>
    <w:rsid w:val="00CE4ECB"/>
    <w:rsid w:val="00CE6648"/>
    <w:rsid w:val="00CE75EF"/>
    <w:rsid w:val="00CE7C72"/>
    <w:rsid w:val="00CF086D"/>
    <w:rsid w:val="00CF0FBB"/>
    <w:rsid w:val="00CF4BA8"/>
    <w:rsid w:val="00CF4E5B"/>
    <w:rsid w:val="00D00431"/>
    <w:rsid w:val="00D005F5"/>
    <w:rsid w:val="00D009AB"/>
    <w:rsid w:val="00D02E7C"/>
    <w:rsid w:val="00D0379F"/>
    <w:rsid w:val="00D06B41"/>
    <w:rsid w:val="00D1034D"/>
    <w:rsid w:val="00D12EAF"/>
    <w:rsid w:val="00D13D23"/>
    <w:rsid w:val="00D1510D"/>
    <w:rsid w:val="00D15BE3"/>
    <w:rsid w:val="00D15F9A"/>
    <w:rsid w:val="00D16665"/>
    <w:rsid w:val="00D17BB3"/>
    <w:rsid w:val="00D20AFA"/>
    <w:rsid w:val="00D20C21"/>
    <w:rsid w:val="00D22F4C"/>
    <w:rsid w:val="00D23167"/>
    <w:rsid w:val="00D23F7C"/>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2C8D"/>
    <w:rsid w:val="00D74B79"/>
    <w:rsid w:val="00D75660"/>
    <w:rsid w:val="00D75E10"/>
    <w:rsid w:val="00D75EB4"/>
    <w:rsid w:val="00D77D4F"/>
    <w:rsid w:val="00D80D4E"/>
    <w:rsid w:val="00D80FBC"/>
    <w:rsid w:val="00D829B7"/>
    <w:rsid w:val="00D837AF"/>
    <w:rsid w:val="00D84F18"/>
    <w:rsid w:val="00D8512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0D2"/>
    <w:rsid w:val="00DC330C"/>
    <w:rsid w:val="00DC421C"/>
    <w:rsid w:val="00DC532D"/>
    <w:rsid w:val="00DC582F"/>
    <w:rsid w:val="00DC58C1"/>
    <w:rsid w:val="00DC7539"/>
    <w:rsid w:val="00DD1A66"/>
    <w:rsid w:val="00DD3B99"/>
    <w:rsid w:val="00DD572A"/>
    <w:rsid w:val="00DD70B0"/>
    <w:rsid w:val="00DE0E5C"/>
    <w:rsid w:val="00DE2F74"/>
    <w:rsid w:val="00DE35DE"/>
    <w:rsid w:val="00DE5B87"/>
    <w:rsid w:val="00DE75AA"/>
    <w:rsid w:val="00DF1297"/>
    <w:rsid w:val="00DF14E4"/>
    <w:rsid w:val="00DF1733"/>
    <w:rsid w:val="00DF4966"/>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657"/>
    <w:rsid w:val="00E87657"/>
    <w:rsid w:val="00E916B0"/>
    <w:rsid w:val="00E91CEE"/>
    <w:rsid w:val="00E92010"/>
    <w:rsid w:val="00E922BF"/>
    <w:rsid w:val="00E93269"/>
    <w:rsid w:val="00E93C0F"/>
    <w:rsid w:val="00E945EB"/>
    <w:rsid w:val="00E94F41"/>
    <w:rsid w:val="00E96261"/>
    <w:rsid w:val="00E9707C"/>
    <w:rsid w:val="00E971A5"/>
    <w:rsid w:val="00EA04E6"/>
    <w:rsid w:val="00EA1F79"/>
    <w:rsid w:val="00EA26A6"/>
    <w:rsid w:val="00EA37BB"/>
    <w:rsid w:val="00EA4211"/>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410"/>
    <w:rsid w:val="00ED68CE"/>
    <w:rsid w:val="00EE0B52"/>
    <w:rsid w:val="00EE142A"/>
    <w:rsid w:val="00EE7332"/>
    <w:rsid w:val="00EE7CAD"/>
    <w:rsid w:val="00EF1CAE"/>
    <w:rsid w:val="00EF2271"/>
    <w:rsid w:val="00EF4366"/>
    <w:rsid w:val="00EF639A"/>
    <w:rsid w:val="00EF71A9"/>
    <w:rsid w:val="00EF73E2"/>
    <w:rsid w:val="00EF778C"/>
    <w:rsid w:val="00F009E2"/>
    <w:rsid w:val="00F05BD6"/>
    <w:rsid w:val="00F06216"/>
    <w:rsid w:val="00F0658B"/>
    <w:rsid w:val="00F067B2"/>
    <w:rsid w:val="00F067B5"/>
    <w:rsid w:val="00F100AE"/>
    <w:rsid w:val="00F10E29"/>
    <w:rsid w:val="00F11499"/>
    <w:rsid w:val="00F123F6"/>
    <w:rsid w:val="00F12FFD"/>
    <w:rsid w:val="00F136F1"/>
    <w:rsid w:val="00F1425A"/>
    <w:rsid w:val="00F14641"/>
    <w:rsid w:val="00F17B68"/>
    <w:rsid w:val="00F250E3"/>
    <w:rsid w:val="00F26EF8"/>
    <w:rsid w:val="00F30802"/>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205A"/>
    <w:rsid w:val="00F736D9"/>
    <w:rsid w:val="00F75FDF"/>
    <w:rsid w:val="00F76122"/>
    <w:rsid w:val="00F77477"/>
    <w:rsid w:val="00F8018C"/>
    <w:rsid w:val="00F82A82"/>
    <w:rsid w:val="00F8354E"/>
    <w:rsid w:val="00F83DB7"/>
    <w:rsid w:val="00F862B4"/>
    <w:rsid w:val="00F87E85"/>
    <w:rsid w:val="00F90DD9"/>
    <w:rsid w:val="00F91348"/>
    <w:rsid w:val="00F91CC4"/>
    <w:rsid w:val="00F91FCE"/>
    <w:rsid w:val="00F93500"/>
    <w:rsid w:val="00F93869"/>
    <w:rsid w:val="00F95386"/>
    <w:rsid w:val="00F95A3B"/>
    <w:rsid w:val="00F9796A"/>
    <w:rsid w:val="00FA0409"/>
    <w:rsid w:val="00FA104C"/>
    <w:rsid w:val="00FA2811"/>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2744"/>
    <w:rsid w:val="00FE3D46"/>
    <w:rsid w:val="00FE651A"/>
    <w:rsid w:val="00FE7FE8"/>
    <w:rsid w:val="00FF05ED"/>
    <w:rsid w:val="00FF1924"/>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15546"/>
  <w15:docId w15:val="{663EE235-4830-419A-BB3F-641F937F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tp.sberbank-ast.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horoshevaas@admoil.ru" TargetMode="Externa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41B3-76CD-474D-89EE-D987885E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17</Pages>
  <Words>7154</Words>
  <Characters>40781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47840</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23</cp:revision>
  <cp:lastPrinted>2024-08-12T09:17:00Z</cp:lastPrinted>
  <dcterms:created xsi:type="dcterms:W3CDTF">2024-04-09T11:08:00Z</dcterms:created>
  <dcterms:modified xsi:type="dcterms:W3CDTF">2024-08-12T09:20:00Z</dcterms:modified>
</cp:coreProperties>
</file>