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15B45" w14:textId="19119580" w:rsidR="00E80F5B" w:rsidRPr="00B814C7" w:rsidRDefault="00490B49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  <w:r w:rsidR="00161A62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0F5B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прогнозу</w:t>
      </w:r>
    </w:p>
    <w:p w14:paraId="11C789F2" w14:textId="0FB77F8A" w:rsidR="00E80F5B" w:rsidRPr="00B814C7" w:rsidRDefault="00E80F5B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социально-экономического развития Нефтеюганск</w:t>
      </w:r>
      <w:r w:rsidR="00EE3F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ого 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</w:t>
      </w:r>
      <w:r w:rsidR="00EE3F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F03BDF7" w14:textId="0DA49B64" w:rsidR="00490B49" w:rsidRPr="00B814C7" w:rsidRDefault="00E80F5B" w:rsidP="002B0BD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долгосрочный период</w:t>
      </w:r>
    </w:p>
    <w:p w14:paraId="02864A9F" w14:textId="30F136F2" w:rsidR="00490B49" w:rsidRDefault="00490B49" w:rsidP="0053124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0D59D55" w14:textId="77777777" w:rsidR="002B0BD6" w:rsidRPr="00B814C7" w:rsidRDefault="002B0BD6" w:rsidP="0053124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4E97140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Пояснительная записка </w:t>
      </w:r>
    </w:p>
    <w:p w14:paraId="40BB9013" w14:textId="56147C0C" w:rsidR="000766E2" w:rsidRPr="002B0BD6" w:rsidRDefault="000766E2" w:rsidP="002B0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прогнозу социально-экономического развития </w:t>
      </w:r>
      <w:r w:rsidR="002B0B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</w:t>
      </w:r>
      <w:r w:rsidR="00EE3F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 w:rsidR="00EE3FE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B0B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7692EFC8" w14:textId="77777777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05C569" w14:textId="77777777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14:paraId="3E7353CB" w14:textId="10DEB5C0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за 20</w:t>
      </w:r>
      <w:r w:rsidR="00914014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262F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14:paraId="696255F4" w14:textId="77777777" w:rsidR="000766E2" w:rsidRPr="00B814C7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886F38" w14:textId="7CA90E05" w:rsidR="00947200" w:rsidRPr="00B814C7" w:rsidRDefault="00947200" w:rsidP="00B51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928B6">
        <w:rPr>
          <w:rFonts w:ascii="Times New Roman" w:hAnsi="Times New Roman" w:cs="Times New Roman"/>
          <w:sz w:val="26"/>
          <w:szCs w:val="26"/>
        </w:rPr>
        <w:t>Нефтеюганск</w:t>
      </w:r>
      <w:r w:rsidR="00EE3FE6">
        <w:rPr>
          <w:rFonts w:ascii="Times New Roman" w:hAnsi="Times New Roman" w:cs="Times New Roman"/>
          <w:sz w:val="26"/>
          <w:szCs w:val="26"/>
        </w:rPr>
        <w:t>ом</w:t>
      </w:r>
      <w:r w:rsidR="004928B6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EE3FE6">
        <w:rPr>
          <w:rFonts w:ascii="Times New Roman" w:hAnsi="Times New Roman" w:cs="Times New Roman"/>
          <w:sz w:val="26"/>
          <w:szCs w:val="26"/>
        </w:rPr>
        <w:t>е</w:t>
      </w:r>
      <w:r w:rsidR="004928B6">
        <w:rPr>
          <w:rFonts w:ascii="Times New Roman" w:hAnsi="Times New Roman" w:cs="Times New Roman"/>
          <w:sz w:val="26"/>
          <w:szCs w:val="26"/>
        </w:rPr>
        <w:t xml:space="preserve"> </w:t>
      </w:r>
      <w:r w:rsidR="008E502F" w:rsidRPr="00B814C7">
        <w:rPr>
          <w:rFonts w:ascii="Times New Roman" w:hAnsi="Times New Roman" w:cs="Times New Roman"/>
          <w:sz w:val="26"/>
          <w:szCs w:val="26"/>
        </w:rPr>
        <w:t>отмечена положительная динамика основных макроэкономических показателей к уровню 2021 года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6A402F9" w14:textId="0EBC98B3" w:rsidR="008E502F" w:rsidRPr="00B814C7" w:rsidRDefault="008E502F" w:rsidP="00B515B1">
      <w:pPr>
        <w:pStyle w:val="a6"/>
        <w:numPr>
          <w:ilvl w:val="0"/>
          <w:numId w:val="6"/>
        </w:numPr>
        <w:ind w:left="993" w:hanging="284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среднегодовая численность населения (103,9%);</w:t>
      </w:r>
    </w:p>
    <w:p w14:paraId="1368458E" w14:textId="4D4CE2EA" w:rsidR="008E502F" w:rsidRPr="00B814C7" w:rsidRDefault="008E502F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объем произведенной продукции, работ и услуг (111,7% в действующих ценах);</w:t>
      </w:r>
    </w:p>
    <w:p w14:paraId="3617BA66" w14:textId="480DCA62" w:rsidR="008E502F" w:rsidRPr="00B814C7" w:rsidRDefault="008E502F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объем промышленного производства (110,3% в действующих ценах);</w:t>
      </w:r>
    </w:p>
    <w:p w14:paraId="5F641D97" w14:textId="19A3F5E1" w:rsidR="00947200" w:rsidRPr="00B814C7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объем инвестиций в основной капитал по крупным и средним организациям</w:t>
      </w:r>
      <w:r w:rsidR="008E502F" w:rsidRPr="00B814C7">
        <w:rPr>
          <w:sz w:val="26"/>
          <w:szCs w:val="26"/>
        </w:rPr>
        <w:t xml:space="preserve"> (101,5% в сопоставимых ценах)</w:t>
      </w:r>
      <w:r w:rsidRPr="00B814C7">
        <w:rPr>
          <w:sz w:val="26"/>
          <w:szCs w:val="26"/>
        </w:rPr>
        <w:t>;</w:t>
      </w:r>
    </w:p>
    <w:p w14:paraId="646A92AA" w14:textId="77777777" w:rsidR="008E502F" w:rsidRPr="00B814C7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 xml:space="preserve">денежные доходы в расчете на душу населения </w:t>
      </w:r>
      <w:r w:rsidR="008E502F" w:rsidRPr="00B814C7">
        <w:rPr>
          <w:sz w:val="26"/>
          <w:szCs w:val="26"/>
        </w:rPr>
        <w:t>(103,2</w:t>
      </w:r>
      <w:r w:rsidRPr="00B814C7">
        <w:rPr>
          <w:sz w:val="26"/>
          <w:szCs w:val="26"/>
        </w:rPr>
        <w:t>%</w:t>
      </w:r>
      <w:r w:rsidR="008E502F" w:rsidRPr="00B814C7">
        <w:rPr>
          <w:sz w:val="26"/>
          <w:szCs w:val="26"/>
        </w:rPr>
        <w:t>)</w:t>
      </w:r>
      <w:r w:rsidRPr="00B814C7">
        <w:rPr>
          <w:sz w:val="26"/>
          <w:szCs w:val="26"/>
        </w:rPr>
        <w:t>;</w:t>
      </w:r>
    </w:p>
    <w:p w14:paraId="06350C16" w14:textId="3FFF23BE" w:rsidR="00947200" w:rsidRPr="00B814C7" w:rsidRDefault="00B515B1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 xml:space="preserve">среднемесячная начисленная заработная плата работников по крупным </w:t>
      </w:r>
      <w:r w:rsidR="008B1060">
        <w:rPr>
          <w:sz w:val="26"/>
          <w:szCs w:val="26"/>
        </w:rPr>
        <w:br/>
      </w:r>
      <w:r w:rsidRPr="00B814C7">
        <w:rPr>
          <w:sz w:val="26"/>
          <w:szCs w:val="26"/>
        </w:rPr>
        <w:t>и средним предприятиям (113,4%);</w:t>
      </w:r>
    </w:p>
    <w:p w14:paraId="3C1D6B21" w14:textId="70717E79" w:rsidR="00947200" w:rsidRPr="00B814C7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 xml:space="preserve">уровень регистрируемой безработицы – </w:t>
      </w:r>
      <w:r w:rsidR="008E502F" w:rsidRPr="00B814C7">
        <w:rPr>
          <w:sz w:val="26"/>
          <w:szCs w:val="26"/>
        </w:rPr>
        <w:t>с</w:t>
      </w:r>
      <w:r w:rsidRPr="00B814C7">
        <w:rPr>
          <w:sz w:val="26"/>
          <w:szCs w:val="26"/>
        </w:rPr>
        <w:t>амы</w:t>
      </w:r>
      <w:r w:rsidR="008E502F" w:rsidRPr="00B814C7">
        <w:rPr>
          <w:sz w:val="26"/>
          <w:szCs w:val="26"/>
        </w:rPr>
        <w:t>й</w:t>
      </w:r>
      <w:r w:rsidRPr="00B814C7">
        <w:rPr>
          <w:sz w:val="26"/>
          <w:szCs w:val="26"/>
        </w:rPr>
        <w:t xml:space="preserve"> низки</w:t>
      </w:r>
      <w:r w:rsidR="008E502F" w:rsidRPr="00B814C7">
        <w:rPr>
          <w:sz w:val="26"/>
          <w:szCs w:val="26"/>
        </w:rPr>
        <w:t>й</w:t>
      </w:r>
      <w:r w:rsidRPr="00B814C7">
        <w:rPr>
          <w:sz w:val="26"/>
          <w:szCs w:val="26"/>
        </w:rPr>
        <w:t xml:space="preserve"> показател</w:t>
      </w:r>
      <w:r w:rsidR="008E502F" w:rsidRPr="00B814C7">
        <w:rPr>
          <w:sz w:val="26"/>
          <w:szCs w:val="26"/>
        </w:rPr>
        <w:t>ь</w:t>
      </w:r>
      <w:r w:rsidRPr="00B814C7">
        <w:rPr>
          <w:sz w:val="26"/>
          <w:szCs w:val="26"/>
        </w:rPr>
        <w:t xml:space="preserve"> </w:t>
      </w:r>
      <w:r w:rsidR="00531248" w:rsidRPr="00B814C7">
        <w:rPr>
          <w:sz w:val="26"/>
          <w:szCs w:val="26"/>
        </w:rPr>
        <w:br/>
      </w:r>
      <w:r w:rsidRPr="00B814C7">
        <w:rPr>
          <w:sz w:val="26"/>
          <w:szCs w:val="26"/>
        </w:rPr>
        <w:t xml:space="preserve">в </w:t>
      </w:r>
      <w:r w:rsidR="008E502F" w:rsidRPr="00B814C7">
        <w:rPr>
          <w:sz w:val="26"/>
          <w:szCs w:val="26"/>
        </w:rPr>
        <w:t xml:space="preserve">Ханты-Мансийском </w:t>
      </w:r>
      <w:r w:rsidRPr="00B814C7">
        <w:rPr>
          <w:sz w:val="26"/>
          <w:szCs w:val="26"/>
        </w:rPr>
        <w:t>автономном округе</w:t>
      </w:r>
      <w:r w:rsidR="008E502F" w:rsidRPr="00B814C7">
        <w:rPr>
          <w:sz w:val="26"/>
          <w:szCs w:val="26"/>
        </w:rPr>
        <w:t xml:space="preserve"> – Югре (0,05</w:t>
      </w:r>
      <w:r w:rsidRPr="00B814C7">
        <w:rPr>
          <w:sz w:val="26"/>
          <w:szCs w:val="26"/>
        </w:rPr>
        <w:t>%</w:t>
      </w:r>
      <w:r w:rsidR="008E502F" w:rsidRPr="00B814C7">
        <w:rPr>
          <w:sz w:val="26"/>
          <w:szCs w:val="26"/>
        </w:rPr>
        <w:t>)</w:t>
      </w:r>
      <w:r w:rsidRPr="00B814C7">
        <w:rPr>
          <w:sz w:val="26"/>
          <w:szCs w:val="26"/>
        </w:rPr>
        <w:t>;</w:t>
      </w:r>
    </w:p>
    <w:p w14:paraId="4FA3A13C" w14:textId="4AF4A549" w:rsidR="00947200" w:rsidRPr="00B814C7" w:rsidRDefault="00947200" w:rsidP="00B515B1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 xml:space="preserve">отсутствует просроченная задолженность по заработной плате </w:t>
      </w:r>
      <w:r w:rsidR="00531248" w:rsidRPr="00B814C7">
        <w:rPr>
          <w:sz w:val="26"/>
          <w:szCs w:val="26"/>
        </w:rPr>
        <w:br/>
      </w:r>
      <w:r w:rsidRPr="00B814C7">
        <w:rPr>
          <w:sz w:val="26"/>
          <w:szCs w:val="26"/>
        </w:rPr>
        <w:t>на предприятиях и организациях Нефтеюганского района.</w:t>
      </w:r>
    </w:p>
    <w:p w14:paraId="536D693E" w14:textId="77777777" w:rsidR="00C54E33" w:rsidRPr="00B814C7" w:rsidRDefault="00C54E33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6B3F53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вариантов внутренних условий и характеристик </w:t>
      </w:r>
    </w:p>
    <w:p w14:paraId="586917C9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Нефтеюганского района </w:t>
      </w:r>
    </w:p>
    <w:p w14:paraId="52C2628B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064B5740" w14:textId="77777777" w:rsidR="000766E2" w:rsidRPr="00B814C7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5EE32E" w14:textId="573C1370" w:rsidR="00955CBB" w:rsidRPr="00B814C7" w:rsidRDefault="00955CBB" w:rsidP="00531248">
      <w:pPr>
        <w:pStyle w:val="a6"/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Прогноз социально-экономического развития Нефтеюганск</w:t>
      </w:r>
      <w:r w:rsidR="00D50BA2" w:rsidRPr="00B814C7">
        <w:rPr>
          <w:sz w:val="26"/>
          <w:szCs w:val="26"/>
        </w:rPr>
        <w:t>ого</w:t>
      </w:r>
      <w:r w:rsidRPr="00B814C7">
        <w:rPr>
          <w:sz w:val="26"/>
          <w:szCs w:val="26"/>
        </w:rPr>
        <w:t xml:space="preserve"> район</w:t>
      </w:r>
      <w:r w:rsidR="00D50BA2" w:rsidRPr="00B814C7">
        <w:rPr>
          <w:sz w:val="26"/>
          <w:szCs w:val="26"/>
        </w:rPr>
        <w:t>а</w:t>
      </w:r>
      <w:r w:rsidRPr="00B814C7">
        <w:rPr>
          <w:sz w:val="26"/>
          <w:szCs w:val="26"/>
        </w:rPr>
        <w:t xml:space="preserve"> </w:t>
      </w:r>
      <w:r w:rsidR="00531248" w:rsidRPr="00B814C7">
        <w:rPr>
          <w:sz w:val="26"/>
          <w:szCs w:val="26"/>
        </w:rPr>
        <w:br/>
      </w:r>
      <w:r w:rsidRPr="00B814C7">
        <w:rPr>
          <w:sz w:val="26"/>
          <w:szCs w:val="26"/>
        </w:rPr>
        <w:t xml:space="preserve">на долгосрочный период разработан на </w:t>
      </w:r>
      <w:r w:rsidR="00B515B1" w:rsidRPr="00B814C7">
        <w:rPr>
          <w:sz w:val="26"/>
          <w:szCs w:val="26"/>
        </w:rPr>
        <w:t>с</w:t>
      </w:r>
      <w:r w:rsidRPr="00B814C7">
        <w:rPr>
          <w:sz w:val="26"/>
          <w:szCs w:val="26"/>
        </w:rPr>
        <w:t>ценарных условий</w:t>
      </w:r>
      <w:r w:rsidR="00B515B1" w:rsidRPr="00B814C7">
        <w:rPr>
          <w:sz w:val="26"/>
          <w:szCs w:val="26"/>
        </w:rPr>
        <w:t xml:space="preserve"> функционирования экономики Российской Федерации и</w:t>
      </w:r>
      <w:r w:rsidRPr="00B814C7">
        <w:rPr>
          <w:sz w:val="26"/>
          <w:szCs w:val="26"/>
        </w:rPr>
        <w:t xml:space="preserve"> основных параметров прогноза социально-экономического развития Российской Федерации на 202</w:t>
      </w:r>
      <w:r w:rsidR="00B515B1" w:rsidRPr="00B814C7">
        <w:rPr>
          <w:sz w:val="26"/>
          <w:szCs w:val="26"/>
        </w:rPr>
        <w:t>4</w:t>
      </w:r>
      <w:r w:rsidRPr="00B814C7">
        <w:rPr>
          <w:sz w:val="26"/>
          <w:szCs w:val="26"/>
        </w:rPr>
        <w:t xml:space="preserve"> год и плановый период 202</w:t>
      </w:r>
      <w:r w:rsidR="00B515B1" w:rsidRPr="00B814C7">
        <w:rPr>
          <w:sz w:val="26"/>
          <w:szCs w:val="26"/>
        </w:rPr>
        <w:t>5</w:t>
      </w:r>
      <w:r w:rsidRPr="00B814C7">
        <w:rPr>
          <w:sz w:val="26"/>
          <w:szCs w:val="26"/>
        </w:rPr>
        <w:t xml:space="preserve"> и 202</w:t>
      </w:r>
      <w:r w:rsidR="00B515B1" w:rsidRPr="00B814C7">
        <w:rPr>
          <w:sz w:val="26"/>
          <w:szCs w:val="26"/>
        </w:rPr>
        <w:t>6</w:t>
      </w:r>
      <w:r w:rsidRPr="00B814C7">
        <w:rPr>
          <w:sz w:val="26"/>
          <w:szCs w:val="26"/>
        </w:rPr>
        <w:t xml:space="preserve"> годов, исходя из приоритетов </w:t>
      </w:r>
      <w:r w:rsidRPr="00B814C7">
        <w:rPr>
          <w:sz w:val="26"/>
          <w:szCs w:val="26"/>
          <w:lang w:eastAsia="zh-CN"/>
        </w:rPr>
        <w:t xml:space="preserve">социально-экономического развития, сформулированных </w:t>
      </w:r>
      <w:r w:rsidRPr="00B814C7">
        <w:rPr>
          <w:sz w:val="26"/>
          <w:szCs w:val="26"/>
        </w:rPr>
        <w:t>в документах стратегического планирования Российской Федерации</w:t>
      </w:r>
      <w:r w:rsidR="00B515B1" w:rsidRPr="00B814C7">
        <w:rPr>
          <w:sz w:val="26"/>
          <w:szCs w:val="26"/>
        </w:rPr>
        <w:t xml:space="preserve">, </w:t>
      </w:r>
      <w:r w:rsidRPr="00B814C7">
        <w:rPr>
          <w:sz w:val="26"/>
          <w:szCs w:val="26"/>
        </w:rPr>
        <w:t>Ханты-Мансийского автономного округа – Югры</w:t>
      </w:r>
      <w:r w:rsidR="00B515B1" w:rsidRPr="00B814C7">
        <w:rPr>
          <w:sz w:val="26"/>
          <w:szCs w:val="26"/>
        </w:rPr>
        <w:t xml:space="preserve"> и </w:t>
      </w:r>
      <w:r w:rsidRPr="00B814C7">
        <w:rPr>
          <w:sz w:val="26"/>
          <w:szCs w:val="26"/>
        </w:rPr>
        <w:t xml:space="preserve">муниципального образования Нефтеюганский район. </w:t>
      </w:r>
    </w:p>
    <w:p w14:paraId="3A3E26A4" w14:textId="77777777" w:rsidR="00955CBB" w:rsidRPr="00B814C7" w:rsidRDefault="00955CBB" w:rsidP="00B51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 разработан в двух вариантах – базовом и консервативном. </w:t>
      </w:r>
    </w:p>
    <w:p w14:paraId="322D9DB6" w14:textId="68D663FC" w:rsidR="00B515B1" w:rsidRPr="00B814C7" w:rsidRDefault="00B515B1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 xml:space="preserve">консервативный вариант (1 вариант) прогноза предполагает спад экономики </w:t>
      </w:r>
      <w:r w:rsidR="008B1060">
        <w:rPr>
          <w:sz w:val="26"/>
          <w:szCs w:val="26"/>
        </w:rPr>
        <w:br/>
      </w:r>
      <w:r w:rsidRPr="00B814C7">
        <w:rPr>
          <w:sz w:val="26"/>
          <w:szCs w:val="26"/>
        </w:rPr>
        <w:t>в сложившихся геополитических условиях;</w:t>
      </w:r>
    </w:p>
    <w:p w14:paraId="02DC67A9" w14:textId="4A34D05A" w:rsidR="00B515B1" w:rsidRPr="00B814C7" w:rsidRDefault="00B515B1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sz w:val="26"/>
          <w:szCs w:val="26"/>
        </w:rPr>
        <w:t>базовый вариант (2 вариант) прогноза предполагает восстановление экономики и переход к восстановительному росту.</w:t>
      </w:r>
    </w:p>
    <w:p w14:paraId="421F1727" w14:textId="79DA6AB6" w:rsidR="00807AB0" w:rsidRPr="00B814C7" w:rsidRDefault="00807AB0" w:rsidP="00531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Учитывая, что базовый вариант прогноза </w:t>
      </w:r>
      <w:r w:rsidR="00FB427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сформирован на </w:t>
      </w:r>
      <w:proofErr w:type="spellStart"/>
      <w:r w:rsidR="00FB427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проактивной</w:t>
      </w:r>
      <w:proofErr w:type="spellEnd"/>
      <w:r w:rsidR="00FB427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экономической политике, адаптации к новым условиям и переходе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B427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 восстановительному росту,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использовать его для разработки </w:t>
      </w:r>
      <w:r w:rsidRPr="00B814C7">
        <w:rPr>
          <w:rFonts w:ascii="Times New Roman" w:hAnsi="Times New Roman" w:cs="Times New Roman"/>
          <w:sz w:val="26"/>
          <w:szCs w:val="26"/>
        </w:rPr>
        <w:t xml:space="preserve">основных параметров бюджета Нефтеюганского района на </w:t>
      </w:r>
      <w:r w:rsidRPr="00B814C7">
        <w:rPr>
          <w:rFonts w:ascii="Times New Roman" w:hAnsi="Times New Roman" w:cs="Times New Roman"/>
          <w:bCs/>
          <w:sz w:val="26"/>
          <w:szCs w:val="26"/>
        </w:rPr>
        <w:t>202</w:t>
      </w:r>
      <w:r w:rsidR="00261B6D" w:rsidRPr="00B814C7">
        <w:rPr>
          <w:rFonts w:ascii="Times New Roman" w:hAnsi="Times New Roman" w:cs="Times New Roman"/>
          <w:bCs/>
          <w:sz w:val="26"/>
          <w:szCs w:val="26"/>
        </w:rPr>
        <w:t>4</w:t>
      </w:r>
      <w:r w:rsidRPr="00B814C7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 202</w:t>
      </w:r>
      <w:r w:rsidR="00261B6D" w:rsidRPr="00B814C7">
        <w:rPr>
          <w:rFonts w:ascii="Times New Roman" w:hAnsi="Times New Roman" w:cs="Times New Roman"/>
          <w:bCs/>
          <w:sz w:val="26"/>
          <w:szCs w:val="26"/>
        </w:rPr>
        <w:t>5</w:t>
      </w:r>
      <w:r w:rsidRPr="00B814C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B1060">
        <w:rPr>
          <w:rFonts w:ascii="Times New Roman" w:hAnsi="Times New Roman" w:cs="Times New Roman"/>
          <w:bCs/>
          <w:sz w:val="26"/>
          <w:szCs w:val="26"/>
        </w:rPr>
        <w:br/>
      </w:r>
      <w:r w:rsidRPr="00B814C7">
        <w:rPr>
          <w:rFonts w:ascii="Times New Roman" w:hAnsi="Times New Roman" w:cs="Times New Roman"/>
          <w:bCs/>
          <w:sz w:val="26"/>
          <w:szCs w:val="26"/>
        </w:rPr>
        <w:t>и 202</w:t>
      </w:r>
      <w:r w:rsidR="00261B6D" w:rsidRPr="00B814C7">
        <w:rPr>
          <w:rFonts w:ascii="Times New Roman" w:hAnsi="Times New Roman" w:cs="Times New Roman"/>
          <w:bCs/>
          <w:sz w:val="26"/>
          <w:szCs w:val="26"/>
        </w:rPr>
        <w:t>6</w:t>
      </w:r>
      <w:r w:rsidRPr="00B814C7">
        <w:rPr>
          <w:rFonts w:ascii="Times New Roman" w:hAnsi="Times New Roman" w:cs="Times New Roman"/>
          <w:bCs/>
          <w:sz w:val="26"/>
          <w:szCs w:val="26"/>
        </w:rPr>
        <w:t xml:space="preserve"> годов.</w:t>
      </w:r>
    </w:p>
    <w:p w14:paraId="3DC81733" w14:textId="77777777" w:rsidR="00947200" w:rsidRPr="00B814C7" w:rsidRDefault="00947200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2EC5CF" w14:textId="77777777" w:rsidR="004E54FD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факторов и ограничений социально-экономического роста </w:t>
      </w:r>
    </w:p>
    <w:p w14:paraId="5D677E93" w14:textId="77777777" w:rsidR="000766E2" w:rsidRPr="00B814C7" w:rsidRDefault="004E54F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0766E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</w:t>
      </w:r>
    </w:p>
    <w:p w14:paraId="666FA837" w14:textId="77777777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74E525" w14:textId="4B3CCAB8" w:rsidR="007F477F" w:rsidRPr="00B814C7" w:rsidRDefault="00261B6D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7F477F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счет адаптации бизнеса к новым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7F477F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, мер по поддержке экономики, оперативно принятых Правительством Российской Федерации и Банком России, стабильной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макроэкономической ситуации и запаса прочности, накопленного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прошедшие годы, в долгосрочном периоде ожидается улучшение экономической динамики.</w:t>
      </w:r>
    </w:p>
    <w:p w14:paraId="0CE50B9D" w14:textId="77777777" w:rsidR="00261B6D" w:rsidRPr="00B814C7" w:rsidRDefault="00261B6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2A4EDDC" w14:textId="53054997" w:rsidR="000766E2" w:rsidRPr="00B814C7" w:rsidRDefault="004E54F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766E2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аправления социально-экономического развития Нефтеюганского района </w:t>
      </w:r>
      <w:r w:rsidR="00531248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0766E2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B814C7">
        <w:rPr>
          <w:rFonts w:ascii="Times New Roman" w:hAnsi="Times New Roman" w:cs="Times New Roman"/>
          <w:sz w:val="26"/>
          <w:szCs w:val="26"/>
        </w:rPr>
        <w:t xml:space="preserve">целевые показатели долгосрочного прогноза, включая количественные </w:t>
      </w:r>
      <w:r w:rsidR="00531248" w:rsidRPr="00B814C7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>показатели и качественные характеристики социально-экономического развития</w:t>
      </w:r>
    </w:p>
    <w:p w14:paraId="3C461000" w14:textId="77777777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6E0AC3C" w14:textId="30DFBFFB" w:rsidR="00947200" w:rsidRPr="00B814C7" w:rsidRDefault="00485D89" w:rsidP="005312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>В соответствии с целями и задачами</w:t>
      </w:r>
      <w:r w:rsidR="00E61EA4" w:rsidRPr="00B814C7">
        <w:rPr>
          <w:rFonts w:ascii="Times New Roman" w:hAnsi="Times New Roman" w:cs="Times New Roman"/>
          <w:sz w:val="26"/>
          <w:szCs w:val="26"/>
        </w:rPr>
        <w:t xml:space="preserve">, поставленными </w:t>
      </w:r>
      <w:r w:rsidR="00050277" w:rsidRPr="00B814C7">
        <w:rPr>
          <w:rFonts w:ascii="Times New Roman" w:hAnsi="Times New Roman" w:cs="Times New Roman"/>
          <w:sz w:val="26"/>
          <w:szCs w:val="26"/>
        </w:rPr>
        <w:t xml:space="preserve">для достижения национальных целей развития и ключевых показателей национальных проектов, установленных Указом Президента Российской Федерации от </w:t>
      </w:r>
      <w:r w:rsidR="00914CF6" w:rsidRPr="00B814C7">
        <w:rPr>
          <w:rFonts w:ascii="Times New Roman" w:hAnsi="Times New Roman" w:cs="Times New Roman"/>
          <w:sz w:val="26"/>
          <w:szCs w:val="26"/>
        </w:rPr>
        <w:t>21</w:t>
      </w:r>
      <w:r w:rsidR="00B84C9C" w:rsidRPr="00B814C7">
        <w:rPr>
          <w:rFonts w:ascii="Times New Roman" w:hAnsi="Times New Roman" w:cs="Times New Roman"/>
          <w:sz w:val="26"/>
          <w:szCs w:val="26"/>
        </w:rPr>
        <w:t>.07.</w:t>
      </w:r>
      <w:r w:rsidR="00914CF6" w:rsidRPr="00B814C7">
        <w:rPr>
          <w:rFonts w:ascii="Times New Roman" w:hAnsi="Times New Roman" w:cs="Times New Roman"/>
          <w:sz w:val="26"/>
          <w:szCs w:val="26"/>
        </w:rPr>
        <w:t>2020</w:t>
      </w:r>
      <w:r w:rsidR="00B84C9C" w:rsidRPr="00B814C7">
        <w:rPr>
          <w:rFonts w:ascii="Times New Roman" w:hAnsi="Times New Roman" w:cs="Times New Roman"/>
          <w:sz w:val="26"/>
          <w:szCs w:val="26"/>
        </w:rPr>
        <w:t xml:space="preserve"> </w:t>
      </w:r>
      <w:r w:rsidR="00050277" w:rsidRPr="00B814C7">
        <w:rPr>
          <w:rFonts w:ascii="Times New Roman" w:hAnsi="Times New Roman" w:cs="Times New Roman"/>
          <w:sz w:val="26"/>
          <w:szCs w:val="26"/>
        </w:rPr>
        <w:t xml:space="preserve">№ 474 </w:t>
      </w:r>
      <w:r w:rsidR="00531248" w:rsidRPr="00B814C7">
        <w:rPr>
          <w:rFonts w:ascii="Times New Roman" w:hAnsi="Times New Roman" w:cs="Times New Roman"/>
          <w:sz w:val="26"/>
          <w:szCs w:val="26"/>
        </w:rPr>
        <w:br/>
      </w:r>
      <w:r w:rsidR="00330289" w:rsidRPr="00B814C7">
        <w:rPr>
          <w:rFonts w:ascii="Times New Roman" w:hAnsi="Times New Roman" w:cs="Times New Roman"/>
          <w:sz w:val="26"/>
          <w:szCs w:val="26"/>
        </w:rPr>
        <w:t>«</w:t>
      </w:r>
      <w:r w:rsidR="00050277" w:rsidRPr="00B814C7">
        <w:rPr>
          <w:rFonts w:ascii="Times New Roman" w:hAnsi="Times New Roman" w:cs="Times New Roman"/>
          <w:sz w:val="26"/>
          <w:szCs w:val="26"/>
        </w:rPr>
        <w:t>О Национальных целях развития Российской Федерации на период до 2030 года</w:t>
      </w:r>
      <w:r w:rsidR="00914CF6" w:rsidRPr="00B814C7">
        <w:rPr>
          <w:rFonts w:ascii="Times New Roman" w:hAnsi="Times New Roman" w:cs="Times New Roman"/>
          <w:sz w:val="26"/>
          <w:szCs w:val="26"/>
        </w:rPr>
        <w:t>»</w:t>
      </w:r>
      <w:r w:rsidRPr="00B814C7">
        <w:rPr>
          <w:rFonts w:ascii="Times New Roman" w:hAnsi="Times New Roman" w:cs="Times New Roman"/>
          <w:sz w:val="26"/>
          <w:szCs w:val="26"/>
        </w:rPr>
        <w:t xml:space="preserve"> </w:t>
      </w:r>
      <w:r w:rsidR="001854A8" w:rsidRPr="00B814C7">
        <w:rPr>
          <w:rFonts w:ascii="Times New Roman" w:hAnsi="Times New Roman" w:cs="Times New Roman"/>
          <w:sz w:val="26"/>
          <w:szCs w:val="26"/>
        </w:rPr>
        <w:t xml:space="preserve">основными задачами </w:t>
      </w:r>
      <w:r w:rsidRPr="00B814C7">
        <w:rPr>
          <w:rFonts w:ascii="Times New Roman" w:hAnsi="Times New Roman" w:cs="Times New Roman"/>
          <w:sz w:val="26"/>
          <w:szCs w:val="26"/>
        </w:rPr>
        <w:t xml:space="preserve">в </w:t>
      </w:r>
      <w:r w:rsidR="00955CBB" w:rsidRPr="00B814C7">
        <w:rPr>
          <w:rFonts w:ascii="Times New Roman" w:hAnsi="Times New Roman" w:cs="Times New Roman"/>
          <w:sz w:val="26"/>
          <w:szCs w:val="26"/>
        </w:rPr>
        <w:t xml:space="preserve">долгосрочном </w:t>
      </w:r>
      <w:r w:rsidRPr="00B814C7">
        <w:rPr>
          <w:rFonts w:ascii="Times New Roman" w:hAnsi="Times New Roman" w:cs="Times New Roman"/>
          <w:sz w:val="26"/>
          <w:szCs w:val="26"/>
        </w:rPr>
        <w:t xml:space="preserve">периоде </w:t>
      </w:r>
      <w:r w:rsidR="001854A8" w:rsidRPr="00B814C7">
        <w:rPr>
          <w:rFonts w:ascii="Times New Roman" w:hAnsi="Times New Roman" w:cs="Times New Roman"/>
          <w:sz w:val="26"/>
          <w:szCs w:val="26"/>
        </w:rPr>
        <w:t xml:space="preserve">являются </w:t>
      </w:r>
      <w:r w:rsidR="00947200" w:rsidRPr="00B814C7">
        <w:rPr>
          <w:rFonts w:ascii="Times New Roman" w:hAnsi="Times New Roman" w:cs="Times New Roman"/>
          <w:sz w:val="26"/>
          <w:szCs w:val="26"/>
        </w:rPr>
        <w:t xml:space="preserve">адаптация к новым условиям и переход экономики </w:t>
      </w:r>
      <w:r w:rsidR="00050277" w:rsidRPr="00B814C7">
        <w:rPr>
          <w:rFonts w:ascii="Times New Roman" w:hAnsi="Times New Roman" w:cs="Times New Roman"/>
          <w:sz w:val="26"/>
          <w:szCs w:val="26"/>
        </w:rPr>
        <w:t>Нефтеюганского</w:t>
      </w:r>
      <w:r w:rsidR="00947200" w:rsidRPr="00B814C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050277" w:rsidRPr="00B814C7">
        <w:rPr>
          <w:rFonts w:ascii="Times New Roman" w:hAnsi="Times New Roman" w:cs="Times New Roman"/>
          <w:sz w:val="26"/>
          <w:szCs w:val="26"/>
        </w:rPr>
        <w:t>а</w:t>
      </w:r>
      <w:r w:rsidR="00947200" w:rsidRPr="00B814C7">
        <w:rPr>
          <w:rFonts w:ascii="Times New Roman" w:hAnsi="Times New Roman" w:cs="Times New Roman"/>
          <w:sz w:val="26"/>
          <w:szCs w:val="26"/>
        </w:rPr>
        <w:t xml:space="preserve"> к восстановительному росту.</w:t>
      </w:r>
    </w:p>
    <w:p w14:paraId="543C6AA3" w14:textId="77777777" w:rsidR="00807AB0" w:rsidRPr="00B814C7" w:rsidRDefault="00807AB0" w:rsidP="00531248">
      <w:pPr>
        <w:pStyle w:val="2"/>
        <w:jc w:val="center"/>
        <w:rPr>
          <w:b w:val="0"/>
          <w:szCs w:val="26"/>
        </w:rPr>
      </w:pPr>
    </w:p>
    <w:p w14:paraId="2CD3DE2F" w14:textId="203D911E" w:rsidR="004E54FD" w:rsidRPr="00B814C7" w:rsidRDefault="00FB427D" w:rsidP="00FB427D">
      <w:pPr>
        <w:pStyle w:val="2"/>
        <w:tabs>
          <w:tab w:val="center" w:pos="4819"/>
          <w:tab w:val="left" w:pos="8130"/>
        </w:tabs>
        <w:jc w:val="left"/>
        <w:rPr>
          <w:b w:val="0"/>
          <w:szCs w:val="26"/>
        </w:rPr>
      </w:pPr>
      <w:r w:rsidRPr="00B814C7">
        <w:rPr>
          <w:b w:val="0"/>
          <w:szCs w:val="26"/>
        </w:rPr>
        <w:tab/>
      </w:r>
      <w:r w:rsidR="004E54FD" w:rsidRPr="00B814C7">
        <w:rPr>
          <w:b w:val="0"/>
          <w:szCs w:val="26"/>
        </w:rPr>
        <w:t>Основные параметры муниципальных программ</w:t>
      </w:r>
      <w:r w:rsidRPr="00B814C7">
        <w:rPr>
          <w:b w:val="0"/>
          <w:szCs w:val="26"/>
        </w:rPr>
        <w:tab/>
      </w:r>
    </w:p>
    <w:p w14:paraId="56FF8B49" w14:textId="77777777" w:rsidR="004E54FD" w:rsidRPr="00B814C7" w:rsidRDefault="004E54FD" w:rsidP="00531248">
      <w:pPr>
        <w:pStyle w:val="2"/>
        <w:jc w:val="center"/>
        <w:rPr>
          <w:b w:val="0"/>
          <w:szCs w:val="26"/>
        </w:rPr>
      </w:pPr>
    </w:p>
    <w:p w14:paraId="248F6409" w14:textId="351BDC77" w:rsidR="004E54FD" w:rsidRPr="00B814C7" w:rsidRDefault="004E54FD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программно-целевым методом бюджетного планирования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Нефтеюганского района реализ</w:t>
      </w:r>
      <w:r w:rsidR="0094720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уются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4720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406E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4720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4720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11E75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51ECC8" w14:textId="7639BF65" w:rsidR="00222E99" w:rsidRPr="00B814C7" w:rsidRDefault="004E54FD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программы разработаны в соответствии с приоритетами стратегического развития в соответствующих сферах деятельности, определенными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</w:t>
      </w:r>
      <w:r w:rsidR="00D406E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до 2030 года, Стратегии социально-экономического развития муниципального образования Нефтеюганский район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2030 года и другими </w:t>
      </w:r>
      <w:r w:rsidR="00EC315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стратегическими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 Российской Федерации, Ханты-Мансийского автономного округа</w:t>
      </w:r>
      <w:r w:rsidR="00D406E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и Нефтеюганского района.</w:t>
      </w:r>
    </w:p>
    <w:p w14:paraId="1FF4796F" w14:textId="0244DC44" w:rsidR="00222E99" w:rsidRPr="00B814C7" w:rsidRDefault="00222E99" w:rsidP="0022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на 31.12.2022 исполнение расходных обязательств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муниципальным программам составило 6 722 477,6 тыс. рублей или 94,4% к годовому плану на 2022 год (7 122 635,4 тыс. рублей). Процент исполнения мероприятий 23 муниципальных программ по состоянию на 31.12.2022 согласно годово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по бюджету автономного округа, без учета иных источников) составил от 63% до 100%.</w:t>
      </w:r>
    </w:p>
    <w:p w14:paraId="5DEA6F68" w14:textId="77777777" w:rsidR="00EC3152" w:rsidRPr="00B814C7" w:rsidRDefault="00EC315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B3D1295" w14:textId="1EE54DE8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Демографическая ситуация</w:t>
      </w:r>
    </w:p>
    <w:p w14:paraId="50FEB62B" w14:textId="77777777" w:rsidR="000766E2" w:rsidRPr="00B814C7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9F79DE" w14:textId="0422A494" w:rsidR="00947200" w:rsidRPr="00B814C7" w:rsidRDefault="00947200" w:rsidP="005312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</w:t>
      </w:r>
      <w:r w:rsidR="00914CF6" w:rsidRPr="00B814C7">
        <w:rPr>
          <w:rFonts w:ascii="Times New Roman" w:hAnsi="Times New Roman" w:cs="Times New Roman"/>
          <w:sz w:val="26"/>
          <w:szCs w:val="26"/>
        </w:rPr>
        <w:t>Нефтеюганского</w:t>
      </w:r>
      <w:r w:rsidR="00914CF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на 01.01.202</w:t>
      </w:r>
      <w:r w:rsidR="00EC315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составила 4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7,0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из которых 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52,2%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население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 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47,8%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сельские жители. </w:t>
      </w:r>
    </w:p>
    <w:p w14:paraId="3F132938" w14:textId="1C1C479D" w:rsidR="00947200" w:rsidRPr="00B814C7" w:rsidRDefault="00947200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населения </w:t>
      </w:r>
      <w:r w:rsidR="00811E75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итогов Всероссийской переписи 2020 года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составила 4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6,9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, 103,9% к</w:t>
      </w:r>
      <w:r w:rsidR="00EF7867" w:rsidRPr="00B814C7">
        <w:rPr>
          <w:rFonts w:ascii="Times New Roman" w:hAnsi="Times New Roman" w:cs="Times New Roman"/>
          <w:sz w:val="26"/>
          <w:szCs w:val="26"/>
        </w:rPr>
        <w:t xml:space="preserve"> уровню 2021 года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E1F9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прогнозном периоде </w:t>
      </w:r>
      <w:r w:rsidR="00EF786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</w:t>
      </w:r>
      <w:r w:rsidR="00AE1F9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на уровне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E1F9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46,9 тыс. человек (по базовому варианту).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1FFD23E" w14:textId="77777777" w:rsidR="00AA518B" w:rsidRPr="00B814C7" w:rsidRDefault="00AA518B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39174F" w14:textId="77777777" w:rsidR="00360B6A" w:rsidRPr="00B814C7" w:rsidRDefault="00360B6A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Производство товаров и услуг</w:t>
      </w:r>
    </w:p>
    <w:p w14:paraId="171B1C26" w14:textId="77777777" w:rsidR="00AA518B" w:rsidRPr="00B814C7" w:rsidRDefault="00AA518B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1401FD9" w14:textId="0CC906EB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14:paraId="34127BC2" w14:textId="77777777" w:rsidR="000766E2" w:rsidRPr="00B814C7" w:rsidRDefault="000766E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14489FA" w14:textId="3B5F7498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Промышленное производство в общем объеме выпускаемой продукции, товаров, работ и услуг составляет 93,6%. В настоящее время на территории </w:t>
      </w:r>
      <w:r w:rsidR="00811E75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</w:t>
      </w:r>
      <w:r w:rsidR="00811E75" w:rsidRPr="00B814C7">
        <w:rPr>
          <w:rFonts w:ascii="Times New Roman" w:hAnsi="Times New Roman" w:cs="Times New Roman"/>
          <w:sz w:val="26"/>
          <w:szCs w:val="26"/>
        </w:rPr>
        <w:t xml:space="preserve"> </w:t>
      </w:r>
      <w:r w:rsidRPr="00B814C7">
        <w:rPr>
          <w:rFonts w:ascii="Times New Roman" w:hAnsi="Times New Roman" w:cs="Times New Roman"/>
          <w:sz w:val="26"/>
          <w:szCs w:val="26"/>
        </w:rPr>
        <w:t xml:space="preserve">эксплуатируются свыше 30 месторождений. К наиболее крупным относятся: Приразломное, </w:t>
      </w:r>
      <w:proofErr w:type="spellStart"/>
      <w:r w:rsidRPr="00B814C7">
        <w:rPr>
          <w:rFonts w:ascii="Times New Roman" w:hAnsi="Times New Roman" w:cs="Times New Roman"/>
          <w:sz w:val="26"/>
          <w:szCs w:val="26"/>
        </w:rPr>
        <w:t>Соровское</w:t>
      </w:r>
      <w:proofErr w:type="spellEnd"/>
      <w:r w:rsidRPr="00B814C7">
        <w:rPr>
          <w:rFonts w:ascii="Times New Roman" w:hAnsi="Times New Roman" w:cs="Times New Roman"/>
          <w:sz w:val="26"/>
          <w:szCs w:val="26"/>
        </w:rPr>
        <w:t>, Правдинское, Мамонтовское, Мало-</w:t>
      </w:r>
      <w:proofErr w:type="spellStart"/>
      <w:r w:rsidRPr="00B814C7">
        <w:rPr>
          <w:rFonts w:ascii="Times New Roman" w:hAnsi="Times New Roman" w:cs="Times New Roman"/>
          <w:sz w:val="26"/>
          <w:szCs w:val="26"/>
        </w:rPr>
        <w:t>Балыкское</w:t>
      </w:r>
      <w:proofErr w:type="spellEnd"/>
      <w:r w:rsidRPr="00B814C7">
        <w:rPr>
          <w:rFonts w:ascii="Times New Roman" w:hAnsi="Times New Roman" w:cs="Times New Roman"/>
          <w:sz w:val="26"/>
          <w:szCs w:val="26"/>
        </w:rPr>
        <w:t>, Южно-</w:t>
      </w:r>
      <w:proofErr w:type="spellStart"/>
      <w:r w:rsidRPr="00B814C7">
        <w:rPr>
          <w:rFonts w:ascii="Times New Roman" w:hAnsi="Times New Roman" w:cs="Times New Roman"/>
          <w:sz w:val="26"/>
          <w:szCs w:val="26"/>
        </w:rPr>
        <w:t>Балыкское</w:t>
      </w:r>
      <w:proofErr w:type="spellEnd"/>
      <w:r w:rsidRPr="00B814C7">
        <w:rPr>
          <w:rFonts w:ascii="Times New Roman" w:hAnsi="Times New Roman" w:cs="Times New Roman"/>
          <w:sz w:val="26"/>
          <w:szCs w:val="26"/>
        </w:rPr>
        <w:t>, Верхне-</w:t>
      </w:r>
      <w:proofErr w:type="spellStart"/>
      <w:r w:rsidRPr="00B814C7">
        <w:rPr>
          <w:rFonts w:ascii="Times New Roman" w:hAnsi="Times New Roman" w:cs="Times New Roman"/>
          <w:sz w:val="26"/>
          <w:szCs w:val="26"/>
        </w:rPr>
        <w:t>Салымское</w:t>
      </w:r>
      <w:proofErr w:type="spellEnd"/>
      <w:r w:rsidRPr="00B814C7">
        <w:rPr>
          <w:rFonts w:ascii="Times New Roman" w:hAnsi="Times New Roman" w:cs="Times New Roman"/>
          <w:sz w:val="26"/>
          <w:szCs w:val="26"/>
        </w:rPr>
        <w:t xml:space="preserve"> месторождения. </w:t>
      </w:r>
    </w:p>
    <w:p w14:paraId="00E231FA" w14:textId="526BBD53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Объем отгруженных товаров собственного производства, выполненных работ </w:t>
      </w:r>
      <w:r w:rsidR="008B1060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>и услуг собственными силами крупными и средними предприятиями</w:t>
      </w:r>
      <w:r w:rsidR="00687517" w:rsidRPr="00B814C7">
        <w:rPr>
          <w:rFonts w:ascii="Times New Roman" w:hAnsi="Times New Roman" w:cs="Times New Roman"/>
          <w:sz w:val="26"/>
          <w:szCs w:val="26"/>
        </w:rPr>
        <w:t>-</w:t>
      </w:r>
      <w:r w:rsidRPr="00B814C7">
        <w:rPr>
          <w:rFonts w:ascii="Times New Roman" w:hAnsi="Times New Roman" w:cs="Times New Roman"/>
          <w:sz w:val="26"/>
          <w:szCs w:val="26"/>
        </w:rPr>
        <w:t xml:space="preserve">производителями промышленной продукции за 2022 год составил 446 498,6 млн. рублей, темп роста </w:t>
      </w:r>
      <w:r w:rsidR="008B1060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>к уровню 2021 года в действующих ценах составил 110,3%, в том числе:</w:t>
      </w:r>
    </w:p>
    <w:p w14:paraId="00A3EC83" w14:textId="77777777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>«Добыча полезных ископаемых» 111,2%;</w:t>
      </w:r>
      <w:r w:rsidRPr="00B814C7">
        <w:rPr>
          <w:rFonts w:ascii="Times New Roman" w:hAnsi="Times New Roman" w:cs="Times New Roman"/>
          <w:sz w:val="26"/>
          <w:szCs w:val="26"/>
        </w:rPr>
        <w:tab/>
      </w:r>
    </w:p>
    <w:p w14:paraId="2BB502E8" w14:textId="77777777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>«Обрабатывающие производства» 91,6%;</w:t>
      </w:r>
    </w:p>
    <w:p w14:paraId="5A3D4ECA" w14:textId="77777777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«Обеспечение электрической энергией, газом и паром; кондиционирование воздуха» 87,1%; </w:t>
      </w:r>
    </w:p>
    <w:p w14:paraId="7D047807" w14:textId="4199DD3E" w:rsidR="00EF7867" w:rsidRPr="00B814C7" w:rsidRDefault="00EF7867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>«Водоснабжение; водоотведение, организация сбора и утилизации отходов, деятельность по ликвидации загрязнений» 107,8%.</w:t>
      </w:r>
    </w:p>
    <w:p w14:paraId="46C97D79" w14:textId="0A4AF6AB" w:rsidR="00EF7867" w:rsidRPr="00B814C7" w:rsidRDefault="000028B9" w:rsidP="00EF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По оценке в 2022 году индекс промышленного производства составит 96,8%, </w:t>
      </w:r>
      <w:r w:rsidR="008B1060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>в</w:t>
      </w:r>
      <w:r w:rsidR="00687517" w:rsidRPr="00B814C7">
        <w:rPr>
          <w:rFonts w:ascii="Times New Roman" w:hAnsi="Times New Roman" w:cs="Times New Roman"/>
          <w:sz w:val="26"/>
          <w:szCs w:val="26"/>
        </w:rPr>
        <w:t xml:space="preserve"> долгосрочном периоде ожидается сохранение роста объема промышленного производства, индекс промышленного производства составит 100,2% к 2030 году.</w:t>
      </w:r>
    </w:p>
    <w:p w14:paraId="6AF859D4" w14:textId="77777777" w:rsidR="00C470C8" w:rsidRPr="00B814C7" w:rsidRDefault="00C470C8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9B0AA2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14:paraId="5AF3C2FD" w14:textId="77777777" w:rsidR="000766E2" w:rsidRPr="00B814C7" w:rsidRDefault="000766E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8C5174" w14:textId="44CA6851" w:rsidR="001061C3" w:rsidRPr="00B814C7" w:rsidRDefault="001061C3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разработке прогноза социально-экономического развития на 202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 плановый период до 202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использованы отчетные данные за 202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исходные материалы сельхозпредприятий, крестьянских (фермерских) хозяйств, личных подсобных хозяйств. </w:t>
      </w:r>
    </w:p>
    <w:p w14:paraId="0D490639" w14:textId="78E5A59B" w:rsidR="008558E9" w:rsidRPr="00B814C7" w:rsidRDefault="001061C3" w:rsidP="008558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Агропромышленный комплекс Нефтеюганского района представлен</w:t>
      </w:r>
      <w:r w:rsidR="00921C9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«Сельскохозяйственное предприятие «</w:t>
      </w:r>
      <w:proofErr w:type="spellStart"/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Чеускино</w:t>
      </w:r>
      <w:proofErr w:type="spellEnd"/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3 предприятиями рыбной отрасли,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2 из них по заготовке и переработке дикоросов; 27 крестьянскими (фермерскими) хозяйствами; 130 личными подсобными хозяйствами; 2 предприятиями иной формы собственности (ООО «Южное», ООО «Солнечное»), Сельскохозяйственным перерабатывающим потребительским кооперативом «Лидер».</w:t>
      </w:r>
    </w:p>
    <w:p w14:paraId="5E1E91DE" w14:textId="70BFE88B" w:rsidR="001061C3" w:rsidRPr="00B814C7" w:rsidRDefault="001061C3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Большинство хозяйств занимаются </w:t>
      </w:r>
      <w:proofErr w:type="gramStart"/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мясо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молочным</w:t>
      </w:r>
      <w:proofErr w:type="gramEnd"/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животноводством, птицеводством и незначительно растениеводством.</w:t>
      </w:r>
    </w:p>
    <w:p w14:paraId="55CED5AD" w14:textId="36A30A20" w:rsidR="001061C3" w:rsidRPr="00B814C7" w:rsidRDefault="001061C3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Сельхозтоваропроизводители Нефтеюганского района являются участниками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2-х программ: государственной программы Ханты-Мансийского автономного округа – Югры «Развитие агропромышленного комплекса» и муниципальной программы «Развитие агропромышленного комплекса».</w:t>
      </w:r>
    </w:p>
    <w:p w14:paraId="1CE0EF69" w14:textId="15695B5E" w:rsidR="008558E9" w:rsidRPr="00B814C7" w:rsidRDefault="008558E9" w:rsidP="008558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Одной из показательных оценок действующих программ является сохранность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сельскохозяйственных предприятий, а также стабильное развитие сельскохозяйственного производства. В результате проводимой политики, направленной на эффективное развитие предприятий агропромышленного комплекса, в </w:t>
      </w:r>
      <w:r w:rsidR="002769F5" w:rsidRPr="00B814C7">
        <w:rPr>
          <w:rFonts w:ascii="Times New Roman" w:eastAsia="Calibri" w:hAnsi="Times New Roman" w:cs="Times New Roman"/>
          <w:sz w:val="26"/>
          <w:szCs w:val="26"/>
        </w:rPr>
        <w:t xml:space="preserve">Нефтеюганском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районе наблюдается стабильный рост объемов производства продукции сельского хозяйства во всех категориях хозяйств, а также увеличение поголовья скота и птицы всех видов. </w:t>
      </w:r>
    </w:p>
    <w:p w14:paraId="7C4D4F0E" w14:textId="77777777" w:rsidR="008558E9" w:rsidRPr="00B814C7" w:rsidRDefault="008558E9" w:rsidP="008558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Стабильный рост производства и реализации продукции местных сельскохозяйственных товаропроизводителей последние пять лет, дает основание прогнозировать дальнейшее развитие отрасли до 2030 года. </w:t>
      </w:r>
    </w:p>
    <w:p w14:paraId="7AE83A7E" w14:textId="1D0F20F3" w:rsidR="001061C3" w:rsidRPr="00B814C7" w:rsidRDefault="00AE1F97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Оценочно в 202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производство продукции на 4</w:t>
      </w:r>
      <w:r w:rsidR="000028B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22,1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производства составит </w:t>
      </w:r>
      <w:r w:rsidR="000028B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99,1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К 20</w:t>
      </w:r>
      <w:r w:rsidR="008558E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рост объема произведенной сельхозпродукции до </w:t>
      </w:r>
      <w:r w:rsidR="0091448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24F7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72,4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ндекс производства </w:t>
      </w:r>
      <w:r w:rsidR="008B10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1448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</w:t>
      </w:r>
      <w:r w:rsidR="00A24F7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6,9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14:paraId="21ED2EA7" w14:textId="77777777" w:rsidR="008558E9" w:rsidRPr="00B814C7" w:rsidRDefault="008558E9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6C278B1" w14:textId="1E544524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14:paraId="4D9D04CD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BCE18E5" w14:textId="686FC4A5" w:rsidR="0094061C" w:rsidRPr="00B814C7" w:rsidRDefault="00ED62A4" w:rsidP="00531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В 20</w:t>
      </w:r>
      <w:r w:rsidR="00C32164" w:rsidRPr="00B814C7">
        <w:rPr>
          <w:rFonts w:ascii="Times New Roman" w:eastAsia="Calibri" w:hAnsi="Times New Roman" w:cs="Times New Roman"/>
          <w:sz w:val="26"/>
          <w:szCs w:val="26"/>
        </w:rPr>
        <w:t>2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2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году объем выполненных работ собственными силами предприятий </w:t>
      </w:r>
      <w:r w:rsidR="00531248" w:rsidRPr="00B814C7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и организаций по виду деятельности «Строительство» составил  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19 841,6</w:t>
      </w:r>
      <w:r w:rsidR="001061C3" w:rsidRPr="00B814C7">
        <w:rPr>
          <w:rFonts w:ascii="Times New Roman" w:eastAsia="Calibri" w:hAnsi="Times New Roman" w:cs="Times New Roman"/>
          <w:sz w:val="26"/>
          <w:szCs w:val="26"/>
        </w:rPr>
        <w:t xml:space="preserve"> млн. рублей (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182,2</w:t>
      </w:r>
      <w:r w:rsidR="00C32164" w:rsidRPr="00B814C7">
        <w:rPr>
          <w:rFonts w:ascii="Times New Roman" w:eastAsia="Calibri" w:hAnsi="Times New Roman" w:cs="Times New Roman"/>
          <w:sz w:val="26"/>
          <w:szCs w:val="26"/>
        </w:rPr>
        <w:t>% к уровню 20</w:t>
      </w:r>
      <w:r w:rsidR="001061C3" w:rsidRPr="00B814C7">
        <w:rPr>
          <w:rFonts w:ascii="Times New Roman" w:eastAsia="Calibri" w:hAnsi="Times New Roman" w:cs="Times New Roman"/>
          <w:sz w:val="26"/>
          <w:szCs w:val="26"/>
        </w:rPr>
        <w:t>2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1</w:t>
      </w:r>
      <w:r w:rsidR="00C32164" w:rsidRPr="00B814C7">
        <w:rPr>
          <w:rFonts w:ascii="Times New Roman" w:eastAsia="Calibri" w:hAnsi="Times New Roman" w:cs="Times New Roman"/>
          <w:sz w:val="26"/>
          <w:szCs w:val="26"/>
        </w:rPr>
        <w:t xml:space="preserve"> года в сопоставимых ценах).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>К 20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30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 xml:space="preserve"> году</w:t>
      </w:r>
      <w:r w:rsidR="0094061C" w:rsidRPr="00B814C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 xml:space="preserve">индекс производства </w:t>
      </w:r>
      <w:r w:rsidR="0094061C" w:rsidRPr="00B814C7">
        <w:rPr>
          <w:rFonts w:ascii="Times New Roman" w:eastAsia="Calibri" w:hAnsi="Times New Roman" w:cs="Times New Roman"/>
          <w:sz w:val="26"/>
          <w:szCs w:val="26"/>
        </w:rPr>
        <w:t>объем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>а</w:t>
      </w:r>
      <w:r w:rsidR="0094061C" w:rsidRPr="00B814C7">
        <w:rPr>
          <w:rFonts w:ascii="Times New Roman" w:eastAsia="Calibri" w:hAnsi="Times New Roman" w:cs="Times New Roman"/>
          <w:sz w:val="26"/>
          <w:szCs w:val="26"/>
        </w:rPr>
        <w:t xml:space="preserve"> выполненных строительно-монтажных работ 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 xml:space="preserve">составит </w:t>
      </w:r>
      <w:r w:rsidR="001061C3" w:rsidRPr="00B814C7">
        <w:rPr>
          <w:rFonts w:ascii="Times New Roman" w:eastAsia="Calibri" w:hAnsi="Times New Roman" w:cs="Times New Roman"/>
          <w:sz w:val="26"/>
          <w:szCs w:val="26"/>
        </w:rPr>
        <w:t>10</w:t>
      </w:r>
      <w:r w:rsidR="00A33B8E" w:rsidRPr="00B814C7">
        <w:rPr>
          <w:rFonts w:ascii="Times New Roman" w:eastAsia="Calibri" w:hAnsi="Times New Roman" w:cs="Times New Roman"/>
          <w:sz w:val="26"/>
          <w:szCs w:val="26"/>
        </w:rPr>
        <w:t>1,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3</w:t>
      </w:r>
      <w:r w:rsidR="00536E2C" w:rsidRPr="00B814C7">
        <w:rPr>
          <w:rFonts w:ascii="Times New Roman" w:eastAsia="Calibri" w:hAnsi="Times New Roman" w:cs="Times New Roman"/>
          <w:sz w:val="26"/>
          <w:szCs w:val="26"/>
        </w:rPr>
        <w:t>%</w:t>
      </w:r>
      <w:r w:rsidR="0094061C" w:rsidRPr="00B814C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7DB75465" w14:textId="006FF355" w:rsidR="00EA7E8B" w:rsidRPr="00B814C7" w:rsidRDefault="00EA7E8B" w:rsidP="00EA7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На территории Нефтеюганского района введено в эксплуатацию 162 жилых дома общей площадью 40,1 тыс. кв. м, в том числе 156 индивидуальных жилых домов общей площадью 16,1 тыс. кв. м. </w:t>
      </w:r>
    </w:p>
    <w:p w14:paraId="5F272692" w14:textId="10F7CFEB" w:rsidR="00ED62A4" w:rsidRPr="00B814C7" w:rsidRDefault="00ED62A4" w:rsidP="00EA7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Ежегодный ввод в эксплуатацию жилых домов в </w:t>
      </w:r>
      <w:r w:rsidR="00502077" w:rsidRPr="00B814C7">
        <w:rPr>
          <w:rFonts w:ascii="Times New Roman" w:eastAsia="Calibri" w:hAnsi="Times New Roman" w:cs="Times New Roman"/>
          <w:sz w:val="26"/>
          <w:szCs w:val="26"/>
        </w:rPr>
        <w:t xml:space="preserve">долгосрочном 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периоде </w:t>
      </w:r>
      <w:r w:rsidR="00531248" w:rsidRPr="00B814C7">
        <w:rPr>
          <w:rFonts w:ascii="Times New Roman" w:eastAsia="Calibri" w:hAnsi="Times New Roman" w:cs="Times New Roman"/>
          <w:sz w:val="26"/>
          <w:szCs w:val="26"/>
        </w:rPr>
        <w:br/>
      </w:r>
      <w:r w:rsidR="00502077" w:rsidRPr="00B814C7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Pr="00B814C7">
        <w:rPr>
          <w:rFonts w:ascii="Times New Roman" w:eastAsia="Calibri" w:hAnsi="Times New Roman" w:cs="Times New Roman"/>
          <w:sz w:val="26"/>
          <w:szCs w:val="26"/>
        </w:rPr>
        <w:t>20</w:t>
      </w:r>
      <w:r w:rsidR="00EA7E8B" w:rsidRPr="00B814C7">
        <w:rPr>
          <w:rFonts w:ascii="Times New Roman" w:eastAsia="Calibri" w:hAnsi="Times New Roman" w:cs="Times New Roman"/>
          <w:sz w:val="26"/>
          <w:szCs w:val="26"/>
        </w:rPr>
        <w:t>30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году составит </w:t>
      </w:r>
      <w:r w:rsidR="00924AD3" w:rsidRPr="00B814C7">
        <w:rPr>
          <w:rFonts w:ascii="Times New Roman" w:eastAsia="Calibri" w:hAnsi="Times New Roman" w:cs="Times New Roman"/>
          <w:sz w:val="26"/>
          <w:szCs w:val="26"/>
        </w:rPr>
        <w:t>24,4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тыс. кв. м. </w:t>
      </w:r>
    </w:p>
    <w:p w14:paraId="7BFF8D72" w14:textId="51760891" w:rsidR="000766E2" w:rsidRPr="00B814C7" w:rsidRDefault="000766E2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Обеспеченность населения объектами жилья в 20</w:t>
      </w:r>
      <w:r w:rsidR="00956A38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EA7E8B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составила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="00A62D60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16,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="00AB78D1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 м на одного человека. </w:t>
      </w:r>
      <w:r w:rsidR="001061C3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долгосрочном периоде </w:t>
      </w:r>
      <w:r w:rsidR="00BD21FF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к 20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30</w:t>
      </w:r>
      <w:r w:rsidR="00BD21FF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</w:t>
      </w:r>
      <w:r w:rsidR="001B588E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составит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="00A24F78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16,9</w:t>
      </w:r>
      <w:r w:rsidR="001B588E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 кв. м</w:t>
      </w:r>
      <w:r w:rsidR="00A62D60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одного человека</w:t>
      </w:r>
      <w:r w:rsidR="001B588E" w:rsidRPr="00B814C7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14:paraId="405FA8A1" w14:textId="4E1A8B06" w:rsidR="00E7448E" w:rsidRPr="00B814C7" w:rsidRDefault="000D1CFA" w:rsidP="00E7448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</w:t>
      </w:r>
      <w:r w:rsidR="00914CF6" w:rsidRPr="00B814C7">
        <w:rPr>
          <w:rFonts w:ascii="Times New Roman" w:hAnsi="Times New Roman" w:cs="Times New Roman"/>
          <w:sz w:val="26"/>
          <w:szCs w:val="26"/>
        </w:rPr>
        <w:t>Нефтеюганский</w:t>
      </w:r>
      <w:r w:rsidR="00914CF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 привлечено 1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76,5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рд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 инвестиций (1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01,5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202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сопоставимых ценах)</w:t>
      </w:r>
      <w:r w:rsidR="00E7448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оценке 2023 года объем инвестиций составит 187,5 млрд. рублей (100,5% к уровню 2022 года в сопоставимых ценах). К 2030 году прогнозируется индекс физического объема 101,5% (по базовому варианту).</w:t>
      </w:r>
    </w:p>
    <w:p w14:paraId="5B53ECEC" w14:textId="77777777" w:rsidR="000C1C47" w:rsidRPr="00B814C7" w:rsidRDefault="000C1C47" w:rsidP="000C1C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Осуществляется сопровождение инвестиционных проектов по принципу «одного окна»:</w:t>
      </w:r>
    </w:p>
    <w:p w14:paraId="3DB4FC6A" w14:textId="6D3A3B1E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rFonts w:eastAsia="Calibri"/>
          <w:sz w:val="26"/>
          <w:szCs w:val="26"/>
        </w:rPr>
        <w:t>«</w:t>
      </w:r>
      <w:r w:rsidRPr="008B1060">
        <w:rPr>
          <w:sz w:val="26"/>
          <w:szCs w:val="26"/>
        </w:rPr>
        <w:t xml:space="preserve">Строительство птичника на 7500 голов и кормоцеха в </w:t>
      </w:r>
      <w:proofErr w:type="spellStart"/>
      <w:r w:rsidRPr="008B1060">
        <w:rPr>
          <w:sz w:val="26"/>
          <w:szCs w:val="26"/>
        </w:rPr>
        <w:t>сп.Сингапай</w:t>
      </w:r>
      <w:proofErr w:type="spellEnd"/>
      <w:r w:rsidRPr="008B1060">
        <w:rPr>
          <w:sz w:val="26"/>
          <w:szCs w:val="26"/>
        </w:rPr>
        <w:t>», что позволит увеличить обеспеченность жителей качественной сельскохозяйственной продукцией собственного производства. Планируется вложение 13 млн. рублей инвестиций, создание 3 рабочих мест;</w:t>
      </w:r>
    </w:p>
    <w:p w14:paraId="634450D0" w14:textId="2348B432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«Строительство мини-завода по производству бутилированной питьевой воды» в </w:t>
      </w:r>
      <w:proofErr w:type="spellStart"/>
      <w:r w:rsidRPr="008B1060">
        <w:rPr>
          <w:sz w:val="26"/>
          <w:szCs w:val="26"/>
        </w:rPr>
        <w:t>сп.Салым</w:t>
      </w:r>
      <w:proofErr w:type="spellEnd"/>
      <w:r w:rsidRPr="008B1060">
        <w:rPr>
          <w:sz w:val="26"/>
          <w:szCs w:val="26"/>
        </w:rPr>
        <w:t xml:space="preserve">. Планируется вложение инвестиций на общую сумму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>10 млн. рублей, создание 9 рабочих мест;</w:t>
      </w:r>
    </w:p>
    <w:p w14:paraId="4EDD2164" w14:textId="08BA5E50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«Модернизация цеха переработки изношенных автомобильных шин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 xml:space="preserve">в резиновую крошку для изготовления </w:t>
      </w:r>
      <w:proofErr w:type="spellStart"/>
      <w:r w:rsidRPr="008B1060">
        <w:rPr>
          <w:sz w:val="26"/>
          <w:szCs w:val="26"/>
        </w:rPr>
        <w:t>травмобезопасного</w:t>
      </w:r>
      <w:proofErr w:type="spellEnd"/>
      <w:r w:rsidRPr="008B1060">
        <w:rPr>
          <w:sz w:val="26"/>
          <w:szCs w:val="26"/>
        </w:rPr>
        <w:t xml:space="preserve"> покрытия и фигур для детских площадок». Планируется вложение 24 млн. рублей инвестиций, создание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>12 рабочих мест;</w:t>
      </w:r>
    </w:p>
    <w:p w14:paraId="1456CD67" w14:textId="70C0DE41" w:rsidR="000C1C47" w:rsidRPr="00B814C7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8B1060">
        <w:rPr>
          <w:sz w:val="26"/>
          <w:szCs w:val="26"/>
        </w:rPr>
        <w:t>«Строительство бройлерной птицефабрики с полным технологическим циклом производства</w:t>
      </w:r>
      <w:r w:rsidRPr="00B814C7">
        <w:rPr>
          <w:rFonts w:eastAsia="Calibri"/>
          <w:sz w:val="26"/>
          <w:szCs w:val="26"/>
        </w:rPr>
        <w:t xml:space="preserve"> мяса бройлеров и продуктов его глубокой переработки» </w:t>
      </w:r>
      <w:r w:rsidR="008B1060">
        <w:rPr>
          <w:rFonts w:eastAsia="Calibri"/>
          <w:sz w:val="26"/>
          <w:szCs w:val="26"/>
        </w:rPr>
        <w:br/>
      </w:r>
      <w:r w:rsidRPr="00B814C7">
        <w:rPr>
          <w:rFonts w:eastAsia="Calibri"/>
          <w:sz w:val="26"/>
          <w:szCs w:val="26"/>
        </w:rPr>
        <w:lastRenderedPageBreak/>
        <w:t xml:space="preserve">на межселенной территории </w:t>
      </w:r>
      <w:r w:rsidR="00811E75" w:rsidRPr="00B814C7">
        <w:rPr>
          <w:sz w:val="26"/>
          <w:szCs w:val="26"/>
        </w:rPr>
        <w:t>Нефтеюганского</w:t>
      </w:r>
      <w:r w:rsidR="00811E75" w:rsidRPr="00B814C7">
        <w:rPr>
          <w:rFonts w:eastAsia="Calibri"/>
          <w:sz w:val="26"/>
          <w:szCs w:val="26"/>
        </w:rPr>
        <w:t xml:space="preserve"> </w:t>
      </w:r>
      <w:r w:rsidRPr="00B814C7">
        <w:rPr>
          <w:rFonts w:eastAsia="Calibri"/>
          <w:sz w:val="26"/>
          <w:szCs w:val="26"/>
        </w:rPr>
        <w:t>района. Планируется вложение инвестиций на общую сумму 70 млн. рублей, создание 10 рабочих мест;</w:t>
      </w:r>
    </w:p>
    <w:p w14:paraId="61129440" w14:textId="5E4AD65D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14C7">
        <w:rPr>
          <w:rFonts w:eastAsia="Calibri"/>
          <w:sz w:val="26"/>
          <w:szCs w:val="26"/>
        </w:rPr>
        <w:t>«</w:t>
      </w:r>
      <w:r w:rsidRPr="008B1060">
        <w:rPr>
          <w:sz w:val="26"/>
          <w:szCs w:val="26"/>
        </w:rPr>
        <w:t xml:space="preserve">Строительство дорожного сервиса: в составе сервисного центра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>и придорожного сервиса». Планируется вложение 15 млн. рублей инвестиций, создание 5 рабочих мест;</w:t>
      </w:r>
    </w:p>
    <w:p w14:paraId="20CE3F0F" w14:textId="780E891F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«Дошкольное образование в </w:t>
      </w:r>
      <w:proofErr w:type="spellStart"/>
      <w:r w:rsidRPr="008B1060">
        <w:rPr>
          <w:sz w:val="26"/>
          <w:szCs w:val="26"/>
        </w:rPr>
        <w:t>сп.Сингапай</w:t>
      </w:r>
      <w:proofErr w:type="spellEnd"/>
      <w:r w:rsidRPr="008B1060">
        <w:rPr>
          <w:sz w:val="26"/>
          <w:szCs w:val="26"/>
        </w:rPr>
        <w:t xml:space="preserve"> Нефтеюганского муниципального района». Планируется вложение 25 млн. рублей инвестиций, создание рабочих мест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>в количестве не менее 45 человек;</w:t>
      </w:r>
    </w:p>
    <w:p w14:paraId="2355D3D4" w14:textId="04AF9C83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«Предоставление бытовых услуг в </w:t>
      </w:r>
      <w:proofErr w:type="spellStart"/>
      <w:r w:rsidRPr="008B1060">
        <w:rPr>
          <w:sz w:val="26"/>
          <w:szCs w:val="26"/>
        </w:rPr>
        <w:t>сп.Салым</w:t>
      </w:r>
      <w:proofErr w:type="spellEnd"/>
      <w:r w:rsidRPr="008B1060">
        <w:rPr>
          <w:sz w:val="26"/>
          <w:szCs w:val="26"/>
        </w:rPr>
        <w:t>». Планируется вложение                     15 млн. рублей инвестиций, создание 5 рабочих мест;</w:t>
      </w:r>
    </w:p>
    <w:p w14:paraId="2EAC3A64" w14:textId="78B94F05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«Рыборазведение и переработка в </w:t>
      </w:r>
      <w:proofErr w:type="spellStart"/>
      <w:r w:rsidRPr="008B1060">
        <w:rPr>
          <w:sz w:val="26"/>
          <w:szCs w:val="26"/>
        </w:rPr>
        <w:t>гп.Пойковский</w:t>
      </w:r>
      <w:proofErr w:type="spellEnd"/>
      <w:r w:rsidRPr="008B1060">
        <w:rPr>
          <w:sz w:val="26"/>
          <w:szCs w:val="26"/>
        </w:rPr>
        <w:t>». Планируется вложение инвестиций на общую сумму 31 млн. рублей, создание 10 рабочих мест;</w:t>
      </w:r>
    </w:p>
    <w:p w14:paraId="2048E805" w14:textId="01E8A961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«Предоставление бытовых услуг в </w:t>
      </w:r>
      <w:proofErr w:type="spellStart"/>
      <w:r w:rsidRPr="008B1060">
        <w:rPr>
          <w:sz w:val="26"/>
          <w:szCs w:val="26"/>
        </w:rPr>
        <w:t>сп.Салым</w:t>
      </w:r>
      <w:proofErr w:type="spellEnd"/>
      <w:r w:rsidRPr="008B1060">
        <w:rPr>
          <w:sz w:val="26"/>
          <w:szCs w:val="26"/>
        </w:rPr>
        <w:t>». Планируется вложение инвестиций на общую сумму 18 млн. рублей, создание 9 рабочих мест;</w:t>
      </w:r>
    </w:p>
    <w:p w14:paraId="27F9CB8E" w14:textId="5B2FF21A" w:rsidR="000C1C47" w:rsidRPr="008B1060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B1060">
        <w:rPr>
          <w:sz w:val="26"/>
          <w:szCs w:val="26"/>
        </w:rPr>
        <w:t xml:space="preserve">«Строительство станции технического обслуживания» в </w:t>
      </w:r>
      <w:proofErr w:type="spellStart"/>
      <w:r w:rsidRPr="008B1060">
        <w:rPr>
          <w:sz w:val="26"/>
          <w:szCs w:val="26"/>
        </w:rPr>
        <w:t>сп.Сентябрьский</w:t>
      </w:r>
      <w:proofErr w:type="spellEnd"/>
      <w:r w:rsidRPr="008B1060">
        <w:rPr>
          <w:sz w:val="26"/>
          <w:szCs w:val="26"/>
        </w:rPr>
        <w:t>. Планируется вложение инвестиций на общую сумму 20 млн. рублей, создание                   6 рабочих мест;</w:t>
      </w:r>
    </w:p>
    <w:p w14:paraId="3502C1DB" w14:textId="60AF5435" w:rsidR="000C1C47" w:rsidRPr="00B814C7" w:rsidRDefault="000C1C47" w:rsidP="008B1060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8B1060">
        <w:rPr>
          <w:sz w:val="26"/>
          <w:szCs w:val="26"/>
        </w:rPr>
        <w:t xml:space="preserve">«Модернизация производственного оборудования предприятия </w:t>
      </w:r>
      <w:r w:rsidR="008B1060">
        <w:rPr>
          <w:sz w:val="26"/>
          <w:szCs w:val="26"/>
        </w:rPr>
        <w:br/>
      </w:r>
      <w:r w:rsidRPr="008B1060">
        <w:rPr>
          <w:sz w:val="26"/>
          <w:szCs w:val="26"/>
        </w:rPr>
        <w:t>по переработке сельскохозяйственной</w:t>
      </w:r>
      <w:r w:rsidRPr="00B814C7">
        <w:rPr>
          <w:rFonts w:eastAsia="Calibri"/>
          <w:sz w:val="26"/>
          <w:szCs w:val="26"/>
        </w:rPr>
        <w:t xml:space="preserve"> продукции». Планируется вложение инвестиций на общую сумму 50 млн. рублей, создание 26 рабочих мест.</w:t>
      </w:r>
    </w:p>
    <w:p w14:paraId="45D3BC09" w14:textId="413E6F76" w:rsidR="000C1C47" w:rsidRPr="00B814C7" w:rsidRDefault="000C1C47" w:rsidP="000C1C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Увеличению объемов переработки попутного нефтяного газа на территории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>до 2025 года будет способствовать строительство Майского газоперерабатывающего комплекса (региональный инвестиционный проект) на общую сумму 25 млрд. рублей, планируется создать 125 рабочих мест.</w:t>
      </w:r>
    </w:p>
    <w:p w14:paraId="66E17810" w14:textId="77777777" w:rsidR="000C1C47" w:rsidRPr="00B814C7" w:rsidRDefault="000C1C47" w:rsidP="000C1C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Ведется работа с потенциальными инвесторами по подготовке инвестиционных площадок для реализации проектов.</w:t>
      </w:r>
    </w:p>
    <w:p w14:paraId="72C7F2FF" w14:textId="1346E586" w:rsidR="000C1C47" w:rsidRPr="00B814C7" w:rsidRDefault="000C1C47" w:rsidP="000C1C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В сфере </w:t>
      </w:r>
      <w:proofErr w:type="spellStart"/>
      <w:r w:rsidRPr="00B814C7">
        <w:rPr>
          <w:rFonts w:ascii="Times New Roman" w:eastAsia="Calibri" w:hAnsi="Times New Roman" w:cs="Times New Roman"/>
          <w:sz w:val="26"/>
          <w:szCs w:val="26"/>
        </w:rPr>
        <w:t>муниципально</w:t>
      </w:r>
      <w:proofErr w:type="spellEnd"/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-частного партнерства реализуется 8 </w:t>
      </w:r>
      <w:proofErr w:type="spellStart"/>
      <w:r w:rsidRPr="00B814C7">
        <w:rPr>
          <w:rFonts w:ascii="Times New Roman" w:eastAsia="Calibri" w:hAnsi="Times New Roman" w:cs="Times New Roman"/>
          <w:sz w:val="26"/>
          <w:szCs w:val="26"/>
        </w:rPr>
        <w:t>энергосервисных</w:t>
      </w:r>
      <w:proofErr w:type="spellEnd"/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контрактов, направленных на энергосбережение и повышение энергетической эффективности использования тепловой энергии социальными объектами на общую сумму 77,9 млн. рублей. По предварительной оценке, эффект от реализации </w:t>
      </w:r>
      <w:proofErr w:type="spellStart"/>
      <w:r w:rsidRPr="00B814C7">
        <w:rPr>
          <w:rFonts w:ascii="Times New Roman" w:eastAsia="Calibri" w:hAnsi="Times New Roman" w:cs="Times New Roman"/>
          <w:sz w:val="26"/>
          <w:szCs w:val="26"/>
        </w:rPr>
        <w:t>энергосервисных</w:t>
      </w:r>
      <w:proofErr w:type="spellEnd"/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контрактов составил в стоимостном выражении 14,5 млн. рублей,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в натуральном выражении 6,8 тыс. Гкал. </w:t>
      </w:r>
    </w:p>
    <w:p w14:paraId="19620AAC" w14:textId="77777777" w:rsidR="000C1C47" w:rsidRPr="00B814C7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</w:p>
    <w:p w14:paraId="011DABC7" w14:textId="0BBC2FFE" w:rsidR="00360B6A" w:rsidRPr="00B814C7" w:rsidRDefault="00360B6A" w:rsidP="000C1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 и связь</w:t>
      </w:r>
    </w:p>
    <w:p w14:paraId="6A53A97D" w14:textId="77777777" w:rsidR="00360B6A" w:rsidRPr="00B814C7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9A0318" w14:textId="45C18537" w:rsidR="00360B6A" w:rsidRPr="00B814C7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Дорожная деятельность осуществлялась в рамках муниципальной программы</w:t>
      </w:r>
      <w:r w:rsidR="00811E75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транспортной системы». </w:t>
      </w:r>
    </w:p>
    <w:p w14:paraId="7D75771F" w14:textId="2F94A5AE" w:rsidR="001A18DC" w:rsidRPr="00B814C7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с твердым покрытием составила </w:t>
      </w:r>
      <w:r w:rsidR="00D9685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75,4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из них федерального значения </w:t>
      </w:r>
      <w:r w:rsidR="00D9685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27,4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</w:t>
      </w:r>
      <w:r w:rsidR="00A9745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прогнозном периоде к 20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A9745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9685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C44ADA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9685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A24F7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ставят соответственно 588,1 км и 334,1 км</w:t>
      </w:r>
      <w:r w:rsidR="00D9685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E67E470" w14:textId="627EF3B9" w:rsidR="00360B6A" w:rsidRPr="00B814C7" w:rsidRDefault="00360B6A" w:rsidP="0053124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предоставляемых услуг связи за 20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103,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100,1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1CFA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уровню 202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долгосрочном периоде до 20</w:t>
      </w:r>
      <w:r w:rsidR="00860DC0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объем предоставляемых услуг связи достигнет </w:t>
      </w:r>
      <w:r w:rsidR="001A18DC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D1CFA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4,0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14:paraId="5F625282" w14:textId="21E00F7C" w:rsidR="00431CB0" w:rsidRPr="008B1060" w:rsidRDefault="00E55A71" w:rsidP="008B10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</w:p>
    <w:p w14:paraId="06789184" w14:textId="3BAC57D2" w:rsidR="001A18DC" w:rsidRPr="00B814C7" w:rsidRDefault="001A18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Рынок товаров и услуг</w:t>
      </w:r>
    </w:p>
    <w:p w14:paraId="5A7330AB" w14:textId="77777777" w:rsidR="000D1CFA" w:rsidRPr="00B814C7" w:rsidRDefault="000D1CFA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01F0769" w14:textId="77777777" w:rsidR="000766E2" w:rsidRPr="00B814C7" w:rsidRDefault="001A18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 и общественное питание</w:t>
      </w:r>
    </w:p>
    <w:p w14:paraId="116C0138" w14:textId="77777777" w:rsidR="00E55A71" w:rsidRPr="00B814C7" w:rsidRDefault="00E55A71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4031032" w14:textId="0502A41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За 2022 год в структуре потребительского рынка наиболее распространенным видом остается торговля. </w:t>
      </w:r>
    </w:p>
    <w:p w14:paraId="0491119A" w14:textId="754A066A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По состоянию на 01.01.2023 общее количество объектов потребительского рынка в </w:t>
      </w:r>
      <w:r w:rsidR="002769F5" w:rsidRPr="00B814C7">
        <w:rPr>
          <w:rFonts w:ascii="Times New Roman" w:eastAsia="Calibri" w:hAnsi="Times New Roman" w:cs="Times New Roman"/>
          <w:sz w:val="26"/>
          <w:szCs w:val="26"/>
        </w:rPr>
        <w:t xml:space="preserve">Нефтеюганском </w:t>
      </w:r>
      <w:r w:rsidRPr="00B814C7">
        <w:rPr>
          <w:rFonts w:ascii="Times New Roman" w:eastAsia="Calibri" w:hAnsi="Times New Roman" w:cs="Times New Roman"/>
          <w:sz w:val="26"/>
          <w:szCs w:val="26"/>
        </w:rPr>
        <w:t>районе составляет 475 единиц:</w:t>
      </w:r>
    </w:p>
    <w:p w14:paraId="4C5D06B4" w14:textId="7777777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216 объектов розничной торговли с общей торговой площадью 22,9 тыс. кв. м;</w:t>
      </w:r>
    </w:p>
    <w:p w14:paraId="27D7055A" w14:textId="7777777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71 объект общественного питания на 2 544 посадочных мест;</w:t>
      </w:r>
    </w:p>
    <w:p w14:paraId="7EF51EFD" w14:textId="7777777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132 объекта сферы платных услуг;</w:t>
      </w:r>
    </w:p>
    <w:p w14:paraId="1CB2D330" w14:textId="7777777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46 объект, оказывающий бытовые услуги;</w:t>
      </w:r>
    </w:p>
    <w:p w14:paraId="135C94E8" w14:textId="77777777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10 объектов хлебопечения.</w:t>
      </w:r>
    </w:p>
    <w:p w14:paraId="61C95229" w14:textId="2BBEDEAA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Оборот розничной торговли пищевыми продуктами, включая напитки,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>и табачными изделиями за 2022 год составил 2 803,8 млн. рублей или 98,1% к уровню 2021 года в сопоставимых ценах. В 2023 году по оценочным данным оборот розничной торговли составит 2 988,9 млн. рублей</w:t>
      </w:r>
      <w:r w:rsidR="002172F9" w:rsidRPr="00B814C7">
        <w:rPr>
          <w:rFonts w:ascii="Times New Roman" w:eastAsia="Calibri" w:hAnsi="Times New Roman" w:cs="Times New Roman"/>
          <w:sz w:val="26"/>
          <w:szCs w:val="26"/>
        </w:rPr>
        <w:t xml:space="preserve"> (102,3% к уровню 2022 года в сопоставимых ценах)</w:t>
      </w:r>
      <w:r w:rsidRPr="00B814C7">
        <w:rPr>
          <w:rFonts w:ascii="Times New Roman" w:eastAsia="Calibri" w:hAnsi="Times New Roman" w:cs="Times New Roman"/>
          <w:sz w:val="26"/>
          <w:szCs w:val="26"/>
        </w:rPr>
        <w:t>. В прогнозном периоде динамика оборота розничной торговли сохранит положительную динамику</w:t>
      </w:r>
      <w:r w:rsidR="002172F9" w:rsidRPr="00B814C7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361CC7C" w14:textId="5470F8B2" w:rsidR="00860DC0" w:rsidRPr="00B814C7" w:rsidRDefault="00860DC0" w:rsidP="00860D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Объем общественного питания по крупным и средним предприятиям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>(без субъектов малого предпринимательства) за 2022 год составил 1 625,1 млн. рублей или 99,7% к уровню 2021 года в сопоставимых ценах. По оценке в 2023 году ожидается рост объема общественного питания</w:t>
      </w:r>
      <w:r w:rsidR="002172F9" w:rsidRPr="00B814C7">
        <w:rPr>
          <w:rFonts w:ascii="Times New Roman" w:eastAsia="Calibri" w:hAnsi="Times New Roman" w:cs="Times New Roman"/>
          <w:sz w:val="26"/>
          <w:szCs w:val="26"/>
        </w:rPr>
        <w:t xml:space="preserve"> до 100,8%, в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прогнозном периоде показатель составит </w:t>
      </w:r>
      <w:r w:rsidR="002172F9" w:rsidRPr="00B814C7">
        <w:rPr>
          <w:rFonts w:ascii="Times New Roman" w:eastAsia="Calibri" w:hAnsi="Times New Roman" w:cs="Times New Roman"/>
          <w:sz w:val="26"/>
          <w:szCs w:val="26"/>
        </w:rPr>
        <w:t>101,1%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по базовому варианту.</w:t>
      </w:r>
    </w:p>
    <w:p w14:paraId="7DD8CE12" w14:textId="77777777" w:rsidR="00330289" w:rsidRPr="00B814C7" w:rsidRDefault="00330289" w:rsidP="0053124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1AC30C" w14:textId="5BF269FC" w:rsidR="000766E2" w:rsidRPr="00B814C7" w:rsidRDefault="000766E2" w:rsidP="005312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</w:p>
    <w:p w14:paraId="42B98E0F" w14:textId="77777777" w:rsidR="000766E2" w:rsidRPr="00B814C7" w:rsidRDefault="000766E2" w:rsidP="005312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8A1A1A" w14:textId="2FC66722" w:rsidR="00521D1D" w:rsidRPr="00B814C7" w:rsidRDefault="00521D1D" w:rsidP="00521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По состоянию на 01.01.2023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www.nalog.ru, составляет 932 единицы, из них 706 индивидуальных предпринимателя. </w:t>
      </w:r>
    </w:p>
    <w:p w14:paraId="2D182E70" w14:textId="0D01B5CF" w:rsidR="00521D1D" w:rsidRPr="00B814C7" w:rsidRDefault="00521D1D" w:rsidP="00521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По итогам 2022 года финансовая поддержка оказана 28 предпринимателям,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>на общую сумму 4 518,2 тыс. рублей.</w:t>
      </w:r>
    </w:p>
    <w:p w14:paraId="2BFE5253" w14:textId="15A88451" w:rsidR="00521D1D" w:rsidRPr="00B814C7" w:rsidRDefault="00521D1D" w:rsidP="00521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На территории Нефтеюганского района по состоянию на 01.01.2023 зарегистрировано 1 140 человек, которые являются плательщиками налога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на профессиональный доход.                               </w:t>
      </w:r>
    </w:p>
    <w:p w14:paraId="56A8F26C" w14:textId="77777777" w:rsidR="00521D1D" w:rsidRPr="00B814C7" w:rsidRDefault="00521D1D" w:rsidP="00521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В 2022 году число средних и малых предприятий, включая микропредприятия, без учета индивидуальных предпринимателей составило 3 583 человека. В 2023 году по оценочным данным число предприятий составит 228 с численностью работающих 3 590 человек. В прогнозном периоде к 2030 году ожидается увеличение количества предприятий до 230 единиц с численностью работающих 3 690 человек.</w:t>
      </w:r>
    </w:p>
    <w:p w14:paraId="20FC5300" w14:textId="77777777" w:rsidR="00521D1D" w:rsidRPr="00B814C7" w:rsidRDefault="00521D1D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ABFEDF" w14:textId="0EBDC35C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Нефтеюганского района</w:t>
      </w:r>
    </w:p>
    <w:p w14:paraId="10D90F56" w14:textId="77777777" w:rsidR="00EE41D2" w:rsidRPr="00B814C7" w:rsidRDefault="00EE41D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5D7B7D" w14:textId="02E7C765" w:rsidR="00432ADC" w:rsidRPr="00B814C7" w:rsidRDefault="00432A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</w:t>
      </w:r>
    </w:p>
    <w:p w14:paraId="0A575962" w14:textId="77777777" w:rsidR="00432ADC" w:rsidRPr="00B814C7" w:rsidRDefault="00432ADC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763F78" w14:textId="7777777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Общий ожидаемый объем доходов бюджета Нефтеюганского района на 2023 год выше уровня 2022 года на 7% (+ 443 млн. рублей) и составляет 6 537,5 млн. рублей. Ожидаемая оценка поступления доходов в бюджет Нефтеюганского района на 2023 год увеличена по сравнению с предыдущим годом в связи с фактическим поступлением платежей по искам о возмещении вреда, причиненного окружающей среде в текущем году.</w:t>
      </w:r>
    </w:p>
    <w:p w14:paraId="446DAA7F" w14:textId="7CE8E12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Консервативный вариант (вариант 1) прогноза на 2024-2025 годы составлен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на основании решения Думы Нефтеюганского района от 30.11.2022 № 830 «О бюджете Нефтеюганского района на 2023 год и плановый период 2024 и 2025 годов». </w:t>
      </w:r>
    </w:p>
    <w:p w14:paraId="3E32A40D" w14:textId="1B7240D9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За основу формирования базового варианта (вариант 2) прогноза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на 2024-2026 годы взяты запланированные доходы бюджета при составлении проекта решения Думы о бюджете Нефтеюганского района на 2024 и плановый период 2025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и 2026 годов.</w:t>
      </w:r>
    </w:p>
    <w:p w14:paraId="37CC5F5D" w14:textId="7777777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Прогнозные назначения на 2027-2030 годы отражены на уровне 2026 года.</w:t>
      </w:r>
    </w:p>
    <w:p w14:paraId="3673480E" w14:textId="07D36048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В целом прогнозные назначения на 2024-2030 годы уменьшены по сравнению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с 2023 годом в связи со снижением планируемых безвозмездных поступлений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от других бюджетов бюджетной системы Российской Федерации.</w:t>
      </w:r>
    </w:p>
    <w:p w14:paraId="2CCD0EE8" w14:textId="77777777" w:rsidR="00AA518B" w:rsidRPr="00B814C7" w:rsidRDefault="00AA518B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6AD7DE" w14:textId="1D003A66" w:rsidR="009418B4" w:rsidRPr="00B814C7" w:rsidRDefault="009418B4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14:paraId="1FE85E0E" w14:textId="77777777" w:rsidR="009418B4" w:rsidRPr="00B814C7" w:rsidRDefault="009418B4" w:rsidP="005312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65B1D3" w14:textId="53214E0C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Объем планируемых расходов бюджета Нефтеюганского района в 2023 году составит 7 000,5 млн. руб</w:t>
      </w:r>
      <w:r>
        <w:rPr>
          <w:rFonts w:ascii="Times New Roman" w:eastAsia="Calibri" w:hAnsi="Times New Roman" w:cs="Times New Roman"/>
          <w:sz w:val="26"/>
          <w:szCs w:val="26"/>
        </w:rPr>
        <w:t>лей</w:t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, что больше факта отчетного 2022 года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(6 727,3 млн. руб</w:t>
      </w:r>
      <w:r>
        <w:rPr>
          <w:rFonts w:ascii="Times New Roman" w:eastAsia="Calibri" w:hAnsi="Times New Roman" w:cs="Times New Roman"/>
          <w:sz w:val="26"/>
          <w:szCs w:val="26"/>
        </w:rPr>
        <w:t>лей</w:t>
      </w:r>
      <w:r w:rsidRPr="00F06DEB">
        <w:rPr>
          <w:rFonts w:ascii="Times New Roman" w:eastAsia="Calibri" w:hAnsi="Times New Roman" w:cs="Times New Roman"/>
          <w:sz w:val="26"/>
          <w:szCs w:val="26"/>
        </w:rPr>
        <w:t>) на 273,2 млн. руб</w:t>
      </w:r>
      <w:r>
        <w:rPr>
          <w:rFonts w:ascii="Times New Roman" w:eastAsia="Calibri" w:hAnsi="Times New Roman" w:cs="Times New Roman"/>
          <w:sz w:val="26"/>
          <w:szCs w:val="26"/>
        </w:rPr>
        <w:t>лей</w:t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 или на 4%.</w:t>
      </w:r>
    </w:p>
    <w:p w14:paraId="7D63D5AC" w14:textId="3FBBFC6C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Одновременно запланировано повышение фонда оплаты труда с 01.10.2023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на 5,5% работникам казенных, бюджетных и автономных учреждений, а также увеличением МРОТ с 01.01.2023 и оплаты труда работников культуры, педагогов дошкольного, общего и дополнительного образования в рамках реализации «майских» Указов Президента Российской Федерации.</w:t>
      </w:r>
    </w:p>
    <w:p w14:paraId="7A092882" w14:textId="3DCEF134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Реализация бюджетной политики Нефтеюганского района в 2024-2030 годах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в части формирования расходов бюджета Нефтеюганского района направлена,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в первую очередь, на решение задач и достижение национальных целей, обозначенных Президентом Российской Федерации, обеспечение стабильности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и сбалансированности бюджета.</w:t>
      </w:r>
    </w:p>
    <w:p w14:paraId="4C63FB56" w14:textId="47083F71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Структура расходной части бюджета Нефтеюганского района сформирована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с преобладанием социальных расходов, включающие в себя расходы в сфере образования, культуры, физической культуры и спорта, социальной политики. </w:t>
      </w:r>
    </w:p>
    <w:p w14:paraId="32ADF2AD" w14:textId="7777777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Основными расходами в отчетном периоде в общей сумме расходов стали: образование (36%), жилищно-коммунальное хозяйство (19%), общегосударственные вопросы (9%), национальная экономика (8%), культура, кинематография (6%).</w:t>
      </w:r>
    </w:p>
    <w:p w14:paraId="76447421" w14:textId="7777777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В текущем году и прогнозном периоде структура расходов бюджета Нефтеюганского района существенно не изменится.</w:t>
      </w:r>
    </w:p>
    <w:p w14:paraId="3B2810F2" w14:textId="1A042FC7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>Структуру муниципального долга Нефтеюганского района составляют бюджетные кредиты, полученные из бюджета Ханты-Мансийского автономного округа</w:t>
      </w:r>
      <w:r w:rsidR="008B1060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Pr="00F06DEB">
        <w:rPr>
          <w:rFonts w:ascii="Times New Roman" w:eastAsia="Calibri" w:hAnsi="Times New Roman" w:cs="Times New Roman"/>
          <w:sz w:val="26"/>
          <w:szCs w:val="26"/>
        </w:rPr>
        <w:t>Югры на финансирование дефицита бюджета. В отчетном периоде муниципальный долг составил 79,0 млн. руб</w:t>
      </w:r>
      <w:r>
        <w:rPr>
          <w:rFonts w:ascii="Times New Roman" w:eastAsia="Calibri" w:hAnsi="Times New Roman" w:cs="Times New Roman"/>
          <w:sz w:val="26"/>
          <w:szCs w:val="26"/>
        </w:rPr>
        <w:t>лей</w:t>
      </w:r>
      <w:r w:rsidRPr="00F06DEB">
        <w:rPr>
          <w:rFonts w:ascii="Times New Roman" w:eastAsia="Calibri" w:hAnsi="Times New Roman" w:cs="Times New Roman"/>
          <w:sz w:val="26"/>
          <w:szCs w:val="26"/>
        </w:rPr>
        <w:t>. Расходы на обслуживание долговых обязательств составили 0,093 млн. руб</w:t>
      </w:r>
      <w:r>
        <w:rPr>
          <w:rFonts w:ascii="Times New Roman" w:eastAsia="Calibri" w:hAnsi="Times New Roman" w:cs="Times New Roman"/>
          <w:sz w:val="26"/>
          <w:szCs w:val="26"/>
        </w:rPr>
        <w:t>лей</w:t>
      </w: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0B1EF09B" w14:textId="2DA993AD" w:rsidR="00F06DEB" w:rsidRPr="00F06DEB" w:rsidRDefault="00F06DEB" w:rsidP="00F06D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DEB">
        <w:rPr>
          <w:rFonts w:ascii="Times New Roman" w:eastAsia="Calibri" w:hAnsi="Times New Roman" w:cs="Times New Roman"/>
          <w:sz w:val="26"/>
          <w:szCs w:val="26"/>
        </w:rPr>
        <w:t xml:space="preserve">Расходы на 2024-2030 годы уменьшены по сравнению с 2023 годом в связи </w:t>
      </w:r>
      <w:r w:rsidR="008B1060">
        <w:rPr>
          <w:rFonts w:ascii="Times New Roman" w:eastAsia="Calibri" w:hAnsi="Times New Roman" w:cs="Times New Roman"/>
          <w:sz w:val="26"/>
          <w:szCs w:val="26"/>
        </w:rPr>
        <w:br/>
      </w:r>
      <w:r w:rsidRPr="00F06DEB">
        <w:rPr>
          <w:rFonts w:ascii="Times New Roman" w:eastAsia="Calibri" w:hAnsi="Times New Roman" w:cs="Times New Roman"/>
          <w:sz w:val="26"/>
          <w:szCs w:val="26"/>
        </w:rPr>
        <w:t>со снижением планируемых безвозмездных поступлений от других бюджетов бюджетной системы Российской Федерации.</w:t>
      </w:r>
    </w:p>
    <w:p w14:paraId="7A3BE69D" w14:textId="77777777" w:rsidR="00545209" w:rsidRPr="00B814C7" w:rsidRDefault="00545209" w:rsidP="005452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4768412" w14:textId="632382BD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сектор</w:t>
      </w:r>
    </w:p>
    <w:p w14:paraId="491F4F68" w14:textId="77777777" w:rsidR="00AA518B" w:rsidRPr="00B814C7" w:rsidRDefault="00AA518B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B580D5" w14:textId="05EBFB96" w:rsidR="00113202" w:rsidRPr="00B814C7" w:rsidRDefault="0011320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Производственная деятельность</w:t>
      </w:r>
    </w:p>
    <w:p w14:paraId="7B1C1A22" w14:textId="77777777" w:rsidR="00EA20E3" w:rsidRPr="00B814C7" w:rsidRDefault="00EA20E3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394CC9" w14:textId="5D931808" w:rsidR="00C03FA8" w:rsidRPr="00B814C7" w:rsidRDefault="00C03FA8" w:rsidP="00C03FA8">
      <w:pPr>
        <w:pStyle w:val="Default"/>
        <w:suppressAutoHyphens/>
        <w:ind w:firstLine="709"/>
        <w:jc w:val="both"/>
        <w:rPr>
          <w:color w:val="auto"/>
          <w:sz w:val="26"/>
          <w:szCs w:val="26"/>
        </w:rPr>
      </w:pPr>
      <w:r w:rsidRPr="00B814C7">
        <w:rPr>
          <w:color w:val="auto"/>
          <w:sz w:val="26"/>
          <w:szCs w:val="26"/>
        </w:rPr>
        <w:lastRenderedPageBreak/>
        <w:t>Представлены данные Нефтеюганских районных муниципальных унитарных предприятий – ПМУП «Управление тепловодоснабжения», МПНРМУ «Торгово-транспортное предприятие» и хозяйствующего общества, 100% доля (акций) которого находится в собственности муниципального образования Нефтеюганский район – ООО «Центральная районная аптека».</w:t>
      </w:r>
    </w:p>
    <w:p w14:paraId="6AC166C9" w14:textId="69A27EFB" w:rsidR="002503FD" w:rsidRPr="00B814C7" w:rsidRDefault="00D47839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товаров и услуг предприятиями муниципальной формы собственности в 20</w:t>
      </w:r>
      <w:r w:rsidR="00E521B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составило </w:t>
      </w:r>
      <w:r w:rsidR="00DE7734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0,9</w:t>
      </w:r>
      <w:r w:rsidR="00E521B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</w:t>
      </w:r>
      <w:r w:rsidR="00113202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оценочным данным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составит 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884,8</w:t>
      </w:r>
      <w:r w:rsidR="006E34F1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2503FD" w:rsidRPr="00B814C7">
        <w:rPr>
          <w:rFonts w:eastAsia="Times New Roman"/>
          <w:sz w:val="26"/>
          <w:szCs w:val="26"/>
          <w:lang w:eastAsia="ru-RU"/>
        </w:rPr>
        <w:t xml:space="preserve">, </w:t>
      </w:r>
      <w:r w:rsidR="002503F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долгосрочном периоде к 20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2503F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рост показателя до 1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 112,9</w:t>
      </w:r>
      <w:r w:rsidR="002503FD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14:paraId="189110FA" w14:textId="70BEEB9F" w:rsidR="002503FD" w:rsidRPr="00B814C7" w:rsidRDefault="002503FD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Среднесписочная численность работников предприятий муниципальной формы собственности в долгосрочном периоде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сократится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824D04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742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14:paraId="48BFADE5" w14:textId="77777777" w:rsidR="003529BD" w:rsidRPr="00B814C7" w:rsidRDefault="003529BD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7EF69D" w14:textId="77777777" w:rsidR="00113202" w:rsidRPr="00B814C7" w:rsidRDefault="00113202" w:rsidP="0053124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использования муниципальной собственности</w:t>
      </w:r>
    </w:p>
    <w:p w14:paraId="2DC7EFBB" w14:textId="77777777" w:rsidR="00113202" w:rsidRPr="00B814C7" w:rsidRDefault="00113202" w:rsidP="005312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4494CD" w14:textId="29869F53" w:rsidR="00113202" w:rsidRPr="00B814C7" w:rsidRDefault="00113202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«Доходы, полученные от продажи имущества, находящегося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муниципальной собственности» отражен в соответствии с прогнозным планом (программой) приватизации 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имущества на 2022-2024 годы</w:t>
      </w:r>
      <w:r w:rsidR="00776719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анализа поступлений денежных средств от оплаты по договорам купли-продажи квартир </w:t>
      </w:r>
      <w:r w:rsidR="00E8145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3FA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графиками платежей. </w:t>
      </w:r>
    </w:p>
    <w:p w14:paraId="640D5B54" w14:textId="77777777" w:rsidR="001D0AD7" w:rsidRPr="00B814C7" w:rsidRDefault="001D0AD7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75A411" w14:textId="77777777" w:rsidR="001D0AD7" w:rsidRPr="00B814C7" w:rsidRDefault="001D0AD7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деятельность</w:t>
      </w:r>
    </w:p>
    <w:p w14:paraId="0F24185D" w14:textId="7259D2A4" w:rsidR="00113202" w:rsidRPr="00B814C7" w:rsidRDefault="00113202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C768BF" w14:textId="45B608DD" w:rsidR="008D5A70" w:rsidRPr="00B814C7" w:rsidRDefault="008D5A70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показателю «Инвестиции в основной капитал организаций муниципальной формы собственности» муниципальными предприятиями и обществами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инвестиции рассчитаны в соответствии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инвестиционными программами. </w:t>
      </w:r>
    </w:p>
    <w:p w14:paraId="737EE01F" w14:textId="0C293656" w:rsidR="00E21206" w:rsidRPr="00B814C7" w:rsidRDefault="00E21206" w:rsidP="00531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55258C" w14:textId="77777777" w:rsidR="00E21206" w:rsidRPr="00B814C7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Отрасли социальной сферы</w:t>
      </w:r>
    </w:p>
    <w:p w14:paraId="1C66026F" w14:textId="77777777" w:rsidR="00AA518B" w:rsidRPr="00B814C7" w:rsidRDefault="00AA518B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B8E5AAE" w14:textId="1AC54147" w:rsidR="00E21206" w:rsidRPr="00B814C7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14:paraId="5F399190" w14:textId="77777777" w:rsidR="00E21206" w:rsidRPr="00B814C7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9BEAE7B" w14:textId="0D811922" w:rsidR="00E21206" w:rsidRPr="00B814C7" w:rsidRDefault="00AA518B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2023 году с</w:t>
      </w:r>
      <w:r w:rsidR="00E21206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оциальная сфера Нефтеюганского района представлена </w:t>
      </w:r>
      <w:r w:rsidR="00E814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</w:t>
      </w:r>
      <w:r w:rsidR="00E21206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учреждениями образования, из них: </w:t>
      </w:r>
    </w:p>
    <w:p w14:paraId="73384C78" w14:textId="779A6E43" w:rsidR="00E21206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>-общеобразовательные учреждения 13;</w:t>
      </w:r>
    </w:p>
    <w:p w14:paraId="51DA82BE" w14:textId="5C419CEE" w:rsidR="00E21206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 xml:space="preserve">дошкольные образовательные учреждения 13; </w:t>
      </w:r>
    </w:p>
    <w:p w14:paraId="46D68346" w14:textId="7583AEAC" w:rsidR="00E21206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>учреждения дополнительного образования детей 3</w:t>
      </w:r>
      <w:r w:rsidR="00AA518B" w:rsidRPr="00E81458">
        <w:rPr>
          <w:bCs/>
          <w:sz w:val="26"/>
          <w:szCs w:val="26"/>
        </w:rPr>
        <w:t>.</w:t>
      </w:r>
    </w:p>
    <w:p w14:paraId="20F65D64" w14:textId="4E61F217" w:rsidR="00E21206" w:rsidRPr="00B814C7" w:rsidRDefault="00E21206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Нефтеюганского района удовлетворен спрос населения на услуги дошкольного образования. Муниципальной системой дошкольного образования в 2022 году охвачены 1 955 детей в возрасте от 1,5 до 7 лет</w:t>
      </w:r>
      <w:r w:rsidR="0055130E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5130E" w:rsidRPr="00B814C7">
        <w:rPr>
          <w:rFonts w:ascii="Times New Roman" w:hAnsi="Times New Roman"/>
          <w:sz w:val="26"/>
          <w:szCs w:val="26"/>
        </w:rPr>
        <w:t>и 33 воспитанника в частной образовательной организации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что составляет </w:t>
      </w:r>
      <w:r w:rsidR="0055130E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от общего количества детей Нефтеюганского района. Обеспечена 100%-я доступность дошкольного образования для детей в возрасте от 3-х до 7 лет. В поселениях Нефтеюганского района снят вопрос очередности в детские сады детям в возрасте от 1,5-х до 3 лет.</w:t>
      </w:r>
      <w:r w:rsidR="0055130E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65AAD4F" w14:textId="2CADEAB8" w:rsidR="0055130E" w:rsidRPr="00B814C7" w:rsidRDefault="0055130E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прогнозном периоде к 2030 году обеспеченность дошкольными образовательными учреждениями увеличится до </w:t>
      </w:r>
      <w:r w:rsidR="00824D04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975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 на 1 000 детей в возрасте </w:t>
      </w:r>
      <w:r w:rsidR="00E814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1-6 лет.</w:t>
      </w:r>
    </w:p>
    <w:p w14:paraId="266989F7" w14:textId="07D130E6" w:rsidR="00E21206" w:rsidRPr="00B814C7" w:rsidRDefault="00E21206" w:rsidP="00E8145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Численность учащихся в общеобразовательных учреждениях </w:t>
      </w:r>
      <w:r w:rsidR="00E814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2022-2023 учебном году составила 4 994 человека. Двухсменный режим работы 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организован в 3 школах </w:t>
      </w:r>
      <w:proofErr w:type="spellStart"/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гп.Пойковский</w:t>
      </w:r>
      <w:proofErr w:type="spellEnd"/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6</w:t>
      </w:r>
      <w:r w:rsidR="0055130E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ученик</w:t>
      </w:r>
      <w:r w:rsidR="0055130E"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(13% от общей численности) учатся во 2 смену. При этом односменный режим обучения организован для всех обучающихся 1-4 классов и 9-11 классов.</w:t>
      </w:r>
    </w:p>
    <w:p w14:paraId="4A775DE7" w14:textId="6B73D6D7" w:rsidR="0055130E" w:rsidRPr="00B814C7" w:rsidRDefault="0055130E" w:rsidP="00E814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14C7">
        <w:rPr>
          <w:rFonts w:ascii="Times New Roman" w:eastAsia="Times New Roman" w:hAnsi="Times New Roman"/>
          <w:sz w:val="26"/>
          <w:szCs w:val="26"/>
          <w:lang w:eastAsia="ru-RU"/>
        </w:rPr>
        <w:t xml:space="preserve">Решить проблему второй смены в </w:t>
      </w:r>
      <w:proofErr w:type="spellStart"/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гп.Пойковский</w:t>
      </w:r>
      <w:proofErr w:type="spellEnd"/>
      <w:r w:rsidRPr="00B814C7">
        <w:rPr>
          <w:rFonts w:ascii="Times New Roman" w:eastAsia="Times New Roman" w:hAnsi="Times New Roman"/>
          <w:sz w:val="26"/>
          <w:szCs w:val="26"/>
          <w:lang w:eastAsia="ru-RU"/>
        </w:rPr>
        <w:t xml:space="preserve"> станет возможным после строительства нового объекта школы, в</w:t>
      </w:r>
      <w:r w:rsidRPr="00B814C7">
        <w:rPr>
          <w:rFonts w:ascii="Times New Roman" w:hAnsi="Times New Roman"/>
          <w:sz w:val="26"/>
          <w:szCs w:val="26"/>
        </w:rPr>
        <w:t xml:space="preserve"> 2025-2029 годы в гп. Пойковский планируется строительство здания новой школы на 900 мест с углубленным изучением отдельных предметов и универсальной безбарьерной средой. </w:t>
      </w:r>
    </w:p>
    <w:p w14:paraId="0A7F32CF" w14:textId="77777777" w:rsidR="00E21206" w:rsidRPr="00B814C7" w:rsidRDefault="00E21206" w:rsidP="00E21206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E085A96" w14:textId="77777777" w:rsidR="00E21206" w:rsidRPr="00B814C7" w:rsidRDefault="00E21206" w:rsidP="00E21206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Культура</w:t>
      </w:r>
    </w:p>
    <w:p w14:paraId="4187F027" w14:textId="77777777" w:rsidR="00E21206" w:rsidRPr="00B814C7" w:rsidRDefault="00E21206" w:rsidP="00E21206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14:paraId="51C0EBDD" w14:textId="1F7C955C" w:rsidR="005516D9" w:rsidRPr="00B814C7" w:rsidRDefault="005516D9" w:rsidP="005516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По состоянию на 01.01.2023 муниципальный сектор культуры Нефтеюганского района представлен обширной многопрофильной, стабильной сетью учреждений: </w:t>
      </w:r>
    </w:p>
    <w:p w14:paraId="174ED6FB" w14:textId="616F3DBA" w:rsidR="00E21206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B814C7">
        <w:rPr>
          <w:sz w:val="26"/>
          <w:szCs w:val="26"/>
        </w:rPr>
        <w:t xml:space="preserve">1 </w:t>
      </w:r>
      <w:r w:rsidRPr="00E81458">
        <w:rPr>
          <w:bCs/>
          <w:sz w:val="26"/>
          <w:szCs w:val="26"/>
        </w:rPr>
        <w:t>бюджетное учреждение «</w:t>
      </w:r>
      <w:proofErr w:type="spellStart"/>
      <w:r w:rsidRPr="00E81458">
        <w:rPr>
          <w:bCs/>
          <w:sz w:val="26"/>
          <w:szCs w:val="26"/>
        </w:rPr>
        <w:t>Межпоселенческая</w:t>
      </w:r>
      <w:proofErr w:type="spellEnd"/>
      <w:r w:rsidRPr="00E81458">
        <w:rPr>
          <w:bCs/>
          <w:sz w:val="26"/>
          <w:szCs w:val="26"/>
        </w:rPr>
        <w:t xml:space="preserve"> библиотека», включающее </w:t>
      </w:r>
      <w:r w:rsidR="00E81458">
        <w:rPr>
          <w:bCs/>
          <w:sz w:val="26"/>
          <w:szCs w:val="26"/>
        </w:rPr>
        <w:br/>
      </w:r>
      <w:r w:rsidRPr="00E81458">
        <w:rPr>
          <w:bCs/>
          <w:sz w:val="26"/>
          <w:szCs w:val="26"/>
        </w:rPr>
        <w:t>в свою структуру 14 поселенческих библиотек;</w:t>
      </w:r>
    </w:p>
    <w:p w14:paraId="469A073E" w14:textId="31D2CE4D" w:rsidR="00E21206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>2 муниципальных бюджетных образовательных учреждения дополнительного образования (НР МБУ ДО «Д</w:t>
      </w:r>
      <w:r w:rsidR="0063680C" w:rsidRPr="00E81458">
        <w:rPr>
          <w:bCs/>
          <w:sz w:val="26"/>
          <w:szCs w:val="26"/>
        </w:rPr>
        <w:t>етская школа искусств</w:t>
      </w:r>
      <w:r w:rsidRPr="00E81458">
        <w:rPr>
          <w:bCs/>
          <w:sz w:val="26"/>
          <w:szCs w:val="26"/>
        </w:rPr>
        <w:t>»; НР МБУ ДО «Д</w:t>
      </w:r>
      <w:r w:rsidR="0063680C" w:rsidRPr="00E81458">
        <w:rPr>
          <w:bCs/>
          <w:sz w:val="26"/>
          <w:szCs w:val="26"/>
        </w:rPr>
        <w:t>етская школа искусств</w:t>
      </w:r>
      <w:r w:rsidRPr="00E81458">
        <w:rPr>
          <w:bCs/>
          <w:sz w:val="26"/>
          <w:szCs w:val="26"/>
        </w:rPr>
        <w:t xml:space="preserve"> им. </w:t>
      </w:r>
      <w:proofErr w:type="spellStart"/>
      <w:r w:rsidRPr="00E81458">
        <w:rPr>
          <w:bCs/>
          <w:sz w:val="26"/>
          <w:szCs w:val="26"/>
        </w:rPr>
        <w:t>Г.С.Райшева</w:t>
      </w:r>
      <w:proofErr w:type="spellEnd"/>
      <w:r w:rsidRPr="00E81458">
        <w:rPr>
          <w:bCs/>
          <w:sz w:val="26"/>
          <w:szCs w:val="26"/>
        </w:rPr>
        <w:t>»);</w:t>
      </w:r>
    </w:p>
    <w:p w14:paraId="27ABD759" w14:textId="039FF90B" w:rsidR="0063680C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 xml:space="preserve">1 бюджетное учреждение культурно-досугового типа – </w:t>
      </w:r>
      <w:r w:rsidR="0063680C" w:rsidRPr="00E81458">
        <w:rPr>
          <w:bCs/>
          <w:sz w:val="26"/>
          <w:szCs w:val="26"/>
        </w:rPr>
        <w:t>БУ «Центр культуры Нефтеюганского района</w:t>
      </w:r>
      <w:r w:rsidR="005516D9" w:rsidRPr="00E81458">
        <w:rPr>
          <w:bCs/>
          <w:sz w:val="26"/>
          <w:szCs w:val="26"/>
        </w:rPr>
        <w:t>»</w:t>
      </w:r>
      <w:r w:rsidR="0063680C" w:rsidRPr="00E81458">
        <w:rPr>
          <w:bCs/>
          <w:sz w:val="26"/>
          <w:szCs w:val="26"/>
        </w:rPr>
        <w:t>, в структуру которого входят 10 обособленных подразделений;</w:t>
      </w:r>
    </w:p>
    <w:p w14:paraId="7C147175" w14:textId="4E96DF51" w:rsidR="005516D9" w:rsidRPr="00E81458" w:rsidRDefault="00E21206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E81458">
        <w:rPr>
          <w:bCs/>
          <w:sz w:val="26"/>
          <w:szCs w:val="26"/>
        </w:rPr>
        <w:t>1 учреждение иного ведомства - культурно-спортивный комплекс ООО «</w:t>
      </w:r>
      <w:proofErr w:type="spellStart"/>
      <w:r w:rsidRPr="00E81458">
        <w:rPr>
          <w:bCs/>
          <w:sz w:val="26"/>
          <w:szCs w:val="26"/>
        </w:rPr>
        <w:t>Газпромтрансгаз</w:t>
      </w:r>
      <w:proofErr w:type="spellEnd"/>
      <w:r w:rsidRPr="00E81458">
        <w:rPr>
          <w:bCs/>
          <w:sz w:val="26"/>
          <w:szCs w:val="26"/>
        </w:rPr>
        <w:t xml:space="preserve"> Сургут» Южно-</w:t>
      </w:r>
      <w:proofErr w:type="spellStart"/>
      <w:r w:rsidRPr="00E81458">
        <w:rPr>
          <w:bCs/>
          <w:sz w:val="26"/>
          <w:szCs w:val="26"/>
        </w:rPr>
        <w:t>Балыкский</w:t>
      </w:r>
      <w:proofErr w:type="spellEnd"/>
      <w:r w:rsidRPr="00E81458">
        <w:rPr>
          <w:bCs/>
          <w:sz w:val="26"/>
          <w:szCs w:val="26"/>
        </w:rPr>
        <w:t xml:space="preserve"> ЛПУ МГ</w:t>
      </w:r>
      <w:r w:rsidR="005516D9" w:rsidRPr="00E81458">
        <w:rPr>
          <w:bCs/>
          <w:sz w:val="26"/>
          <w:szCs w:val="26"/>
        </w:rPr>
        <w:t>;</w:t>
      </w:r>
    </w:p>
    <w:p w14:paraId="1717D1C1" w14:textId="2B21C0C3" w:rsidR="005516D9" w:rsidRPr="00B814C7" w:rsidRDefault="005516D9" w:rsidP="00E81458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E81458">
        <w:rPr>
          <w:bCs/>
          <w:sz w:val="26"/>
          <w:szCs w:val="26"/>
        </w:rPr>
        <w:t>1 муниципальное</w:t>
      </w:r>
      <w:r w:rsidRPr="00B814C7">
        <w:rPr>
          <w:sz w:val="26"/>
          <w:szCs w:val="26"/>
        </w:rPr>
        <w:t xml:space="preserve"> автономное учреждение Нефтеюганского района «Музей этнокультурной истории «Священная кедровая роща».</w:t>
      </w:r>
    </w:p>
    <w:p w14:paraId="2B0D14A1" w14:textId="48ECC14C" w:rsidR="000F57BA" w:rsidRPr="00B814C7" w:rsidRDefault="000F57BA" w:rsidP="000F5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 xml:space="preserve">Обеспеченность общедоступными библиотеками на 100 тыс. населения составляет 6,2 </w:t>
      </w:r>
      <w:r w:rsidRPr="00B814C7">
        <w:rPr>
          <w:rFonts w:ascii="Times New Roman" w:eastAsia="Calibri" w:hAnsi="Times New Roman" w:cs="Times New Roman"/>
          <w:sz w:val="26"/>
          <w:szCs w:val="26"/>
          <w:lang w:eastAsia="ru-RU"/>
        </w:rPr>
        <w:t>учреждений</w:t>
      </w:r>
      <w:r w:rsidRPr="00B814C7">
        <w:rPr>
          <w:rFonts w:ascii="Times New Roman" w:hAnsi="Times New Roman" w:cs="Times New Roman"/>
          <w:sz w:val="26"/>
          <w:szCs w:val="26"/>
        </w:rPr>
        <w:t xml:space="preserve">. Прогнозные значения остаются на прежнем уровне </w:t>
      </w:r>
      <w:r w:rsidR="00E81458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 xml:space="preserve">до 2030 года ввиду положительной динамики численности жителей </w:t>
      </w:r>
      <w:r w:rsidR="002769F5" w:rsidRPr="00B814C7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Pr="00B814C7">
        <w:rPr>
          <w:rFonts w:ascii="Times New Roman" w:hAnsi="Times New Roman" w:cs="Times New Roman"/>
          <w:sz w:val="26"/>
          <w:szCs w:val="26"/>
        </w:rPr>
        <w:t>района. Учитывая, что библиотеки расположены во всех поселениях</w:t>
      </w:r>
      <w:r w:rsidR="002769F5" w:rsidRPr="00B814C7">
        <w:rPr>
          <w:rFonts w:ascii="Times New Roman" w:hAnsi="Times New Roman" w:cs="Times New Roman"/>
          <w:sz w:val="26"/>
          <w:szCs w:val="26"/>
        </w:rPr>
        <w:t xml:space="preserve"> </w:t>
      </w:r>
      <w:r w:rsidRPr="00B814C7">
        <w:rPr>
          <w:rFonts w:ascii="Times New Roman" w:hAnsi="Times New Roman" w:cs="Times New Roman"/>
          <w:sz w:val="26"/>
          <w:szCs w:val="26"/>
        </w:rPr>
        <w:t>и в полной мере удовлетворяют запросам по предоставлению услуг в библиотечной сфере, строительство новых объектов до 2030 года не запланировано.</w:t>
      </w:r>
    </w:p>
    <w:p w14:paraId="5CE18DE0" w14:textId="155276DC" w:rsidR="00E47AE5" w:rsidRPr="00B814C7" w:rsidRDefault="00E47AE5" w:rsidP="00E47A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814C7">
        <w:rPr>
          <w:rFonts w:ascii="Times New Roman" w:hAnsi="Times New Roman" w:cs="Times New Roman"/>
          <w:sz w:val="26"/>
          <w:szCs w:val="26"/>
        </w:rPr>
        <w:t>Обеспеченность</w:t>
      </w:r>
      <w:r w:rsidR="00E2120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учреждениями культурно-досугового типа п</w:t>
      </w:r>
      <w:r w:rsidRPr="00B814C7">
        <w:rPr>
          <w:rFonts w:ascii="Times New Roman" w:hAnsi="Times New Roman" w:cs="Times New Roman"/>
          <w:sz w:val="26"/>
          <w:szCs w:val="26"/>
        </w:rPr>
        <w:t xml:space="preserve">о итогам 2022 года составила 4,9 </w:t>
      </w:r>
      <w:r w:rsidRPr="00B814C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учреждений </w:t>
      </w:r>
      <w:r w:rsidRPr="00B814C7">
        <w:rPr>
          <w:rFonts w:ascii="Times New Roman" w:hAnsi="Times New Roman" w:cs="Times New Roman"/>
          <w:sz w:val="26"/>
          <w:szCs w:val="26"/>
        </w:rPr>
        <w:t xml:space="preserve">на 100 тыс. населения.  В прогнозных значениях учтен ввод объекта «Культурно-образовательный комплекс в </w:t>
      </w:r>
      <w:proofErr w:type="spellStart"/>
      <w:r w:rsidRPr="00B814C7">
        <w:rPr>
          <w:rFonts w:ascii="Times New Roman" w:hAnsi="Times New Roman" w:cs="Times New Roman"/>
          <w:sz w:val="26"/>
          <w:szCs w:val="26"/>
        </w:rPr>
        <w:t>гп.Пойковский</w:t>
      </w:r>
      <w:proofErr w:type="spellEnd"/>
      <w:r w:rsidRPr="00B814C7">
        <w:rPr>
          <w:rFonts w:ascii="Times New Roman" w:hAnsi="Times New Roman" w:cs="Times New Roman"/>
          <w:sz w:val="26"/>
          <w:szCs w:val="26"/>
        </w:rPr>
        <w:t xml:space="preserve">», который запланирован в 2026 году.  В долгосрочном периоде до 2030 года показатель </w:t>
      </w:r>
      <w:r w:rsidR="00E81458">
        <w:rPr>
          <w:rFonts w:ascii="Times New Roman" w:hAnsi="Times New Roman" w:cs="Times New Roman"/>
          <w:sz w:val="26"/>
          <w:szCs w:val="26"/>
        </w:rPr>
        <w:br/>
      </w:r>
      <w:r w:rsidRPr="00B814C7">
        <w:rPr>
          <w:rFonts w:ascii="Times New Roman" w:hAnsi="Times New Roman" w:cs="Times New Roman"/>
          <w:sz w:val="26"/>
          <w:szCs w:val="26"/>
        </w:rPr>
        <w:t xml:space="preserve">составит 5,3 с учетом ввода данного объекта. </w:t>
      </w:r>
    </w:p>
    <w:p w14:paraId="4D6B88D4" w14:textId="369B3A32" w:rsidR="00E21206" w:rsidRPr="00B814C7" w:rsidRDefault="00E21206" w:rsidP="00E212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8E7775" w14:textId="27EE6A6B" w:rsidR="00E21206" w:rsidRPr="00B814C7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14:paraId="0D89A8E3" w14:textId="77777777" w:rsidR="00E21206" w:rsidRPr="00B814C7" w:rsidRDefault="00E21206" w:rsidP="00E21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474FD1" w14:textId="77777777" w:rsidR="00CE79D3" w:rsidRDefault="007E7919" w:rsidP="00E814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>В 2022 году учреждениями физической культуры и спорта, подведомственны</w:t>
      </w:r>
      <w:r w:rsidR="00EF525B" w:rsidRPr="00B814C7">
        <w:rPr>
          <w:rFonts w:ascii="Times New Roman" w:eastAsia="Calibri" w:hAnsi="Times New Roman" w:cs="Times New Roman"/>
          <w:sz w:val="26"/>
          <w:szCs w:val="26"/>
        </w:rPr>
        <w:t>ми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Департамент</w:t>
      </w:r>
      <w:r w:rsidR="00EF525B" w:rsidRPr="00B814C7">
        <w:rPr>
          <w:rFonts w:ascii="Times New Roman" w:eastAsia="Calibri" w:hAnsi="Times New Roman" w:cs="Times New Roman"/>
          <w:sz w:val="26"/>
          <w:szCs w:val="26"/>
        </w:rPr>
        <w:t>у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культуры и спорта Нефтеюганского района</w:t>
      </w:r>
      <w:r w:rsidR="00EF525B" w:rsidRPr="00B814C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B814C7">
        <w:rPr>
          <w:rFonts w:ascii="Times New Roman" w:eastAsia="Calibri" w:hAnsi="Times New Roman" w:cs="Times New Roman"/>
          <w:sz w:val="26"/>
          <w:szCs w:val="26"/>
        </w:rPr>
        <w:t>являются:</w:t>
      </w:r>
    </w:p>
    <w:p w14:paraId="4AF39BDD" w14:textId="32F00476" w:rsidR="00716ECD" w:rsidRDefault="007E7919" w:rsidP="00CE79D3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rFonts w:eastAsia="Calibri"/>
          <w:sz w:val="26"/>
          <w:szCs w:val="26"/>
        </w:rPr>
      </w:pPr>
      <w:r w:rsidRPr="00B814C7">
        <w:rPr>
          <w:rFonts w:eastAsia="Calibri"/>
          <w:sz w:val="26"/>
          <w:szCs w:val="26"/>
        </w:rPr>
        <w:t>Нефтеюганское районное бюджетное учреждение спортивная школа</w:t>
      </w:r>
      <w:r w:rsidR="00EF525B" w:rsidRPr="00B814C7">
        <w:rPr>
          <w:rFonts w:eastAsia="Calibri"/>
          <w:sz w:val="26"/>
          <w:szCs w:val="26"/>
        </w:rPr>
        <w:t xml:space="preserve"> «</w:t>
      </w:r>
      <w:r w:rsidRPr="00B814C7">
        <w:rPr>
          <w:rFonts w:eastAsia="Calibri"/>
          <w:sz w:val="26"/>
          <w:szCs w:val="26"/>
        </w:rPr>
        <w:t>Нептун»</w:t>
      </w:r>
      <w:r w:rsidR="00716ECD">
        <w:rPr>
          <w:rFonts w:eastAsia="Calibri"/>
          <w:sz w:val="26"/>
          <w:szCs w:val="26"/>
        </w:rPr>
        <w:t xml:space="preserve"> </w:t>
      </w:r>
      <w:r w:rsidR="00EF525B" w:rsidRPr="00B814C7">
        <w:rPr>
          <w:rFonts w:eastAsia="Calibri"/>
          <w:sz w:val="26"/>
          <w:szCs w:val="26"/>
        </w:rPr>
        <w:t>(</w:t>
      </w:r>
      <w:proofErr w:type="spellStart"/>
      <w:r w:rsidR="00EF525B" w:rsidRPr="00B814C7">
        <w:rPr>
          <w:rFonts w:eastAsia="Calibri"/>
          <w:sz w:val="26"/>
          <w:szCs w:val="26"/>
        </w:rPr>
        <w:t>гп.Пойковский</w:t>
      </w:r>
      <w:proofErr w:type="spellEnd"/>
      <w:r w:rsidR="00EF525B" w:rsidRPr="00B814C7">
        <w:rPr>
          <w:rFonts w:eastAsia="Calibri"/>
          <w:sz w:val="26"/>
          <w:szCs w:val="26"/>
        </w:rPr>
        <w:t>);</w:t>
      </w:r>
      <w:r w:rsidRPr="00B814C7">
        <w:rPr>
          <w:rFonts w:eastAsia="Calibri"/>
          <w:sz w:val="26"/>
          <w:szCs w:val="26"/>
        </w:rPr>
        <w:t xml:space="preserve"> </w:t>
      </w:r>
    </w:p>
    <w:p w14:paraId="48113847" w14:textId="10A35250" w:rsidR="00EF525B" w:rsidRPr="00B814C7" w:rsidRDefault="007E7919" w:rsidP="00CE79D3">
      <w:pPr>
        <w:pStyle w:val="a6"/>
        <w:numPr>
          <w:ilvl w:val="0"/>
          <w:numId w:val="8"/>
        </w:numPr>
        <w:tabs>
          <w:tab w:val="left" w:pos="993"/>
        </w:tabs>
        <w:ind w:left="0" w:right="-1" w:firstLine="709"/>
        <w:jc w:val="both"/>
        <w:rPr>
          <w:rFonts w:eastAsia="Calibri"/>
          <w:sz w:val="26"/>
          <w:szCs w:val="26"/>
        </w:rPr>
      </w:pPr>
      <w:r w:rsidRPr="00B814C7">
        <w:rPr>
          <w:rFonts w:eastAsia="Calibri"/>
          <w:sz w:val="26"/>
          <w:szCs w:val="26"/>
        </w:rPr>
        <w:t xml:space="preserve">Бюджетное учреждение Нефтеюганского района физкультурно-спортивное объединение </w:t>
      </w:r>
      <w:r w:rsidR="00EF525B" w:rsidRPr="00B814C7">
        <w:rPr>
          <w:rFonts w:eastAsia="Calibri"/>
          <w:sz w:val="26"/>
          <w:szCs w:val="26"/>
        </w:rPr>
        <w:t>«</w:t>
      </w:r>
      <w:r w:rsidRPr="00B814C7">
        <w:rPr>
          <w:rFonts w:eastAsia="Calibri"/>
          <w:sz w:val="26"/>
          <w:szCs w:val="26"/>
        </w:rPr>
        <w:t>Атлант</w:t>
      </w:r>
      <w:r w:rsidR="00EF525B" w:rsidRPr="00B814C7">
        <w:rPr>
          <w:rFonts w:eastAsia="Calibri"/>
          <w:sz w:val="26"/>
          <w:szCs w:val="26"/>
        </w:rPr>
        <w:t>»</w:t>
      </w:r>
      <w:r w:rsidR="00811E75" w:rsidRPr="00B814C7">
        <w:rPr>
          <w:rFonts w:eastAsia="Calibri"/>
          <w:sz w:val="26"/>
          <w:szCs w:val="26"/>
        </w:rPr>
        <w:t>.</w:t>
      </w:r>
    </w:p>
    <w:p w14:paraId="30E36674" w14:textId="77777777" w:rsidR="00EF525B" w:rsidRPr="00B814C7" w:rsidRDefault="007E7919" w:rsidP="00E814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На территории Нефтеюганского района осуществляют деятельность в сфере физической культуры и спорта </w:t>
      </w:r>
      <w:r w:rsidR="00EF525B" w:rsidRPr="00B814C7">
        <w:rPr>
          <w:rFonts w:ascii="Times New Roman" w:eastAsia="Calibri" w:hAnsi="Times New Roman" w:cs="Times New Roman"/>
          <w:sz w:val="26"/>
          <w:szCs w:val="26"/>
        </w:rPr>
        <w:t>9</w:t>
      </w:r>
      <w:r w:rsidRPr="00B814C7">
        <w:rPr>
          <w:rFonts w:ascii="Times New Roman" w:eastAsia="Calibri" w:hAnsi="Times New Roman" w:cs="Times New Roman"/>
          <w:sz w:val="26"/>
          <w:szCs w:val="26"/>
        </w:rPr>
        <w:t xml:space="preserve"> спортивных общественных организаци</w:t>
      </w:r>
      <w:r w:rsidR="00EF525B" w:rsidRPr="00B814C7">
        <w:rPr>
          <w:rFonts w:ascii="Times New Roman" w:eastAsia="Calibri" w:hAnsi="Times New Roman" w:cs="Times New Roman"/>
          <w:sz w:val="26"/>
          <w:szCs w:val="26"/>
        </w:rPr>
        <w:t>й.</w:t>
      </w:r>
    </w:p>
    <w:p w14:paraId="7520B6CC" w14:textId="77777777" w:rsidR="00E21206" w:rsidRPr="00B814C7" w:rsidRDefault="00E21206" w:rsidP="00E814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На территории Нефтеюганского района действует 1 учреждение спорта –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бюджетное учреждение Нефтеюганского района «Спортивное объединение «Атлант» </w:t>
      </w:r>
      <w:proofErr w:type="spellStart"/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гп.Пойковский</w:t>
      </w:r>
      <w:proofErr w:type="spellEnd"/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включающее в свою структуру 9 учреждений спорта.</w:t>
      </w:r>
    </w:p>
    <w:p w14:paraId="2DA168BC" w14:textId="3C5DAECC" w:rsidR="00EF525B" w:rsidRPr="00B814C7" w:rsidRDefault="00EF525B" w:rsidP="00E81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году обеспеченность объектами физической культуры и спорта увеличилась до 54,2% за счет ввода 7 вновь учтенных плоскостных сооружений </w:t>
      </w:r>
      <w:r w:rsidR="00CE79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2 вновь веденных плоскостных сооружений в Нефтеюганском районе, </w:t>
      </w:r>
      <w:r w:rsidR="00B97D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показатель составит 53,2%. </w:t>
      </w:r>
    </w:p>
    <w:p w14:paraId="0311A201" w14:textId="0ED9E272" w:rsidR="00E21206" w:rsidRPr="00B814C7" w:rsidRDefault="00E21206" w:rsidP="00E814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Удельный вес населения, систематически занимающегося физической культурой и спортом, в 202</w:t>
      </w:r>
      <w:r w:rsidR="00EF525B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 </w:t>
      </w:r>
      <w:r w:rsidR="00EF525B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53,1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%, в прогнозном периоде к 20</w:t>
      </w:r>
      <w:r w:rsidR="00EF525B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достигнет </w:t>
      </w:r>
      <w:r w:rsidR="00EF525B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,0%.</w:t>
      </w:r>
    </w:p>
    <w:p w14:paraId="5009C68B" w14:textId="77777777" w:rsidR="00AA518B" w:rsidRPr="00B814C7" w:rsidRDefault="00AA518B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FA5199" w14:textId="3992CE86" w:rsidR="000766E2" w:rsidRPr="00B814C7" w:rsidRDefault="000766E2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и занятость</w:t>
      </w:r>
    </w:p>
    <w:p w14:paraId="25192C55" w14:textId="77777777" w:rsidR="00113202" w:rsidRPr="00B814C7" w:rsidRDefault="00113202" w:rsidP="0053124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C672DF" w14:textId="1E419A27" w:rsidR="00497198" w:rsidRPr="00B814C7" w:rsidRDefault="00497198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</w:t>
      </w:r>
      <w:r w:rsidR="00A370F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экономически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</w:t>
      </w:r>
      <w:r w:rsidR="00A370F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населения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составила 2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9,0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и к 20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значение показателя увеличится до 29,</w:t>
      </w:r>
      <w:r w:rsidR="00A370F6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</w:t>
      </w:r>
    </w:p>
    <w:p w14:paraId="3412BE7D" w14:textId="0085EDFF" w:rsidR="00DB2B7E" w:rsidRPr="00B814C7" w:rsidRDefault="00DB2B7E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данным КУ ХМАО – Югры «Нефтеюганский центр занятости населения» </w:t>
      </w:r>
      <w:r w:rsidR="00CE79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январе-декабре 2022 года за государственными услугами в области содействия занятости населения обратились 717 человек. Из числа ищущих работу граждан </w:t>
      </w:r>
      <w:r w:rsidR="00CE79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содействии центра занятости населения трудоустроено 346 человек. Коэффициент напряженности на рынке труда составляет 0,03 единицы на одного незанятого. Численность официально зарегистрированных безработных граждан составила                                   14 человек (38,9% к уровню 2021 года). По оценке в 2023 году показатель составит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13 человек, </w:t>
      </w: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2030 году прогнозируемый показатель составит 14 человек.</w:t>
      </w:r>
    </w:p>
    <w:p w14:paraId="213B2CBF" w14:textId="560196CB" w:rsidR="00DB2B7E" w:rsidRPr="00B814C7" w:rsidRDefault="00DB2B7E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регистрируемой безработицы на конец отчетного периода составил 0,05%, в 2023 году оценочно составит 0,04%, к 2030 году ожидаемый показатель 0,05%.</w:t>
      </w:r>
    </w:p>
    <w:p w14:paraId="71FC29E6" w14:textId="77777777" w:rsidR="00DB2B7E" w:rsidRPr="00B814C7" w:rsidRDefault="00DB2B7E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749318" w14:textId="29E5B084" w:rsidR="000766E2" w:rsidRPr="00B814C7" w:rsidRDefault="000766E2" w:rsidP="00B97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Уровень жизни населения</w:t>
      </w:r>
    </w:p>
    <w:p w14:paraId="253BD61D" w14:textId="77777777" w:rsidR="000766E2" w:rsidRPr="00B814C7" w:rsidRDefault="000766E2" w:rsidP="00531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391DA93" w14:textId="491A5653" w:rsidR="00DE7734" w:rsidRPr="00B814C7" w:rsidRDefault="00DE7734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Денежные доходы в расчете на душу населения за 202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составили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61 757,7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10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202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(без учета данных финансово-кредитных организаций), в долгосрочном периоде прогнозируется показатель </w:t>
      </w:r>
      <w:r w:rsidR="0053124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88 569,8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497198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базовому варианту.</w:t>
      </w:r>
    </w:p>
    <w:p w14:paraId="0D7AEA2F" w14:textId="2B9BBA79" w:rsidR="00DE7734" w:rsidRPr="00B814C7" w:rsidRDefault="00DE7734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составили </w:t>
      </w:r>
      <w:r w:rsidR="00DB2B7E"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99,3</w:t>
      </w:r>
      <w:r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 к уровню 202</w:t>
      </w:r>
      <w:r w:rsidR="00DB2B7E"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</w:t>
      </w:r>
      <w:r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года, в прогнозном периоде к 20</w:t>
      </w:r>
      <w:r w:rsidR="00DB2B7E"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30</w:t>
      </w:r>
      <w:r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году показатель составит 10</w:t>
      </w:r>
      <w:r w:rsidR="00DB2B7E"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1,0</w:t>
      </w:r>
      <w:r w:rsidRPr="00B814C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%.</w:t>
      </w:r>
    </w:p>
    <w:p w14:paraId="3F76CA11" w14:textId="4BA4469C" w:rsidR="00DE7734" w:rsidRPr="00B814C7" w:rsidRDefault="00DE7734" w:rsidP="00531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 одного работника в 202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B814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94 470,0 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или 1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10,5% к уровню 2021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к 20</w:t>
      </w:r>
      <w:r w:rsidR="00DB2B7E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ожидается рост показателя до 1</w:t>
      </w:r>
      <w:r w:rsidR="00AA1B2A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4D04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5 763,0</w:t>
      </w: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  </w:t>
      </w:r>
    </w:p>
    <w:p w14:paraId="755B5CB1" w14:textId="2D081087" w:rsidR="006261F5" w:rsidRPr="00B814C7" w:rsidRDefault="00DE7734" w:rsidP="00DB2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Отсутствует просроченная задолженность по заработной плате на предприятиях и организациях Нефтеюганского района.</w:t>
      </w:r>
      <w:r w:rsidR="00026647" w:rsidRPr="00B814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6261F5" w:rsidRPr="00B814C7" w:rsidSect="00492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BEA02" w14:textId="77777777" w:rsidR="002E60E3" w:rsidRDefault="002E60E3" w:rsidP="00E55A71">
      <w:pPr>
        <w:spacing w:after="0" w:line="240" w:lineRule="auto"/>
      </w:pPr>
      <w:r>
        <w:separator/>
      </w:r>
    </w:p>
  </w:endnote>
  <w:endnote w:type="continuationSeparator" w:id="0">
    <w:p w14:paraId="150D349D" w14:textId="77777777" w:rsidR="002E60E3" w:rsidRDefault="002E60E3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5A1B" w14:textId="77777777" w:rsidR="002B0BD6" w:rsidRDefault="002B0BD6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C0D3" w14:textId="77777777" w:rsidR="002B0BD6" w:rsidRDefault="002B0BD6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D2E4" w14:textId="77777777" w:rsidR="002B0BD6" w:rsidRDefault="002B0BD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03F8" w14:textId="77777777" w:rsidR="002E60E3" w:rsidRDefault="002E60E3" w:rsidP="00E55A71">
      <w:pPr>
        <w:spacing w:after="0" w:line="240" w:lineRule="auto"/>
      </w:pPr>
      <w:r>
        <w:separator/>
      </w:r>
    </w:p>
  </w:footnote>
  <w:footnote w:type="continuationSeparator" w:id="0">
    <w:p w14:paraId="580AF346" w14:textId="77777777" w:rsidR="002E60E3" w:rsidRDefault="002E60E3" w:rsidP="00E55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FCE5" w14:textId="77777777" w:rsidR="002B0BD6" w:rsidRDefault="002B0BD6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6298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11B0BA" w14:textId="74EBF382" w:rsidR="00531248" w:rsidRPr="00531248" w:rsidRDefault="00531248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12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12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12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6ECD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5312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54E8" w14:textId="77777777" w:rsidR="002B0BD6" w:rsidRDefault="002B0BD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12D6A"/>
    <w:multiLevelType w:val="hybridMultilevel"/>
    <w:tmpl w:val="CBDAE23A"/>
    <w:lvl w:ilvl="0" w:tplc="E1C61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4299378F"/>
    <w:multiLevelType w:val="hybridMultilevel"/>
    <w:tmpl w:val="751404E2"/>
    <w:lvl w:ilvl="0" w:tplc="E1C618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70A12C79"/>
    <w:multiLevelType w:val="hybridMultilevel"/>
    <w:tmpl w:val="CA78D8FA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A4"/>
    <w:rsid w:val="000028B9"/>
    <w:rsid w:val="00005344"/>
    <w:rsid w:val="00012F99"/>
    <w:rsid w:val="00014C54"/>
    <w:rsid w:val="00024628"/>
    <w:rsid w:val="00026647"/>
    <w:rsid w:val="00044AF9"/>
    <w:rsid w:val="00050277"/>
    <w:rsid w:val="0005293A"/>
    <w:rsid w:val="000531DC"/>
    <w:rsid w:val="0006796B"/>
    <w:rsid w:val="000766E2"/>
    <w:rsid w:val="000824F7"/>
    <w:rsid w:val="0009051C"/>
    <w:rsid w:val="000931DF"/>
    <w:rsid w:val="000A2FD1"/>
    <w:rsid w:val="000C1C47"/>
    <w:rsid w:val="000C29D5"/>
    <w:rsid w:val="000D0070"/>
    <w:rsid w:val="000D1CFA"/>
    <w:rsid w:val="000D6C75"/>
    <w:rsid w:val="000E6577"/>
    <w:rsid w:val="000F57BA"/>
    <w:rsid w:val="001061C3"/>
    <w:rsid w:val="00113202"/>
    <w:rsid w:val="0012221C"/>
    <w:rsid w:val="001265CB"/>
    <w:rsid w:val="00136BEC"/>
    <w:rsid w:val="00152208"/>
    <w:rsid w:val="001573F9"/>
    <w:rsid w:val="00157502"/>
    <w:rsid w:val="00161A62"/>
    <w:rsid w:val="00173C1B"/>
    <w:rsid w:val="00174EA0"/>
    <w:rsid w:val="00176F59"/>
    <w:rsid w:val="001823B9"/>
    <w:rsid w:val="001854A8"/>
    <w:rsid w:val="00192A32"/>
    <w:rsid w:val="00195D0A"/>
    <w:rsid w:val="001A18DC"/>
    <w:rsid w:val="001A3979"/>
    <w:rsid w:val="001A6F48"/>
    <w:rsid w:val="001A732D"/>
    <w:rsid w:val="001B588E"/>
    <w:rsid w:val="001C3E88"/>
    <w:rsid w:val="001D0AD7"/>
    <w:rsid w:val="001D23B6"/>
    <w:rsid w:val="001D3AED"/>
    <w:rsid w:val="001F7792"/>
    <w:rsid w:val="00204467"/>
    <w:rsid w:val="00207216"/>
    <w:rsid w:val="0021179E"/>
    <w:rsid w:val="00212219"/>
    <w:rsid w:val="00214762"/>
    <w:rsid w:val="002172F9"/>
    <w:rsid w:val="002220AA"/>
    <w:rsid w:val="00222E99"/>
    <w:rsid w:val="00224FDB"/>
    <w:rsid w:val="0022625F"/>
    <w:rsid w:val="002349C0"/>
    <w:rsid w:val="002503FD"/>
    <w:rsid w:val="00261B6D"/>
    <w:rsid w:val="00267878"/>
    <w:rsid w:val="00270545"/>
    <w:rsid w:val="002722E1"/>
    <w:rsid w:val="002769F5"/>
    <w:rsid w:val="00276C1B"/>
    <w:rsid w:val="00290BF4"/>
    <w:rsid w:val="002977DC"/>
    <w:rsid w:val="002A5494"/>
    <w:rsid w:val="002A5EE2"/>
    <w:rsid w:val="002B0BD6"/>
    <w:rsid w:val="002B1765"/>
    <w:rsid w:val="002C09AC"/>
    <w:rsid w:val="002C4D72"/>
    <w:rsid w:val="002D1CB3"/>
    <w:rsid w:val="002D233A"/>
    <w:rsid w:val="002E07FE"/>
    <w:rsid w:val="002E43F4"/>
    <w:rsid w:val="002E60E3"/>
    <w:rsid w:val="002E787A"/>
    <w:rsid w:val="002F19F9"/>
    <w:rsid w:val="003140C1"/>
    <w:rsid w:val="00330289"/>
    <w:rsid w:val="003306B8"/>
    <w:rsid w:val="003529BD"/>
    <w:rsid w:val="00360B6A"/>
    <w:rsid w:val="003644EC"/>
    <w:rsid w:val="00365F2D"/>
    <w:rsid w:val="00367547"/>
    <w:rsid w:val="003B25DC"/>
    <w:rsid w:val="003C0B51"/>
    <w:rsid w:val="003D332B"/>
    <w:rsid w:val="003D7F4D"/>
    <w:rsid w:val="003E0CF0"/>
    <w:rsid w:val="004026DC"/>
    <w:rsid w:val="00403424"/>
    <w:rsid w:val="00414BED"/>
    <w:rsid w:val="00421EC4"/>
    <w:rsid w:val="0043100D"/>
    <w:rsid w:val="00431CB0"/>
    <w:rsid w:val="00432ADC"/>
    <w:rsid w:val="0044020A"/>
    <w:rsid w:val="00446307"/>
    <w:rsid w:val="00453A23"/>
    <w:rsid w:val="00463570"/>
    <w:rsid w:val="00470648"/>
    <w:rsid w:val="00474151"/>
    <w:rsid w:val="00477FC4"/>
    <w:rsid w:val="00480328"/>
    <w:rsid w:val="00485D89"/>
    <w:rsid w:val="00490B49"/>
    <w:rsid w:val="004928B6"/>
    <w:rsid w:val="00496F80"/>
    <w:rsid w:val="00497198"/>
    <w:rsid w:val="004C089D"/>
    <w:rsid w:val="004C1287"/>
    <w:rsid w:val="004C5C2B"/>
    <w:rsid w:val="004C62B0"/>
    <w:rsid w:val="004C6FC0"/>
    <w:rsid w:val="004E54FD"/>
    <w:rsid w:val="004F018A"/>
    <w:rsid w:val="004F4957"/>
    <w:rsid w:val="004F666E"/>
    <w:rsid w:val="00502077"/>
    <w:rsid w:val="0051513D"/>
    <w:rsid w:val="005219A2"/>
    <w:rsid w:val="00521D1D"/>
    <w:rsid w:val="00524FBB"/>
    <w:rsid w:val="00525A4B"/>
    <w:rsid w:val="00525F7D"/>
    <w:rsid w:val="00530943"/>
    <w:rsid w:val="00531248"/>
    <w:rsid w:val="00531D34"/>
    <w:rsid w:val="00533F06"/>
    <w:rsid w:val="00534046"/>
    <w:rsid w:val="00536E2C"/>
    <w:rsid w:val="0053779C"/>
    <w:rsid w:val="00545209"/>
    <w:rsid w:val="00550A18"/>
    <w:rsid w:val="0055130E"/>
    <w:rsid w:val="005516D9"/>
    <w:rsid w:val="00553A8C"/>
    <w:rsid w:val="00570CC1"/>
    <w:rsid w:val="005879A6"/>
    <w:rsid w:val="00592E8D"/>
    <w:rsid w:val="005B5133"/>
    <w:rsid w:val="005C100B"/>
    <w:rsid w:val="005C1335"/>
    <w:rsid w:val="005D1D89"/>
    <w:rsid w:val="005D422A"/>
    <w:rsid w:val="005D7D44"/>
    <w:rsid w:val="005E1701"/>
    <w:rsid w:val="005E2654"/>
    <w:rsid w:val="005E5C21"/>
    <w:rsid w:val="005F1E9F"/>
    <w:rsid w:val="006036B2"/>
    <w:rsid w:val="00603B47"/>
    <w:rsid w:val="00605736"/>
    <w:rsid w:val="0062262F"/>
    <w:rsid w:val="006261F5"/>
    <w:rsid w:val="00627977"/>
    <w:rsid w:val="0063680C"/>
    <w:rsid w:val="00641237"/>
    <w:rsid w:val="006454E1"/>
    <w:rsid w:val="006540F0"/>
    <w:rsid w:val="00656E8B"/>
    <w:rsid w:val="00667594"/>
    <w:rsid w:val="0066793D"/>
    <w:rsid w:val="00671602"/>
    <w:rsid w:val="006753EF"/>
    <w:rsid w:val="00677721"/>
    <w:rsid w:val="00687517"/>
    <w:rsid w:val="006966A4"/>
    <w:rsid w:val="006A251C"/>
    <w:rsid w:val="006A6A3B"/>
    <w:rsid w:val="006C00C1"/>
    <w:rsid w:val="006C71CF"/>
    <w:rsid w:val="006D4590"/>
    <w:rsid w:val="006E2802"/>
    <w:rsid w:val="006E34F1"/>
    <w:rsid w:val="006E5890"/>
    <w:rsid w:val="006F189B"/>
    <w:rsid w:val="006F4BC7"/>
    <w:rsid w:val="007048D2"/>
    <w:rsid w:val="00706210"/>
    <w:rsid w:val="00706FA7"/>
    <w:rsid w:val="00710F86"/>
    <w:rsid w:val="007123A5"/>
    <w:rsid w:val="00714FF2"/>
    <w:rsid w:val="00716ECD"/>
    <w:rsid w:val="007352E1"/>
    <w:rsid w:val="00743020"/>
    <w:rsid w:val="00745381"/>
    <w:rsid w:val="00745A58"/>
    <w:rsid w:val="00750AC9"/>
    <w:rsid w:val="007616F5"/>
    <w:rsid w:val="00772E78"/>
    <w:rsid w:val="00776719"/>
    <w:rsid w:val="00785D6B"/>
    <w:rsid w:val="007B017A"/>
    <w:rsid w:val="007B56D0"/>
    <w:rsid w:val="007C0D4C"/>
    <w:rsid w:val="007C3B53"/>
    <w:rsid w:val="007C68FB"/>
    <w:rsid w:val="007D4946"/>
    <w:rsid w:val="007E7919"/>
    <w:rsid w:val="007F477F"/>
    <w:rsid w:val="0080297B"/>
    <w:rsid w:val="00807AB0"/>
    <w:rsid w:val="00810850"/>
    <w:rsid w:val="00811E75"/>
    <w:rsid w:val="00817946"/>
    <w:rsid w:val="00820ADE"/>
    <w:rsid w:val="00824D04"/>
    <w:rsid w:val="00830161"/>
    <w:rsid w:val="00831FEB"/>
    <w:rsid w:val="0083229F"/>
    <w:rsid w:val="00833DB3"/>
    <w:rsid w:val="00845078"/>
    <w:rsid w:val="00847AAB"/>
    <w:rsid w:val="008558E9"/>
    <w:rsid w:val="00860DC0"/>
    <w:rsid w:val="00863CED"/>
    <w:rsid w:val="0087063C"/>
    <w:rsid w:val="00872271"/>
    <w:rsid w:val="008B1060"/>
    <w:rsid w:val="008B718E"/>
    <w:rsid w:val="008B74E0"/>
    <w:rsid w:val="008D4A01"/>
    <w:rsid w:val="008D5A70"/>
    <w:rsid w:val="008E502F"/>
    <w:rsid w:val="008F7B9C"/>
    <w:rsid w:val="00903113"/>
    <w:rsid w:val="00913EA4"/>
    <w:rsid w:val="00914014"/>
    <w:rsid w:val="0091448C"/>
    <w:rsid w:val="00914CF6"/>
    <w:rsid w:val="00921C91"/>
    <w:rsid w:val="00924AD3"/>
    <w:rsid w:val="00926DA4"/>
    <w:rsid w:val="00933063"/>
    <w:rsid w:val="0094061C"/>
    <w:rsid w:val="00941802"/>
    <w:rsid w:val="009418B4"/>
    <w:rsid w:val="00943328"/>
    <w:rsid w:val="0094408E"/>
    <w:rsid w:val="00945D7B"/>
    <w:rsid w:val="00947200"/>
    <w:rsid w:val="00953203"/>
    <w:rsid w:val="00954B3D"/>
    <w:rsid w:val="00955CBB"/>
    <w:rsid w:val="00956A38"/>
    <w:rsid w:val="00987AF6"/>
    <w:rsid w:val="009B008E"/>
    <w:rsid w:val="009B304C"/>
    <w:rsid w:val="009C32F3"/>
    <w:rsid w:val="009C689D"/>
    <w:rsid w:val="009D24FD"/>
    <w:rsid w:val="009D5BAA"/>
    <w:rsid w:val="009F10E6"/>
    <w:rsid w:val="009F7033"/>
    <w:rsid w:val="009F75D6"/>
    <w:rsid w:val="00A17096"/>
    <w:rsid w:val="00A24F78"/>
    <w:rsid w:val="00A302A4"/>
    <w:rsid w:val="00A30AAA"/>
    <w:rsid w:val="00A31D63"/>
    <w:rsid w:val="00A33B8E"/>
    <w:rsid w:val="00A370F6"/>
    <w:rsid w:val="00A52C9F"/>
    <w:rsid w:val="00A62D60"/>
    <w:rsid w:val="00A7746C"/>
    <w:rsid w:val="00A83E23"/>
    <w:rsid w:val="00A84D59"/>
    <w:rsid w:val="00A871FD"/>
    <w:rsid w:val="00A873A4"/>
    <w:rsid w:val="00A922D0"/>
    <w:rsid w:val="00A97456"/>
    <w:rsid w:val="00AA1B2A"/>
    <w:rsid w:val="00AA2837"/>
    <w:rsid w:val="00AA518B"/>
    <w:rsid w:val="00AB723E"/>
    <w:rsid w:val="00AB78D1"/>
    <w:rsid w:val="00AD19DC"/>
    <w:rsid w:val="00AD59B7"/>
    <w:rsid w:val="00AD5C35"/>
    <w:rsid w:val="00AD74BD"/>
    <w:rsid w:val="00AE1F97"/>
    <w:rsid w:val="00AF313C"/>
    <w:rsid w:val="00B210F5"/>
    <w:rsid w:val="00B219B9"/>
    <w:rsid w:val="00B31BFE"/>
    <w:rsid w:val="00B355F2"/>
    <w:rsid w:val="00B45FFD"/>
    <w:rsid w:val="00B515B1"/>
    <w:rsid w:val="00B7160B"/>
    <w:rsid w:val="00B80D3D"/>
    <w:rsid w:val="00B814C7"/>
    <w:rsid w:val="00B84C9C"/>
    <w:rsid w:val="00B86196"/>
    <w:rsid w:val="00B959C3"/>
    <w:rsid w:val="00B97D0D"/>
    <w:rsid w:val="00B97F69"/>
    <w:rsid w:val="00BB278F"/>
    <w:rsid w:val="00BB553D"/>
    <w:rsid w:val="00BD21FF"/>
    <w:rsid w:val="00BE0772"/>
    <w:rsid w:val="00BE48B3"/>
    <w:rsid w:val="00BE7CB0"/>
    <w:rsid w:val="00BF34BC"/>
    <w:rsid w:val="00C03FA8"/>
    <w:rsid w:val="00C10267"/>
    <w:rsid w:val="00C125BC"/>
    <w:rsid w:val="00C16C3E"/>
    <w:rsid w:val="00C20079"/>
    <w:rsid w:val="00C32164"/>
    <w:rsid w:val="00C369AF"/>
    <w:rsid w:val="00C41544"/>
    <w:rsid w:val="00C44ADA"/>
    <w:rsid w:val="00C4628B"/>
    <w:rsid w:val="00C470C8"/>
    <w:rsid w:val="00C51F52"/>
    <w:rsid w:val="00C54E33"/>
    <w:rsid w:val="00C57A2C"/>
    <w:rsid w:val="00C625DC"/>
    <w:rsid w:val="00C73B37"/>
    <w:rsid w:val="00C74AD3"/>
    <w:rsid w:val="00C7528F"/>
    <w:rsid w:val="00C82254"/>
    <w:rsid w:val="00C83D5F"/>
    <w:rsid w:val="00C91BD9"/>
    <w:rsid w:val="00CC11CA"/>
    <w:rsid w:val="00CC178A"/>
    <w:rsid w:val="00CD047B"/>
    <w:rsid w:val="00CD1907"/>
    <w:rsid w:val="00CD410A"/>
    <w:rsid w:val="00CD62FD"/>
    <w:rsid w:val="00CE1A8B"/>
    <w:rsid w:val="00CE256A"/>
    <w:rsid w:val="00CE79D3"/>
    <w:rsid w:val="00CF1F36"/>
    <w:rsid w:val="00D04869"/>
    <w:rsid w:val="00D406E2"/>
    <w:rsid w:val="00D47839"/>
    <w:rsid w:val="00D50BA2"/>
    <w:rsid w:val="00D524B7"/>
    <w:rsid w:val="00D75264"/>
    <w:rsid w:val="00D825FD"/>
    <w:rsid w:val="00D93859"/>
    <w:rsid w:val="00D96851"/>
    <w:rsid w:val="00DA337F"/>
    <w:rsid w:val="00DA3488"/>
    <w:rsid w:val="00DB2B7E"/>
    <w:rsid w:val="00DC01C2"/>
    <w:rsid w:val="00DD581B"/>
    <w:rsid w:val="00DE3D35"/>
    <w:rsid w:val="00DE7734"/>
    <w:rsid w:val="00DF6F8D"/>
    <w:rsid w:val="00E0511D"/>
    <w:rsid w:val="00E11C8A"/>
    <w:rsid w:val="00E14BB8"/>
    <w:rsid w:val="00E16555"/>
    <w:rsid w:val="00E17195"/>
    <w:rsid w:val="00E21206"/>
    <w:rsid w:val="00E230CF"/>
    <w:rsid w:val="00E47AE5"/>
    <w:rsid w:val="00E521B1"/>
    <w:rsid w:val="00E55A71"/>
    <w:rsid w:val="00E56B32"/>
    <w:rsid w:val="00E61EA4"/>
    <w:rsid w:val="00E6362A"/>
    <w:rsid w:val="00E72DA4"/>
    <w:rsid w:val="00E7448E"/>
    <w:rsid w:val="00E74763"/>
    <w:rsid w:val="00E80F5B"/>
    <w:rsid w:val="00E81458"/>
    <w:rsid w:val="00E82F18"/>
    <w:rsid w:val="00E86243"/>
    <w:rsid w:val="00EA20E3"/>
    <w:rsid w:val="00EA5D80"/>
    <w:rsid w:val="00EA7E8B"/>
    <w:rsid w:val="00EB00CC"/>
    <w:rsid w:val="00EB7C23"/>
    <w:rsid w:val="00EC3152"/>
    <w:rsid w:val="00ED2F3D"/>
    <w:rsid w:val="00ED62A4"/>
    <w:rsid w:val="00EE3FE6"/>
    <w:rsid w:val="00EE41D2"/>
    <w:rsid w:val="00EF27C6"/>
    <w:rsid w:val="00EF525B"/>
    <w:rsid w:val="00EF7867"/>
    <w:rsid w:val="00F01272"/>
    <w:rsid w:val="00F05099"/>
    <w:rsid w:val="00F0637E"/>
    <w:rsid w:val="00F06DEB"/>
    <w:rsid w:val="00F25396"/>
    <w:rsid w:val="00F53CA5"/>
    <w:rsid w:val="00F6204F"/>
    <w:rsid w:val="00F6542D"/>
    <w:rsid w:val="00F86133"/>
    <w:rsid w:val="00FA297A"/>
    <w:rsid w:val="00FA767C"/>
    <w:rsid w:val="00FB427D"/>
    <w:rsid w:val="00FC32CC"/>
    <w:rsid w:val="00FC6EC8"/>
    <w:rsid w:val="00FD76C3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3EC5"/>
  <w15:docId w15:val="{DA9A7D3A-D69D-457E-AE00-1145D9D3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12pt">
    <w:name w:val="Основной текст (2) + 12 pt"/>
    <w:basedOn w:val="a0"/>
    <w:rsid w:val="00E61E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4F66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Intense Reference"/>
    <w:basedOn w:val="a0"/>
    <w:uiPriority w:val="32"/>
    <w:qFormat/>
    <w:rsid w:val="004F666E"/>
    <w:rPr>
      <w:b/>
      <w:bCs/>
      <w:smallCaps/>
      <w:color w:val="4F81BD" w:themeColor="accent1"/>
      <w:spacing w:val="5"/>
    </w:rPr>
  </w:style>
  <w:style w:type="character" w:styleId="ab">
    <w:name w:val="annotation reference"/>
    <w:basedOn w:val="a0"/>
    <w:uiPriority w:val="99"/>
    <w:semiHidden/>
    <w:unhideWhenUsed/>
    <w:rsid w:val="00914C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14C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14C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14C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14CF6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53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31248"/>
  </w:style>
  <w:style w:type="paragraph" w:styleId="af2">
    <w:name w:val="footer"/>
    <w:basedOn w:val="a"/>
    <w:link w:val="af3"/>
    <w:uiPriority w:val="99"/>
    <w:unhideWhenUsed/>
    <w:rsid w:val="00531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31248"/>
  </w:style>
  <w:style w:type="paragraph" w:styleId="af4">
    <w:name w:val="Body Text Indent"/>
    <w:basedOn w:val="a"/>
    <w:link w:val="af5"/>
    <w:uiPriority w:val="99"/>
    <w:semiHidden/>
    <w:unhideWhenUsed/>
    <w:rsid w:val="00521D1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521D1D"/>
  </w:style>
  <w:style w:type="paragraph" w:customStyle="1" w:styleId="af6">
    <w:name w:val="Знак Знак"/>
    <w:basedOn w:val="a"/>
    <w:rsid w:val="00EE41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2"/>
    <w:basedOn w:val="a0"/>
    <w:rsid w:val="007E7919"/>
  </w:style>
  <w:style w:type="paragraph" w:customStyle="1" w:styleId="af7">
    <w:name w:val="Знак Знак"/>
    <w:basedOn w:val="a"/>
    <w:rsid w:val="005452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F06DE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A16C-FCE8-49E2-AF5A-23823094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Лукашева Лариса Александровна</cp:lastModifiedBy>
  <cp:revision>2</cp:revision>
  <cp:lastPrinted>2023-11-09T08:00:00Z</cp:lastPrinted>
  <dcterms:created xsi:type="dcterms:W3CDTF">2023-11-09T08:01:00Z</dcterms:created>
  <dcterms:modified xsi:type="dcterms:W3CDTF">2023-11-09T08:01:00Z</dcterms:modified>
</cp:coreProperties>
</file>