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CEF8" w14:textId="77777777" w:rsidR="00833520" w:rsidRDefault="00833520" w:rsidP="00833520">
      <w:pPr>
        <w:pStyle w:val="ConsPlusNormal"/>
        <w:jc w:val="right"/>
        <w:outlineLvl w:val="0"/>
      </w:pPr>
      <w:r>
        <w:t>Приложение 18</w:t>
      </w:r>
    </w:p>
    <w:p w14:paraId="630CC76C" w14:textId="77777777" w:rsidR="00833520" w:rsidRDefault="00833520" w:rsidP="00833520">
      <w:pPr>
        <w:pStyle w:val="ConsPlusNormal"/>
        <w:jc w:val="right"/>
      </w:pPr>
      <w:r>
        <w:t>к постановлению Правительства</w:t>
      </w:r>
    </w:p>
    <w:p w14:paraId="7C4B7770" w14:textId="77777777" w:rsidR="00833520" w:rsidRDefault="00833520" w:rsidP="00833520">
      <w:pPr>
        <w:pStyle w:val="ConsPlusNormal"/>
        <w:jc w:val="right"/>
      </w:pPr>
      <w:r>
        <w:t>Ханты-Мансийского</w:t>
      </w:r>
    </w:p>
    <w:p w14:paraId="7631F188" w14:textId="77777777" w:rsidR="00833520" w:rsidRDefault="00833520" w:rsidP="00833520">
      <w:pPr>
        <w:pStyle w:val="ConsPlusNormal"/>
        <w:jc w:val="right"/>
      </w:pPr>
      <w:r>
        <w:t>автономного округа - Югры</w:t>
      </w:r>
    </w:p>
    <w:p w14:paraId="750BD355" w14:textId="77777777" w:rsidR="00833520" w:rsidRDefault="00833520" w:rsidP="00833520">
      <w:pPr>
        <w:pStyle w:val="ConsPlusNormal"/>
        <w:jc w:val="right"/>
      </w:pPr>
      <w:r>
        <w:t>от 30 декабря 2021 года N 637-п</w:t>
      </w:r>
    </w:p>
    <w:p w14:paraId="61B7577E" w14:textId="77777777" w:rsidR="00833520" w:rsidRDefault="00833520" w:rsidP="00833520">
      <w:pPr>
        <w:pStyle w:val="ConsPlusNormal"/>
      </w:pPr>
    </w:p>
    <w:p w14:paraId="51A4611A" w14:textId="77777777" w:rsidR="00833520" w:rsidRDefault="00833520" w:rsidP="00833520">
      <w:pPr>
        <w:pStyle w:val="ConsPlusTitle"/>
        <w:jc w:val="center"/>
      </w:pPr>
      <w:bookmarkStart w:id="0" w:name="P2728"/>
      <w:bookmarkEnd w:id="0"/>
      <w:r>
        <w:t>ПОРЯДОК</w:t>
      </w:r>
    </w:p>
    <w:p w14:paraId="2A2E049A" w14:textId="77777777" w:rsidR="00833520" w:rsidRDefault="00833520" w:rsidP="00833520">
      <w:pPr>
        <w:pStyle w:val="ConsPlusTitle"/>
        <w:jc w:val="center"/>
      </w:pPr>
      <w:r>
        <w:t>ПРЕДОСТАВЛЕНИЯ СУБВЕНЦИЙ ОРГАНАМ МЕСТНОГО САМОУПРАВЛЕНИЯ</w:t>
      </w:r>
    </w:p>
    <w:p w14:paraId="42735FD6" w14:textId="77777777" w:rsidR="00833520" w:rsidRDefault="00833520" w:rsidP="00833520">
      <w:pPr>
        <w:pStyle w:val="ConsPlusTitle"/>
        <w:jc w:val="center"/>
      </w:pPr>
      <w:r>
        <w:t>МУНИЦИПАЛЬНЫХ ОБРАЗОВАНИЙ ХАНТЫ-МАНСИЙСКОГО АВТОНОМНОГО</w:t>
      </w:r>
    </w:p>
    <w:p w14:paraId="5F30710D" w14:textId="77777777" w:rsidR="00833520" w:rsidRDefault="00833520" w:rsidP="00833520">
      <w:pPr>
        <w:pStyle w:val="ConsPlusTitle"/>
        <w:jc w:val="center"/>
      </w:pPr>
      <w:r>
        <w:t>ОКРУГА - ЮГРЫ НА РЕАЛИЗАЦИЮ ОТДЕЛЬНОГО ГОСУДАРСТВЕННОГО</w:t>
      </w:r>
    </w:p>
    <w:p w14:paraId="606DF788" w14:textId="77777777" w:rsidR="00833520" w:rsidRDefault="00833520" w:rsidP="00833520">
      <w:pPr>
        <w:pStyle w:val="ConsPlusTitle"/>
        <w:jc w:val="center"/>
      </w:pPr>
      <w:r>
        <w:t>ПОЛНОМОЧИЯ ПО ПОДДЕРЖКЕ СЕЛЬСКОХОЗЯЙСТВЕННОГО ПРОИЗВОДСТВА</w:t>
      </w:r>
    </w:p>
    <w:p w14:paraId="75BE0740" w14:textId="77777777" w:rsidR="00833520" w:rsidRDefault="00833520" w:rsidP="00833520">
      <w:pPr>
        <w:pStyle w:val="ConsPlusTitle"/>
        <w:jc w:val="center"/>
      </w:pPr>
      <w:r>
        <w:t>И ДЕЯТЕЛЬНОСТИ ПО ЗАГОТОВКЕ И ПЕРЕРАБОТКЕ ДИКОРОСОВ</w:t>
      </w:r>
    </w:p>
    <w:p w14:paraId="16292334" w14:textId="77777777" w:rsidR="00833520" w:rsidRDefault="00833520" w:rsidP="00833520">
      <w:pPr>
        <w:pStyle w:val="ConsPlusTitle"/>
        <w:jc w:val="center"/>
      </w:pPr>
      <w:r>
        <w:t>(ДАЛЕЕ - ПОРЯДОК)</w:t>
      </w:r>
    </w:p>
    <w:p w14:paraId="43384C98" w14:textId="77777777" w:rsidR="00833520" w:rsidRDefault="00833520" w:rsidP="0083352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3520" w14:paraId="14A62E2E" w14:textId="77777777" w:rsidTr="00786EF1">
        <w:tc>
          <w:tcPr>
            <w:tcW w:w="60" w:type="dxa"/>
            <w:tcBorders>
              <w:top w:val="nil"/>
              <w:left w:val="nil"/>
              <w:bottom w:val="nil"/>
              <w:right w:val="nil"/>
            </w:tcBorders>
            <w:shd w:val="clear" w:color="auto" w:fill="CED3F1"/>
            <w:tcMar>
              <w:top w:w="0" w:type="dxa"/>
              <w:left w:w="0" w:type="dxa"/>
              <w:bottom w:w="0" w:type="dxa"/>
              <w:right w:w="0" w:type="dxa"/>
            </w:tcMar>
          </w:tcPr>
          <w:p w14:paraId="61DF40BA" w14:textId="77777777" w:rsidR="00833520" w:rsidRDefault="00833520" w:rsidP="00786EF1"/>
        </w:tc>
        <w:tc>
          <w:tcPr>
            <w:tcW w:w="113" w:type="dxa"/>
            <w:tcBorders>
              <w:top w:val="nil"/>
              <w:left w:val="nil"/>
              <w:bottom w:val="nil"/>
              <w:right w:val="nil"/>
            </w:tcBorders>
            <w:shd w:val="clear" w:color="auto" w:fill="F4F3F8"/>
            <w:tcMar>
              <w:top w:w="0" w:type="dxa"/>
              <w:left w:w="0" w:type="dxa"/>
              <w:bottom w:w="0" w:type="dxa"/>
              <w:right w:w="0" w:type="dxa"/>
            </w:tcMar>
          </w:tcPr>
          <w:p w14:paraId="4CC313C9" w14:textId="77777777" w:rsidR="00833520" w:rsidRDefault="00833520" w:rsidP="00786EF1"/>
        </w:tc>
        <w:tc>
          <w:tcPr>
            <w:tcW w:w="0" w:type="auto"/>
            <w:tcBorders>
              <w:top w:val="nil"/>
              <w:left w:val="nil"/>
              <w:bottom w:val="nil"/>
              <w:right w:val="nil"/>
            </w:tcBorders>
            <w:shd w:val="clear" w:color="auto" w:fill="F4F3F8"/>
            <w:tcMar>
              <w:top w:w="113" w:type="dxa"/>
              <w:left w:w="0" w:type="dxa"/>
              <w:bottom w:w="113" w:type="dxa"/>
              <w:right w:w="0" w:type="dxa"/>
            </w:tcMar>
          </w:tcPr>
          <w:p w14:paraId="72DAD54A" w14:textId="77777777" w:rsidR="00833520" w:rsidRDefault="00833520" w:rsidP="00786EF1">
            <w:pPr>
              <w:pStyle w:val="ConsPlusNormal"/>
              <w:jc w:val="center"/>
            </w:pPr>
            <w:r>
              <w:rPr>
                <w:color w:val="392C69"/>
              </w:rPr>
              <w:t>Список изменяющих документов</w:t>
            </w:r>
          </w:p>
          <w:p w14:paraId="50357ED4" w14:textId="77777777" w:rsidR="00833520" w:rsidRDefault="00833520" w:rsidP="00786EF1">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14:paraId="2F4F6A1A" w14:textId="77777777" w:rsidR="00833520" w:rsidRDefault="00833520" w:rsidP="00786EF1"/>
        </w:tc>
      </w:tr>
    </w:tbl>
    <w:p w14:paraId="4646602B" w14:textId="77777777" w:rsidR="00833520" w:rsidRDefault="00833520" w:rsidP="00833520">
      <w:pPr>
        <w:pStyle w:val="ConsPlusNormal"/>
      </w:pPr>
    </w:p>
    <w:p w14:paraId="14E43A13" w14:textId="77777777" w:rsidR="00833520" w:rsidRDefault="00833520" w:rsidP="00833520">
      <w:pPr>
        <w:pStyle w:val="ConsPlusNormal"/>
        <w:ind w:firstLine="540"/>
        <w:jc w:val="both"/>
      </w:pPr>
      <w:r>
        <w:t xml:space="preserve">1. 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w:t>
      </w:r>
      <w:hyperlink r:id="rId5" w:history="1">
        <w:r>
          <w:rPr>
            <w:color w:val="0000FF"/>
          </w:rPr>
          <w:t>Законом</w:t>
        </w:r>
      </w:hyperlink>
      <w:r>
        <w:t xml:space="preserve">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w:t>
      </w:r>
      <w:hyperlink r:id="rId6" w:history="1">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14:paraId="1294A653" w14:textId="77777777" w:rsidR="00833520" w:rsidRDefault="00833520" w:rsidP="00833520">
      <w:pPr>
        <w:pStyle w:val="ConsPlusNormal"/>
        <w:spacing w:before="220"/>
        <w:ind w:firstLine="540"/>
        <w:jc w:val="both"/>
      </w:pPr>
      <w:r>
        <w:t xml:space="preserve">2. Субвенции предоставляются Уполномоченным органам ежемесячно в пределах бюджетных ассигнований, рассчитанных в соответствии с утвержденной </w:t>
      </w:r>
      <w:hyperlink r:id="rId7" w:history="1">
        <w:r>
          <w:rPr>
            <w:color w:val="0000FF"/>
          </w:rPr>
          <w:t>Законом</w:t>
        </w:r>
      </w:hyperlink>
      <w: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w:t>
      </w:r>
      <w:hyperlink r:id="rId8" w:history="1">
        <w:r>
          <w:rPr>
            <w:color w:val="0000FF"/>
          </w:rPr>
          <w:t>кодекса</w:t>
        </w:r>
      </w:hyperlink>
      <w:r>
        <w:t xml:space="preserve"> Российской Федерации.</w:t>
      </w:r>
    </w:p>
    <w:p w14:paraId="6BBD7333" w14:textId="77777777" w:rsidR="00833520" w:rsidRDefault="00833520" w:rsidP="00833520">
      <w:pPr>
        <w:pStyle w:val="ConsPlusNormal"/>
        <w:spacing w:before="220"/>
        <w:ind w:firstLine="540"/>
        <w:jc w:val="both"/>
      </w:pPr>
      <w:r>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14:paraId="5DF95C71" w14:textId="77777777" w:rsidR="00833520" w:rsidRDefault="00833520" w:rsidP="00833520">
      <w:pPr>
        <w:pStyle w:val="ConsPlusNormal"/>
        <w:spacing w:before="220"/>
        <w:ind w:firstLine="540"/>
        <w:jc w:val="both"/>
      </w:pPr>
      <w:r>
        <w:t>4.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14:paraId="425C5110" w14:textId="77777777" w:rsidR="00833520" w:rsidRDefault="00833520" w:rsidP="00833520">
      <w:pPr>
        <w:pStyle w:val="ConsPlusNormal"/>
        <w:spacing w:before="220"/>
        <w:ind w:firstLine="540"/>
        <w:jc w:val="both"/>
      </w:pPr>
      <w:r>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14:paraId="6A9EAFDF" w14:textId="77777777" w:rsidR="00833520" w:rsidRDefault="00833520" w:rsidP="00833520">
      <w:pPr>
        <w:pStyle w:val="ConsPlusNormal"/>
        <w:spacing w:before="220"/>
        <w:ind w:firstLine="540"/>
        <w:jc w:val="both"/>
      </w:pPr>
      <w:r>
        <w:lastRenderedPageBreak/>
        <w:t>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Деппромышленности Югры.</w:t>
      </w:r>
    </w:p>
    <w:p w14:paraId="64CDEEC7" w14:textId="77777777" w:rsidR="00833520" w:rsidRDefault="00833520" w:rsidP="00833520">
      <w:pPr>
        <w:pStyle w:val="ConsPlusNormal"/>
        <w:spacing w:before="220"/>
        <w:ind w:firstLine="540"/>
        <w:jc w:val="both"/>
      </w:pPr>
      <w: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14:paraId="4B4E304B" w14:textId="77777777" w:rsidR="00833520" w:rsidRDefault="00833520" w:rsidP="00833520">
      <w:pPr>
        <w:pStyle w:val="ConsPlusNormal"/>
        <w:spacing w:before="220"/>
        <w:ind w:firstLine="540"/>
        <w:jc w:val="both"/>
      </w:pPr>
      <w:r>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14:paraId="119F8B95" w14:textId="77777777" w:rsidR="00833520" w:rsidRDefault="00833520" w:rsidP="00833520">
      <w:pPr>
        <w:pStyle w:val="ConsPlusNormal"/>
        <w:spacing w:before="220"/>
        <w:ind w:firstLine="540"/>
        <w:jc w:val="both"/>
      </w:pPr>
      <w:r>
        <w:t>7. Уполномоченные органы не позднее 20 числа месяца, следующего за отчетным кварталом, представляют в Деппромышленности Югры отчеты об осуществлении полномочия по мероприятиям государственной поддержки по форме, устанавливаемой Деппромышленности Югры.</w:t>
      </w:r>
    </w:p>
    <w:p w14:paraId="30BAA0E8" w14:textId="77777777" w:rsidR="00833520" w:rsidRDefault="00833520" w:rsidP="00833520">
      <w:pPr>
        <w:pStyle w:val="ConsPlusNormal"/>
        <w:spacing w:before="220"/>
        <w:ind w:firstLine="540"/>
        <w:jc w:val="both"/>
      </w:pPr>
      <w:r>
        <w:t>8.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14:paraId="02BBAC97" w14:textId="77777777" w:rsidR="00833520" w:rsidRDefault="00833520" w:rsidP="00833520">
      <w:pPr>
        <w:pStyle w:val="ConsPlusNormal"/>
        <w:spacing w:before="220"/>
        <w:ind w:firstLine="540"/>
        <w:jc w:val="both"/>
      </w:pPr>
      <w:r>
        <w:t>9. Контроль целевого использования субвенций осуществляет Деппромышленности Югры и иные органы государственной власти автономного округа, на которые возложены функции контроля и надзора в финансово-бюджетной сфере.</w:t>
      </w:r>
    </w:p>
    <w:p w14:paraId="74D8DB31" w14:textId="77777777" w:rsidR="00833520" w:rsidRDefault="00833520" w:rsidP="00833520">
      <w:pPr>
        <w:pStyle w:val="ConsPlusNormal"/>
        <w:spacing w:before="220"/>
        <w:ind w:firstLine="540"/>
        <w:jc w:val="both"/>
      </w:pPr>
      <w:bookmarkStart w:id="1" w:name="P2749"/>
      <w:bookmarkEnd w:id="1"/>
      <w:r>
        <w:t>10. За счет субвенций Уполномоченные органы предоставляют субсидии:</w:t>
      </w:r>
    </w:p>
    <w:p w14:paraId="3E5DEBCD" w14:textId="77777777" w:rsidR="00833520" w:rsidRDefault="00833520" w:rsidP="00833520">
      <w:pPr>
        <w:pStyle w:val="ConsPlusNormal"/>
        <w:spacing w:before="220"/>
        <w:ind w:firstLine="540"/>
        <w:jc w:val="both"/>
      </w:pPr>
      <w:r>
        <w:t>на поддержку и развитие растениеводства;</w:t>
      </w:r>
    </w:p>
    <w:p w14:paraId="342BF1C3" w14:textId="77777777" w:rsidR="00833520" w:rsidRDefault="00833520" w:rsidP="00833520">
      <w:pPr>
        <w:pStyle w:val="ConsPlusNormal"/>
        <w:spacing w:before="220"/>
        <w:ind w:firstLine="540"/>
        <w:jc w:val="both"/>
      </w:pPr>
      <w:r>
        <w:t>на поддержку и развитие животноводства;</w:t>
      </w:r>
    </w:p>
    <w:p w14:paraId="14E69AF6" w14:textId="77777777" w:rsidR="00833520" w:rsidRDefault="00833520" w:rsidP="00833520">
      <w:pPr>
        <w:pStyle w:val="ConsPlusNormal"/>
        <w:spacing w:before="220"/>
        <w:ind w:firstLine="540"/>
        <w:jc w:val="both"/>
      </w:pPr>
      <w:r>
        <w:t>на развитие рыбохозяйственного комплекса;</w:t>
      </w:r>
    </w:p>
    <w:p w14:paraId="6DD39007" w14:textId="77777777" w:rsidR="00833520" w:rsidRDefault="00833520" w:rsidP="00833520">
      <w:pPr>
        <w:pStyle w:val="ConsPlusNormal"/>
        <w:spacing w:before="220"/>
        <w:ind w:firstLine="540"/>
        <w:jc w:val="both"/>
      </w:pPr>
      <w:r>
        <w:t>на поддержку и развитие малых форм хозяйствования;</w:t>
      </w:r>
    </w:p>
    <w:p w14:paraId="68495361" w14:textId="77777777" w:rsidR="00833520" w:rsidRDefault="00833520" w:rsidP="00833520">
      <w:pPr>
        <w:pStyle w:val="ConsPlusNormal"/>
        <w:spacing w:before="220"/>
        <w:ind w:firstLine="540"/>
        <w:jc w:val="both"/>
      </w:pPr>
      <w:r>
        <w:t>на развитие деятельности по заготовке и переработке дикоросов.</w:t>
      </w:r>
    </w:p>
    <w:p w14:paraId="60108D5F" w14:textId="77777777" w:rsidR="00833520" w:rsidRDefault="00833520" w:rsidP="00833520">
      <w:pPr>
        <w:pStyle w:val="ConsPlusNormal"/>
        <w:spacing w:before="220"/>
        <w:ind w:firstLine="540"/>
        <w:jc w:val="both"/>
      </w:pPr>
      <w:r>
        <w:t xml:space="preserve">Субсидии предоставляются в соответствии с порядками, утвержденными Уполномоченными органами, с учетом положений Порядка и по </w:t>
      </w:r>
      <w:hyperlink w:anchor="P4329" w:history="1">
        <w:r>
          <w:rPr>
            <w:color w:val="0000FF"/>
          </w:rPr>
          <w:t>ставкам</w:t>
        </w:r>
      </w:hyperlink>
      <w:r>
        <w:t xml:space="preserve">, приведенным в приложении 25 к настоящему Постановлению, но не более 95% фактически произведенных затрат, связанных с производством и реализацией продукции (за исключением </w:t>
      </w:r>
      <w:hyperlink w:anchor="P4460" w:history="1">
        <w:r>
          <w:rPr>
            <w:color w:val="0000FF"/>
          </w:rPr>
          <w:t>пунктов 8</w:t>
        </w:r>
      </w:hyperlink>
      <w:r>
        <w:t xml:space="preserve">, </w:t>
      </w:r>
      <w:hyperlink w:anchor="P4464" w:history="1">
        <w:r>
          <w:rPr>
            <w:color w:val="0000FF"/>
          </w:rPr>
          <w:t>9</w:t>
        </w:r>
      </w:hyperlink>
      <w:r>
        <w:t xml:space="preserve">, </w:t>
      </w:r>
      <w:hyperlink w:anchor="P4478" w:history="1">
        <w:r>
          <w:rPr>
            <w:color w:val="0000FF"/>
          </w:rPr>
          <w:t>14</w:t>
        </w:r>
      </w:hyperlink>
      <w:r>
        <w:t xml:space="preserve"> приложения 25 к настоящему Постановлению).</w:t>
      </w:r>
    </w:p>
    <w:p w14:paraId="760C6D3F" w14:textId="77777777" w:rsidR="00833520" w:rsidRDefault="00833520" w:rsidP="00833520">
      <w:pPr>
        <w:pStyle w:val="ConsPlusNormal"/>
        <w:spacing w:before="220"/>
        <w:ind w:firstLine="540"/>
        <w:jc w:val="both"/>
      </w:pPr>
      <w:r>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14:paraId="55C7EDC4" w14:textId="77777777" w:rsidR="00833520" w:rsidRDefault="00833520" w:rsidP="00833520">
      <w:pPr>
        <w:pStyle w:val="ConsPlusNormal"/>
        <w:spacing w:before="220"/>
        <w:ind w:firstLine="540"/>
        <w:jc w:val="both"/>
      </w:pPr>
      <w:r>
        <w:t>10.1. Субсидия на поддержку и развитие растениеводства.</w:t>
      </w:r>
    </w:p>
    <w:p w14:paraId="71F956FC" w14:textId="77777777" w:rsidR="00833520" w:rsidRDefault="00833520" w:rsidP="00833520">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14:paraId="058AF923" w14:textId="77777777" w:rsidR="00833520" w:rsidRDefault="00833520" w:rsidP="00833520">
      <w:pPr>
        <w:pStyle w:val="ConsPlusNormal"/>
        <w:spacing w:before="220"/>
        <w:ind w:firstLine="540"/>
        <w:jc w:val="both"/>
      </w:pPr>
      <w:r>
        <w:t xml:space="preserve">реализация продукции растениеводства собственного производства, указанной в </w:t>
      </w:r>
      <w:hyperlink w:anchor="P4507" w:history="1">
        <w:r>
          <w:rPr>
            <w:color w:val="0000FF"/>
          </w:rPr>
          <w:t>пунктах 1</w:t>
        </w:r>
      </w:hyperlink>
      <w:r>
        <w:t xml:space="preserve">, </w:t>
      </w:r>
      <w:hyperlink w:anchor="P4523" w:history="1">
        <w:r>
          <w:rPr>
            <w:color w:val="0000FF"/>
          </w:rPr>
          <w:t>2 раздела</w:t>
        </w:r>
      </w:hyperlink>
      <w:r>
        <w:t xml:space="preserve"> "Растениеводство" приложения 25 к настоящему Постановлению.</w:t>
      </w:r>
    </w:p>
    <w:p w14:paraId="3F84634B" w14:textId="77777777" w:rsidR="00833520" w:rsidRDefault="00833520" w:rsidP="00833520">
      <w:pPr>
        <w:pStyle w:val="ConsPlusNormal"/>
        <w:spacing w:before="220"/>
        <w:ind w:firstLine="540"/>
        <w:jc w:val="both"/>
      </w:pPr>
      <w:bookmarkStart w:id="2" w:name="P2760"/>
      <w:bookmarkEnd w:id="2"/>
      <w:r>
        <w:t>10.2. Субсидия на поддержку и развитие животноводства.</w:t>
      </w:r>
    </w:p>
    <w:p w14:paraId="54E21B32" w14:textId="77777777" w:rsidR="00833520" w:rsidRDefault="00833520" w:rsidP="00833520">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14:paraId="013A3D09" w14:textId="77777777" w:rsidR="00833520" w:rsidRDefault="00833520" w:rsidP="00833520">
      <w:pPr>
        <w:pStyle w:val="ConsPlusNormal"/>
        <w:spacing w:before="220"/>
        <w:ind w:firstLine="540"/>
        <w:jc w:val="both"/>
      </w:pPr>
      <w: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w:anchor="P4344" w:history="1">
        <w:r>
          <w:rPr>
            <w:color w:val="0000FF"/>
          </w:rPr>
          <w:t>пунктах 1.1</w:t>
        </w:r>
      </w:hyperlink>
      <w:r>
        <w:t xml:space="preserve">, </w:t>
      </w:r>
      <w:hyperlink w:anchor="P4350" w:history="1">
        <w:r>
          <w:rPr>
            <w:color w:val="0000FF"/>
          </w:rPr>
          <w:t>1.2</w:t>
        </w:r>
      </w:hyperlink>
      <w:r>
        <w:t xml:space="preserve">, </w:t>
      </w:r>
      <w:hyperlink w:anchor="P4360" w:history="1">
        <w:r>
          <w:rPr>
            <w:color w:val="0000FF"/>
          </w:rPr>
          <w:t>2</w:t>
        </w:r>
      </w:hyperlink>
      <w:r>
        <w:t xml:space="preserve">, </w:t>
      </w:r>
      <w:hyperlink w:anchor="P4404" w:history="1">
        <w:r>
          <w:rPr>
            <w:color w:val="0000FF"/>
          </w:rPr>
          <w:t>3</w:t>
        </w:r>
      </w:hyperlink>
      <w:r>
        <w:t xml:space="preserve">, </w:t>
      </w:r>
      <w:hyperlink w:anchor="P4416" w:history="1">
        <w:r>
          <w:rPr>
            <w:color w:val="0000FF"/>
          </w:rPr>
          <w:t>4</w:t>
        </w:r>
      </w:hyperlink>
      <w:r>
        <w:t xml:space="preserve">, </w:t>
      </w:r>
      <w:hyperlink w:anchor="P4460" w:history="1">
        <w:r>
          <w:rPr>
            <w:color w:val="0000FF"/>
          </w:rPr>
          <w:t>8 раздела</w:t>
        </w:r>
      </w:hyperlink>
      <w:r>
        <w:t xml:space="preserve"> "Животноводство" приложения 25 к настоящему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9"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
    <w:p w14:paraId="32443D04" w14:textId="77777777" w:rsidR="00833520" w:rsidRDefault="00833520" w:rsidP="00833520">
      <w:pPr>
        <w:pStyle w:val="ConsPlusNormal"/>
        <w:spacing w:before="22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w:anchor="P4460" w:history="1">
        <w:r>
          <w:rPr>
            <w:color w:val="0000FF"/>
          </w:rPr>
          <w:t>пунктах 8</w:t>
        </w:r>
      </w:hyperlink>
      <w:r>
        <w:t xml:space="preserve">, </w:t>
      </w:r>
      <w:hyperlink w:anchor="P4464" w:history="1">
        <w:r>
          <w:rPr>
            <w:color w:val="0000FF"/>
          </w:rPr>
          <w:t>9 раздела</w:t>
        </w:r>
      </w:hyperlink>
      <w:r>
        <w:t xml:space="preserve"> "Животноводство" приложения 25 к настоящему Постановлению - в соответствии с </w:t>
      </w:r>
      <w:hyperlink w:anchor="P4464" w:history="1">
        <w:r>
          <w:rPr>
            <w:color w:val="0000FF"/>
          </w:rPr>
          <w:t>пунктом 9 раздела</w:t>
        </w:r>
      </w:hyperlink>
      <w:r>
        <w:t xml:space="preserve">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0" w:history="1">
        <w:r>
          <w:rPr>
            <w:color w:val="0000FF"/>
          </w:rPr>
          <w:t>Приказом</w:t>
        </w:r>
      </w:hyperlink>
      <w:r>
        <w:t>;</w:t>
      </w:r>
    </w:p>
    <w:p w14:paraId="7EE58583" w14:textId="77777777" w:rsidR="00833520" w:rsidRDefault="00833520" w:rsidP="00833520">
      <w:pPr>
        <w:pStyle w:val="ConsPlusNormal"/>
        <w:spacing w:before="220"/>
        <w:ind w:firstLine="540"/>
        <w:jc w:val="both"/>
      </w:pPr>
      <w:r>
        <w:t xml:space="preserve">абзац утратил силу. - </w:t>
      </w:r>
      <w:hyperlink r:id="rId11" w:history="1">
        <w:r>
          <w:rPr>
            <w:color w:val="0000FF"/>
          </w:rPr>
          <w:t>Постановление</w:t>
        </w:r>
      </w:hyperlink>
      <w:r>
        <w:t xml:space="preserve"> Правительства ХМАО - Югры от 08.04.2022 N 135-п.</w:t>
      </w:r>
    </w:p>
    <w:p w14:paraId="463FEDBC" w14:textId="77777777" w:rsidR="00833520" w:rsidRDefault="00833520" w:rsidP="00833520">
      <w:pPr>
        <w:pStyle w:val="ConsPlusNormal"/>
        <w:spacing w:before="220"/>
        <w:ind w:firstLine="540"/>
        <w:jc w:val="both"/>
      </w:pPr>
      <w:r>
        <w:t xml:space="preserve">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w:anchor="P4396" w:history="1">
        <w:r>
          <w:rPr>
            <w:color w:val="0000FF"/>
          </w:rPr>
          <w:t>подпунктами 2.5</w:t>
        </w:r>
      </w:hyperlink>
      <w:r>
        <w:t xml:space="preserve">, </w:t>
      </w:r>
      <w:hyperlink w:anchor="P4400" w:history="1">
        <w:r>
          <w:rPr>
            <w:color w:val="0000FF"/>
          </w:rPr>
          <w:t>2.6 пункта 2</w:t>
        </w:r>
      </w:hyperlink>
      <w:r>
        <w:t xml:space="preserve">, </w:t>
      </w:r>
      <w:hyperlink w:anchor="P4404" w:history="1">
        <w:r>
          <w:rPr>
            <w:color w:val="0000FF"/>
          </w:rPr>
          <w:t>пунктами 3</w:t>
        </w:r>
      </w:hyperlink>
      <w:r>
        <w:t xml:space="preserve">, </w:t>
      </w:r>
      <w:hyperlink w:anchor="P4416" w:history="1">
        <w:r>
          <w:rPr>
            <w:color w:val="0000FF"/>
          </w:rPr>
          <w:t>4 раздела</w:t>
        </w:r>
      </w:hyperlink>
      <w:r>
        <w:t xml:space="preserve"> "Животноводство" приложения 25 к настоящему Постановлению, </w:t>
      </w:r>
      <w:hyperlink w:anchor="P4507" w:history="1">
        <w:r>
          <w:rPr>
            <w:color w:val="0000FF"/>
          </w:rPr>
          <w:t>пунктами 1</w:t>
        </w:r>
      </w:hyperlink>
      <w:r>
        <w:t xml:space="preserve">, </w:t>
      </w:r>
      <w:hyperlink w:anchor="P4523" w:history="1">
        <w:r>
          <w:rPr>
            <w:color w:val="0000FF"/>
          </w:rPr>
          <w:t>2 раздела</w:t>
        </w:r>
      </w:hyperlink>
      <w:r>
        <w:t xml:space="preserve"> "Растениеводство" приложении 25 к настоящему Постановлению;</w:t>
      </w:r>
    </w:p>
    <w:p w14:paraId="1D902030" w14:textId="77777777" w:rsidR="00833520" w:rsidRDefault="00833520" w:rsidP="00833520">
      <w:pPr>
        <w:pStyle w:val="ConsPlusNormal"/>
        <w:spacing w:before="220"/>
        <w:ind w:firstLine="540"/>
        <w:jc w:val="both"/>
      </w:pPr>
      <w:r>
        <w:t xml:space="preserve">содержание маточного поголовья животных в личных подсобных хозяйствах указанный в </w:t>
      </w:r>
      <w:hyperlink w:anchor="P4478" w:history="1">
        <w:r>
          <w:rPr>
            <w:color w:val="0000FF"/>
          </w:rPr>
          <w:t>пункте 14 раздела</w:t>
        </w:r>
      </w:hyperlink>
      <w:r>
        <w:t xml:space="preserve"> "Животноводство" приложения 25 к настоящему Постановлению.</w:t>
      </w:r>
    </w:p>
    <w:p w14:paraId="3D2F9194" w14:textId="77777777" w:rsidR="00833520" w:rsidRDefault="00833520" w:rsidP="00833520">
      <w:pPr>
        <w:pStyle w:val="ConsPlusNormal"/>
        <w:spacing w:before="220"/>
        <w:ind w:firstLine="540"/>
        <w:jc w:val="both"/>
      </w:pPr>
      <w:r>
        <w:t>К получателям средств из бюджета автономного округа,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64F0A0D2" w14:textId="77777777" w:rsidR="00833520" w:rsidRDefault="00833520" w:rsidP="00833520">
      <w:pPr>
        <w:pStyle w:val="ConsPlusNormal"/>
        <w:spacing w:before="220"/>
        <w:ind w:firstLine="540"/>
        <w:jc w:val="both"/>
      </w:pPr>
      <w:r>
        <w:t>10.3. Субсидия на развитие рыбохозяйственного комплекса.</w:t>
      </w:r>
    </w:p>
    <w:p w14:paraId="7E56921E" w14:textId="77777777" w:rsidR="00833520" w:rsidRDefault="00833520" w:rsidP="00833520">
      <w:pPr>
        <w:pStyle w:val="ConsPlusNormal"/>
        <w:spacing w:before="220"/>
        <w:ind w:firstLine="540"/>
        <w:jc w:val="both"/>
      </w:pPr>
      <w:r>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14:paraId="5A309670" w14:textId="77777777" w:rsidR="00833520" w:rsidRDefault="00833520" w:rsidP="00833520">
      <w:pPr>
        <w:pStyle w:val="ConsPlusNormal"/>
        <w:spacing w:before="220"/>
        <w:ind w:firstLine="540"/>
        <w:jc w:val="both"/>
      </w:pPr>
      <w:r>
        <w:t xml:space="preserve">реализация искусственно выращенной пищевой рыбы собственного производства, указанной в </w:t>
      </w:r>
      <w:hyperlink w:anchor="P4577" w:history="1">
        <w:r>
          <w:rPr>
            <w:color w:val="0000FF"/>
          </w:rPr>
          <w:t>пункте 7 раздела</w:t>
        </w:r>
      </w:hyperlink>
      <w:r>
        <w:t xml:space="preserve"> "Рыбная отрасль" приложения 25 к настоящему Постановлению;</w:t>
      </w:r>
    </w:p>
    <w:p w14:paraId="1508252D" w14:textId="77777777" w:rsidR="00833520" w:rsidRDefault="00833520" w:rsidP="00833520">
      <w:pPr>
        <w:pStyle w:val="ConsPlusNormal"/>
        <w:spacing w:before="220"/>
        <w:ind w:firstLine="540"/>
        <w:jc w:val="both"/>
      </w:pPr>
      <w:r>
        <w:t xml:space="preserve">реализация пищевой рыбной продукции собственного производства, указанной в </w:t>
      </w:r>
      <w:hyperlink w:anchor="P4553" w:history="1">
        <w:r>
          <w:rPr>
            <w:color w:val="0000FF"/>
          </w:rPr>
          <w:t>пунктах 1</w:t>
        </w:r>
      </w:hyperlink>
      <w:r>
        <w:t xml:space="preserve"> - </w:t>
      </w:r>
      <w:hyperlink w:anchor="P4573" w:history="1">
        <w:r>
          <w:rPr>
            <w:color w:val="0000FF"/>
          </w:rPr>
          <w:t>6 раздела</w:t>
        </w:r>
      </w:hyperlink>
      <w:r>
        <w:t xml:space="preserve"> "Рыбная отрасль" приложения 25 к настоящему Постановлению.</w:t>
      </w:r>
    </w:p>
    <w:p w14:paraId="7486E4B2" w14:textId="77777777" w:rsidR="00833520" w:rsidRDefault="00833520" w:rsidP="00833520">
      <w:pPr>
        <w:pStyle w:val="ConsPlusNormal"/>
        <w:spacing w:before="220"/>
        <w:ind w:firstLine="540"/>
        <w:jc w:val="both"/>
      </w:pPr>
      <w:r>
        <w:t>Субсидия на развитие рыбохозяйственного комплекса выплачивается при выполнении следующих требований:</w:t>
      </w:r>
    </w:p>
    <w:p w14:paraId="76006717" w14:textId="77777777" w:rsidR="00833520" w:rsidRDefault="00833520" w:rsidP="00833520">
      <w:pPr>
        <w:pStyle w:val="ConsPlusNormal"/>
        <w:spacing w:before="220"/>
        <w:ind w:firstLine="540"/>
        <w:jc w:val="both"/>
      </w:pPr>
      <w:r>
        <w:t>средняя минимальная масса 1 особи искусственно выращенной пищевой рыбы, 1 особь/кг:</w:t>
      </w:r>
    </w:p>
    <w:p w14:paraId="087FC2E3" w14:textId="77777777" w:rsidR="00833520" w:rsidRDefault="00833520" w:rsidP="00833520">
      <w:pPr>
        <w:pStyle w:val="ConsPlusNormal"/>
        <w:spacing w:before="220"/>
        <w:ind w:firstLine="540"/>
        <w:jc w:val="both"/>
      </w:pPr>
      <w:r>
        <w:t>осетровые, за исключением стерляди, - 2,00;</w:t>
      </w:r>
    </w:p>
    <w:p w14:paraId="286436BD" w14:textId="77777777" w:rsidR="00833520" w:rsidRDefault="00833520" w:rsidP="00833520">
      <w:pPr>
        <w:pStyle w:val="ConsPlusNormal"/>
        <w:spacing w:before="220"/>
        <w:ind w:firstLine="540"/>
        <w:jc w:val="both"/>
      </w:pPr>
      <w:r>
        <w:t>стерлядь - 0,8;</w:t>
      </w:r>
    </w:p>
    <w:p w14:paraId="2794B3F3" w14:textId="77777777" w:rsidR="00833520" w:rsidRDefault="00833520" w:rsidP="00833520">
      <w:pPr>
        <w:pStyle w:val="ConsPlusNormal"/>
        <w:spacing w:before="220"/>
        <w:ind w:firstLine="540"/>
        <w:jc w:val="both"/>
      </w:pPr>
      <w:r>
        <w:t>сиговые, за исключением тугуна, - 1,00;</w:t>
      </w:r>
    </w:p>
    <w:p w14:paraId="0EC8291A" w14:textId="77777777" w:rsidR="00833520" w:rsidRDefault="00833520" w:rsidP="00833520">
      <w:pPr>
        <w:pStyle w:val="ConsPlusNormal"/>
        <w:spacing w:before="220"/>
        <w:ind w:firstLine="540"/>
        <w:jc w:val="both"/>
      </w:pPr>
      <w:r>
        <w:t>тугун - 0,08.</w:t>
      </w:r>
    </w:p>
    <w:p w14:paraId="2FDD8A49" w14:textId="77777777" w:rsidR="00833520" w:rsidRDefault="00833520" w:rsidP="00833520">
      <w:pPr>
        <w:pStyle w:val="ConsPlusNormal"/>
        <w:spacing w:before="220"/>
        <w:ind w:firstLine="540"/>
        <w:jc w:val="both"/>
      </w:pPr>
      <w:r>
        <w:t>К получателям средств из бюджета автономного округа,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610EE311" w14:textId="77777777" w:rsidR="00833520" w:rsidRDefault="00833520" w:rsidP="00833520">
      <w:pPr>
        <w:pStyle w:val="ConsPlusNormal"/>
        <w:spacing w:before="220"/>
        <w:ind w:firstLine="540"/>
        <w:jc w:val="both"/>
      </w:pPr>
      <w:r>
        <w:t>10.4. Субсидия на поддержку и развитие малых форм хозяйствования.</w:t>
      </w:r>
    </w:p>
    <w:p w14:paraId="1329E722" w14:textId="77777777" w:rsidR="00833520" w:rsidRDefault="00833520" w:rsidP="00833520">
      <w:pPr>
        <w:pStyle w:val="ConsPlusNormal"/>
        <w:spacing w:before="220"/>
        <w:ind w:firstLine="540"/>
        <w:jc w:val="both"/>
      </w:pPr>
      <w:r>
        <w:t>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14:paraId="4994C2AA" w14:textId="77777777" w:rsidR="00833520" w:rsidRDefault="00833520" w:rsidP="00833520">
      <w:pPr>
        <w:pStyle w:val="ConsPlusNormal"/>
        <w:spacing w:before="220"/>
        <w:ind w:firstLine="540"/>
        <w:jc w:val="both"/>
      </w:pPr>
      <w:bookmarkStart w:id="3" w:name="P2781"/>
      <w:bookmarkEnd w:id="3"/>
      <w:r>
        <w:t>капитальное строительство сельскохозяйственных объектов, объектов перерабатывающих производств сельскохозяйственной продукции;</w:t>
      </w:r>
    </w:p>
    <w:p w14:paraId="6AFCE040" w14:textId="77777777" w:rsidR="00833520" w:rsidRDefault="00833520" w:rsidP="00833520">
      <w:pPr>
        <w:pStyle w:val="ConsPlusNormal"/>
        <w:spacing w:before="220"/>
        <w:ind w:firstLine="540"/>
        <w:jc w:val="both"/>
      </w:pPr>
      <w: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14:paraId="0233F80E" w14:textId="77777777" w:rsidR="00833520" w:rsidRDefault="00833520" w:rsidP="00833520">
      <w:pPr>
        <w:pStyle w:val="ConsPlusNormal"/>
        <w:spacing w:before="220"/>
        <w:ind w:firstLine="540"/>
        <w:jc w:val="both"/>
      </w:pPr>
      <w:r>
        <w:t xml:space="preserve">приобретение сельскохозяйственной техники, произведенной на территории Российской Федерации, из перечня, утвержденного Деппромышленности Югры, и (или) соответствующей требованиям, установленным </w:t>
      </w:r>
      <w:hyperlink r:id="rId12" w:history="1">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14:paraId="1EBFEDDB" w14:textId="77777777" w:rsidR="00833520" w:rsidRDefault="00833520" w:rsidP="00833520">
      <w:pPr>
        <w:pStyle w:val="ConsPlusNormal"/>
        <w:spacing w:before="220"/>
        <w:ind w:firstLine="540"/>
        <w:jc w:val="both"/>
      </w:pPr>
      <w: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Деппромышленности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14:paraId="4414A9F3" w14:textId="77777777" w:rsidR="00833520" w:rsidRDefault="00833520" w:rsidP="00833520">
      <w:pPr>
        <w:pStyle w:val="ConsPlusNormal"/>
        <w:spacing w:before="220"/>
        <w:ind w:firstLine="540"/>
        <w:jc w:val="both"/>
      </w:pPr>
      <w: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14:paraId="67C8B361" w14:textId="77777777" w:rsidR="00833520" w:rsidRDefault="00833520" w:rsidP="00833520">
      <w:pPr>
        <w:pStyle w:val="ConsPlusNormal"/>
        <w:spacing w:before="220"/>
        <w:ind w:firstLine="540"/>
        <w:jc w:val="both"/>
      </w:pPr>
      <w:r>
        <w:t>приобретение оборудования для обязательной маркировки молочной продукции средствами идентификации из перечня, утвержденного Деппромышленности Югры и размещенного на его официальном сайте;</w:t>
      </w:r>
    </w:p>
    <w:p w14:paraId="199683DB" w14:textId="77777777" w:rsidR="00833520" w:rsidRDefault="00833520" w:rsidP="00833520">
      <w:pPr>
        <w:pStyle w:val="ConsPlusNormal"/>
        <w:spacing w:before="220"/>
        <w:ind w:firstLine="540"/>
        <w:jc w:val="both"/>
      </w:pPr>
      <w: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14:paraId="3E4D2673" w14:textId="77777777" w:rsidR="00833520" w:rsidRDefault="00833520" w:rsidP="00833520">
      <w:pPr>
        <w:pStyle w:val="ConsPlusNormal"/>
        <w:spacing w:before="220"/>
        <w:ind w:firstLine="540"/>
        <w:jc w:val="both"/>
      </w:pPr>
      <w: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14:paraId="30C8E4F7" w14:textId="77777777" w:rsidR="00833520" w:rsidRDefault="00833520" w:rsidP="00833520">
      <w:pPr>
        <w:pStyle w:val="ConsPlusNormal"/>
        <w:spacing w:before="220"/>
        <w:ind w:firstLine="540"/>
        <w:jc w:val="both"/>
      </w:pPr>
      <w:r>
        <w:t>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средств из бюджета автономного округа. 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14:paraId="2604B3BF" w14:textId="77777777" w:rsidR="00833520" w:rsidRDefault="00833520" w:rsidP="00833520">
      <w:pPr>
        <w:pStyle w:val="ConsPlusNormal"/>
        <w:spacing w:before="220"/>
        <w:ind w:firstLine="540"/>
        <w:jc w:val="both"/>
      </w:pPr>
      <w:r>
        <w:t>В целях реализации настоящего подпункта применяются следующие понятия:</w:t>
      </w:r>
    </w:p>
    <w:p w14:paraId="1D705BF6" w14:textId="77777777" w:rsidR="00833520" w:rsidRDefault="00833520" w:rsidP="00833520">
      <w:pPr>
        <w:pStyle w:val="ConsPlusNormal"/>
        <w:spacing w:before="220"/>
        <w:ind w:firstLine="540"/>
        <w:jc w:val="both"/>
      </w:pPr>
      <w: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14:paraId="7A84C155" w14:textId="77777777" w:rsidR="00833520" w:rsidRDefault="00833520" w:rsidP="00833520">
      <w:pPr>
        <w:pStyle w:val="ConsPlusNormal"/>
        <w:spacing w:before="220"/>
        <w:ind w:firstLine="540"/>
        <w:jc w:val="both"/>
      </w:pPr>
      <w:r>
        <w:t>общая полезная площадь - не менее 600 метров квадратных;</w:t>
      </w:r>
    </w:p>
    <w:p w14:paraId="51F9D955" w14:textId="77777777" w:rsidR="00833520" w:rsidRDefault="00833520" w:rsidP="00833520">
      <w:pPr>
        <w:pStyle w:val="ConsPlusNormal"/>
        <w:spacing w:before="220"/>
        <w:ind w:firstLine="540"/>
        <w:jc w:val="both"/>
      </w:pPr>
      <w: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14:paraId="79136AAA" w14:textId="77777777" w:rsidR="00833520" w:rsidRDefault="00833520" w:rsidP="00833520">
      <w:pPr>
        <w:pStyle w:val="ConsPlusNormal"/>
        <w:spacing w:before="220"/>
        <w:ind w:firstLine="540"/>
        <w:jc w:val="both"/>
      </w:pPr>
      <w: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14:paraId="78F00553" w14:textId="77777777" w:rsidR="00833520" w:rsidRDefault="00833520" w:rsidP="00833520">
      <w:pPr>
        <w:pStyle w:val="ConsPlusNormal"/>
        <w:spacing w:before="220"/>
        <w:ind w:firstLine="540"/>
        <w:jc w:val="both"/>
      </w:pPr>
      <w: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14:paraId="2B092DE0" w14:textId="77777777" w:rsidR="00833520" w:rsidRDefault="00833520" w:rsidP="00833520">
      <w:pPr>
        <w:pStyle w:val="ConsPlusNormal"/>
        <w:spacing w:before="220"/>
        <w:ind w:firstLine="540"/>
        <w:jc w:val="both"/>
      </w:pPr>
      <w: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14:paraId="1A31B36F" w14:textId="77777777" w:rsidR="00833520" w:rsidRDefault="00833520" w:rsidP="00833520">
      <w:pPr>
        <w:pStyle w:val="ConsPlusNormal"/>
        <w:spacing w:before="220"/>
        <w:ind w:firstLine="540"/>
        <w:jc w:val="both"/>
      </w:pPr>
      <w:r>
        <w:t>общая полезная площадь - не менее 150 метров квадратных (за исключением объектов первичной переработки (убойных пунктов));</w:t>
      </w:r>
    </w:p>
    <w:p w14:paraId="7FBD609E" w14:textId="77777777" w:rsidR="00833520" w:rsidRDefault="00833520" w:rsidP="00833520">
      <w:pPr>
        <w:pStyle w:val="ConsPlusNormal"/>
        <w:spacing w:before="220"/>
        <w:ind w:firstLine="540"/>
        <w:jc w:val="both"/>
      </w:pPr>
      <w:r>
        <w:t>наличие действующего подключения к электроснабжению, водоснабжению, системе канализации или утилизации отходов;</w:t>
      </w:r>
    </w:p>
    <w:p w14:paraId="1F308F8D" w14:textId="77777777" w:rsidR="00833520" w:rsidRDefault="00833520" w:rsidP="00833520">
      <w:pPr>
        <w:pStyle w:val="ConsPlusNormal"/>
        <w:spacing w:before="22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14:paraId="24FFDB55" w14:textId="77777777" w:rsidR="00833520" w:rsidRDefault="00833520" w:rsidP="00833520">
      <w:pPr>
        <w:pStyle w:val="ConsPlusNormal"/>
        <w:spacing w:before="220"/>
        <w:ind w:firstLine="540"/>
        <w:jc w:val="both"/>
      </w:pPr>
      <w: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68E0DD2" w14:textId="77777777" w:rsidR="00833520" w:rsidRDefault="00833520" w:rsidP="00833520">
      <w:pPr>
        <w:pStyle w:val="ConsPlusNormal"/>
        <w:spacing w:before="220"/>
        <w:ind w:firstLine="540"/>
        <w:jc w:val="both"/>
      </w:pPr>
      <w: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14:paraId="12B4DEC6" w14:textId="77777777" w:rsidR="00833520" w:rsidRDefault="00833520" w:rsidP="00833520">
      <w:pPr>
        <w:pStyle w:val="ConsPlusNormal"/>
        <w:spacing w:before="220"/>
        <w:ind w:firstLine="540"/>
        <w:jc w:val="both"/>
      </w:pPr>
      <w:r>
        <w:t>10.5. Субсидии на поддержку и развитие деятельности по заготовке и переработке дикоросов.</w:t>
      </w:r>
    </w:p>
    <w:p w14:paraId="3FD30F39" w14:textId="77777777" w:rsidR="00833520" w:rsidRDefault="00833520" w:rsidP="00833520">
      <w:pPr>
        <w:pStyle w:val="ConsPlusNormal"/>
        <w:spacing w:before="220"/>
        <w:ind w:firstLine="540"/>
        <w:jc w:val="both"/>
      </w:pPr>
      <w: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14:paraId="1EFBC784" w14:textId="77777777" w:rsidR="00833520" w:rsidRDefault="00833520" w:rsidP="00833520">
      <w:pPr>
        <w:pStyle w:val="ConsPlusNormal"/>
        <w:spacing w:before="220"/>
        <w:ind w:firstLine="540"/>
        <w:jc w:val="both"/>
      </w:pPr>
      <w:r>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14:paraId="3C21C335" w14:textId="77777777" w:rsidR="00833520" w:rsidRDefault="00833520" w:rsidP="00833520">
      <w:pPr>
        <w:pStyle w:val="ConsPlusNormal"/>
        <w:spacing w:before="220"/>
        <w:ind w:firstLine="540"/>
        <w:jc w:val="both"/>
      </w:pPr>
      <w:r>
        <w:t>Субсидия предоставляется с целью возмещения затрат при осуществлении следующих видов деятельности:</w:t>
      </w:r>
    </w:p>
    <w:p w14:paraId="764AA131" w14:textId="77777777" w:rsidR="00833520" w:rsidRDefault="00833520" w:rsidP="00833520">
      <w:pPr>
        <w:pStyle w:val="ConsPlusNormal"/>
        <w:spacing w:before="220"/>
        <w:ind w:firstLine="540"/>
        <w:jc w:val="both"/>
      </w:pPr>
      <w:bookmarkStart w:id="4" w:name="P2806"/>
      <w:bookmarkEnd w:id="4"/>
      <w:r>
        <w:t>реализация продукции дикоросов собственной заготовки;</w:t>
      </w:r>
    </w:p>
    <w:p w14:paraId="2816C5F2" w14:textId="77777777" w:rsidR="00833520" w:rsidRDefault="00833520" w:rsidP="00833520">
      <w:pPr>
        <w:pStyle w:val="ConsPlusNormal"/>
        <w:spacing w:before="220"/>
        <w:ind w:firstLine="540"/>
        <w:jc w:val="both"/>
      </w:pPr>
      <w:r>
        <w:t>реализация продукции глубокой переработки дикоросов собственного производства из сырья, заготовленного на территории автономного округа;</w:t>
      </w:r>
    </w:p>
    <w:p w14:paraId="0CB4932F" w14:textId="77777777" w:rsidR="00833520" w:rsidRDefault="00833520" w:rsidP="00833520">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Деппромышленности и размещенного на его официальном сайте;</w:t>
      </w:r>
    </w:p>
    <w:p w14:paraId="067F2362" w14:textId="77777777" w:rsidR="00833520" w:rsidRDefault="00833520" w:rsidP="00833520">
      <w:pPr>
        <w:pStyle w:val="ConsPlusNormal"/>
        <w:spacing w:before="220"/>
        <w:ind w:firstLine="540"/>
        <w:jc w:val="both"/>
      </w:pPr>
      <w:r>
        <w:t>организация презентаций продукции из дикоросов, участие в выставках, ярмарках, форумах.</w:t>
      </w:r>
    </w:p>
    <w:p w14:paraId="567D07A5" w14:textId="77777777" w:rsidR="00833520" w:rsidRDefault="00833520" w:rsidP="00833520">
      <w:pPr>
        <w:pStyle w:val="ConsPlusNormal"/>
        <w:spacing w:before="220"/>
        <w:ind w:firstLine="540"/>
        <w:jc w:val="both"/>
      </w:pPr>
      <w:r>
        <w:t>Субсидия предоставляется на:</w:t>
      </w:r>
    </w:p>
    <w:p w14:paraId="159B22C1" w14:textId="77777777" w:rsidR="00833520" w:rsidRDefault="00833520" w:rsidP="00833520">
      <w:pPr>
        <w:pStyle w:val="ConsPlusNormal"/>
        <w:spacing w:before="220"/>
        <w:ind w:firstLine="540"/>
        <w:jc w:val="both"/>
      </w:pPr>
      <w:r>
        <w:t>приобретение специализированной техники и оборудования для хранения, переработки дикоросов 1 раз в течение одного финансового года;</w:t>
      </w:r>
    </w:p>
    <w:p w14:paraId="7B910978" w14:textId="77777777" w:rsidR="00833520" w:rsidRDefault="00833520" w:rsidP="00833520">
      <w:pPr>
        <w:pStyle w:val="ConsPlusNormal"/>
        <w:spacing w:before="220"/>
        <w:ind w:firstLine="540"/>
        <w:jc w:val="both"/>
      </w:pPr>
      <w:r>
        <w:t>приобретение специализированной техники для транспортировки дикоросов 1 раз в 10 лет;</w:t>
      </w:r>
    </w:p>
    <w:p w14:paraId="06254C1D" w14:textId="77777777" w:rsidR="00833520" w:rsidRDefault="00833520" w:rsidP="00833520">
      <w:pPr>
        <w:pStyle w:val="ConsPlusNormal"/>
        <w:spacing w:before="220"/>
        <w:ind w:firstLine="540"/>
        <w:jc w:val="both"/>
      </w:pPr>
      <w:r>
        <w:t xml:space="preserve">реализацию продукции дикоросов собственной заготовки, указанной в </w:t>
      </w:r>
      <w:hyperlink w:anchor="P4582" w:history="1">
        <w:r>
          <w:rPr>
            <w:color w:val="0000FF"/>
          </w:rPr>
          <w:t>пунктах 1</w:t>
        </w:r>
      </w:hyperlink>
      <w:r>
        <w:t xml:space="preserve">, </w:t>
      </w:r>
      <w:hyperlink w:anchor="P4586" w:history="1">
        <w:r>
          <w:rPr>
            <w:color w:val="0000FF"/>
          </w:rPr>
          <w:t>2</w:t>
        </w:r>
      </w:hyperlink>
      <w:r>
        <w:t xml:space="preserve">, </w:t>
      </w:r>
      <w:hyperlink w:anchor="P4590" w:history="1">
        <w:r>
          <w:rPr>
            <w:color w:val="0000FF"/>
          </w:rPr>
          <w:t>3 раздела</w:t>
        </w:r>
      </w:hyperlink>
      <w:r>
        <w:t xml:space="preserve"> "Дикоросы" приложении 25 к настоящему Постановлению;</w:t>
      </w:r>
    </w:p>
    <w:p w14:paraId="5FE5B067" w14:textId="77777777" w:rsidR="00833520" w:rsidRDefault="00833520" w:rsidP="00833520">
      <w:pPr>
        <w:pStyle w:val="ConsPlusNormal"/>
        <w:spacing w:before="220"/>
        <w:ind w:firstLine="540"/>
        <w:jc w:val="both"/>
      </w:pPr>
      <w:r>
        <w:t xml:space="preserve">реализацию продукции глубокой переработки дикоросов собственного производства, указанной в </w:t>
      </w:r>
      <w:hyperlink w:anchor="P4594" w:history="1">
        <w:r>
          <w:rPr>
            <w:color w:val="0000FF"/>
          </w:rPr>
          <w:t>пунктах 4</w:t>
        </w:r>
      </w:hyperlink>
      <w:r>
        <w:t xml:space="preserve"> - </w:t>
      </w:r>
      <w:hyperlink w:anchor="P4604" w:history="1">
        <w:r>
          <w:rPr>
            <w:color w:val="0000FF"/>
          </w:rPr>
          <w:t>6 раздела</w:t>
        </w:r>
      </w:hyperlink>
      <w:r>
        <w:t xml:space="preserve"> "Дикоросы" приложении 25 к настоящему Постановлению;</w:t>
      </w:r>
    </w:p>
    <w:p w14:paraId="09AD3E48" w14:textId="77777777" w:rsidR="00833520" w:rsidRDefault="00833520" w:rsidP="00833520">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14:paraId="563B01FC" w14:textId="77777777" w:rsidR="00833520" w:rsidRDefault="00833520" w:rsidP="00833520">
      <w:pPr>
        <w:pStyle w:val="ConsPlusNormal"/>
        <w:spacing w:before="220"/>
        <w:ind w:firstLine="540"/>
        <w:jc w:val="both"/>
      </w:pPr>
      <w: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14:paraId="30C7F25F" w14:textId="77777777" w:rsidR="00833520" w:rsidRDefault="00833520" w:rsidP="00833520">
      <w:pPr>
        <w:pStyle w:val="ConsPlusNormal"/>
        <w:spacing w:before="220"/>
        <w:ind w:firstLine="540"/>
        <w:jc w:val="both"/>
      </w:pPr>
      <w:r>
        <w:t>К получателям средств из бюджета автономного округа,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14:paraId="01A9E77B" w14:textId="77777777" w:rsidR="00833520" w:rsidRDefault="00833520" w:rsidP="00833520">
      <w:pPr>
        <w:pStyle w:val="ConsPlusNormal"/>
        <w:spacing w:before="220"/>
        <w:ind w:firstLine="540"/>
        <w:jc w:val="both"/>
      </w:pPr>
      <w:r>
        <w:t>К получателям средств из бюджета автономного округа,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14:paraId="6E21F94D" w14:textId="77777777" w:rsidR="00833520" w:rsidRDefault="00833520" w:rsidP="00833520">
      <w:pPr>
        <w:pStyle w:val="ConsPlusNormal"/>
        <w:spacing w:before="220"/>
        <w:ind w:firstLine="540"/>
        <w:jc w:val="both"/>
      </w:pPr>
      <w:r>
        <w:t xml:space="preserve">11. Субсидии, указанные в </w:t>
      </w:r>
      <w:hyperlink w:anchor="P2749" w:history="1">
        <w:r>
          <w:rPr>
            <w:color w:val="0000FF"/>
          </w:rPr>
          <w:t>пункте 10</w:t>
        </w:r>
      </w:hyperlink>
      <w:r>
        <w:t xml:space="preserve"> Порядка, предоставляются в соответствии со следующими требованиями:</w:t>
      </w:r>
    </w:p>
    <w:p w14:paraId="2865F1D7" w14:textId="77777777" w:rsidR="00833520" w:rsidRDefault="00833520" w:rsidP="00833520">
      <w:pPr>
        <w:pStyle w:val="ConsPlusNormal"/>
        <w:spacing w:before="220"/>
        <w:ind w:firstLine="540"/>
        <w:jc w:val="both"/>
      </w:pPr>
      <w:r>
        <w:t xml:space="preserve">11.1. Продукция животноводства (птицеводства) оформлена в соответствии с </w:t>
      </w:r>
      <w:hyperlink r:id="rId13" w:history="1">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14:paraId="69FB95A7" w14:textId="77777777" w:rsidR="00833520" w:rsidRDefault="00833520" w:rsidP="00833520">
      <w:pPr>
        <w:pStyle w:val="ConsPlusNormal"/>
        <w:jc w:val="both"/>
      </w:pPr>
      <w:r>
        <w:t xml:space="preserve">(в ред. </w:t>
      </w:r>
      <w:hyperlink r:id="rId14" w:history="1">
        <w:r>
          <w:rPr>
            <w:color w:val="0000FF"/>
          </w:rPr>
          <w:t>постановления</w:t>
        </w:r>
      </w:hyperlink>
      <w:r>
        <w:t xml:space="preserve"> Правительства ХМАО - Югры от 08.04.2022 N 135-п)</w:t>
      </w:r>
    </w:p>
    <w:p w14:paraId="73A90B9F" w14:textId="77777777" w:rsidR="00833520" w:rsidRDefault="00833520" w:rsidP="00833520">
      <w:pPr>
        <w:pStyle w:val="ConsPlusNormal"/>
        <w:spacing w:before="220"/>
        <w:ind w:firstLine="540"/>
        <w:jc w:val="both"/>
      </w:pPr>
      <w:r>
        <w:t xml:space="preserve">11.2. Произведенная пищевая рыбная продукция, направленная на реализацию, оформлена в соответствии с </w:t>
      </w:r>
      <w:hyperlink r:id="rId15" w:history="1">
        <w:r>
          <w:rPr>
            <w:color w:val="0000FF"/>
          </w:rPr>
          <w:t>Приказом</w:t>
        </w:r>
      </w:hyperlink>
      <w:r>
        <w:t xml:space="preserve"> N 589,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14:paraId="372FB871" w14:textId="77777777" w:rsidR="00833520" w:rsidRDefault="00833520" w:rsidP="00833520">
      <w:pPr>
        <w:pStyle w:val="ConsPlusNormal"/>
        <w:jc w:val="both"/>
      </w:pPr>
      <w:r>
        <w:t xml:space="preserve">(в ред. </w:t>
      </w:r>
      <w:hyperlink r:id="rId16" w:history="1">
        <w:r>
          <w:rPr>
            <w:color w:val="0000FF"/>
          </w:rPr>
          <w:t>постановления</w:t>
        </w:r>
      </w:hyperlink>
      <w:r>
        <w:t xml:space="preserve"> Правительства ХМАО - Югры от 08.04.2022 N 135-п)</w:t>
      </w:r>
    </w:p>
    <w:p w14:paraId="3CC38D42" w14:textId="77777777" w:rsidR="00833520" w:rsidRDefault="00833520" w:rsidP="00833520">
      <w:pPr>
        <w:pStyle w:val="ConsPlusNormal"/>
        <w:spacing w:before="220"/>
        <w:ind w:firstLine="540"/>
        <w:jc w:val="both"/>
      </w:pPr>
      <w:r>
        <w:t>11.3. Продукция растениеводства и глубокой переработки дикоросов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14:paraId="350EFE62" w14:textId="77777777" w:rsidR="00833520" w:rsidRDefault="00833520" w:rsidP="00833520">
      <w:pPr>
        <w:pStyle w:val="ConsPlusNormal"/>
        <w:spacing w:before="220"/>
        <w:ind w:firstLine="540"/>
        <w:jc w:val="both"/>
      </w:pPr>
      <w:r>
        <w:t xml:space="preserve">12. Субсидии, указанные в </w:t>
      </w:r>
      <w:hyperlink w:anchor="P2749" w:history="1">
        <w:r>
          <w:rPr>
            <w:color w:val="0000FF"/>
          </w:rPr>
          <w:t>пункте 10</w:t>
        </w:r>
      </w:hyperlink>
      <w:r>
        <w:t xml:space="preserve"> Порядка, не предоставляются:</w:t>
      </w:r>
    </w:p>
    <w:p w14:paraId="1B41D48A" w14:textId="77777777" w:rsidR="00833520" w:rsidRDefault="00833520" w:rsidP="00833520">
      <w:pPr>
        <w:pStyle w:val="ConsPlusNormal"/>
        <w:spacing w:before="220"/>
        <w:ind w:firstLine="540"/>
        <w:jc w:val="both"/>
      </w:pPr>
      <w:r>
        <w:t>на сельскохозяйственную (рыбную) продукцию, произведенную и (или) переработанную за пределами автономного округа;</w:t>
      </w:r>
    </w:p>
    <w:p w14:paraId="47836AEE" w14:textId="77777777" w:rsidR="00833520" w:rsidRDefault="00833520" w:rsidP="00833520">
      <w:pPr>
        <w:pStyle w:val="ConsPlusNormal"/>
        <w:spacing w:before="220"/>
        <w:ind w:firstLine="540"/>
        <w:jc w:val="both"/>
      </w:pPr>
      <w:r>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14:paraId="17A9FA2A" w14:textId="77777777" w:rsidR="00833520" w:rsidRDefault="00833520" w:rsidP="00833520">
      <w:pPr>
        <w:pStyle w:val="ConsPlusNormal"/>
        <w:spacing w:before="220"/>
        <w:ind w:firstLine="540"/>
        <w:jc w:val="both"/>
      </w:pPr>
      <w:r>
        <w:t>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14:paraId="6EEEDE98" w14:textId="77777777" w:rsidR="00833520" w:rsidRDefault="00833520" w:rsidP="00833520">
      <w:pPr>
        <w:pStyle w:val="ConsPlusNormal"/>
        <w:spacing w:before="220"/>
        <w:ind w:firstLine="540"/>
        <w:jc w:val="both"/>
      </w:pPr>
      <w:r>
        <w:t>на нестандартную рыбу, мелочь рыбы III группы, рыбную продукцию, не прошедшую сертификацию (декларирование);</w:t>
      </w:r>
    </w:p>
    <w:p w14:paraId="5CDE560B" w14:textId="77777777" w:rsidR="00833520" w:rsidRDefault="00833520" w:rsidP="00833520">
      <w:pPr>
        <w:pStyle w:val="ConsPlusNormal"/>
        <w:spacing w:before="220"/>
        <w:ind w:firstLine="540"/>
        <w:jc w:val="both"/>
      </w:pPr>
      <w:r>
        <w:t>на рыбопродукцию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14:paraId="5897C254" w14:textId="77777777" w:rsidR="00833520" w:rsidRDefault="00833520" w:rsidP="00833520">
      <w:pPr>
        <w:pStyle w:val="ConsPlusNormal"/>
        <w:spacing w:before="220"/>
        <w:ind w:firstLine="540"/>
        <w:jc w:val="both"/>
      </w:pPr>
      <w:r>
        <w:t>при наполняемости имеющихся животноводческих помещений 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(норма применяется в отношении капитального строительства сельскохозяйственных объектов);</w:t>
      </w:r>
    </w:p>
    <w:p w14:paraId="510704A7" w14:textId="77777777" w:rsidR="00833520" w:rsidRDefault="00833520" w:rsidP="00833520">
      <w:pPr>
        <w:pStyle w:val="ConsPlusNormal"/>
        <w:jc w:val="both"/>
      </w:pPr>
      <w:r>
        <w:t xml:space="preserve">(в ред. </w:t>
      </w:r>
      <w:hyperlink r:id="rId17" w:history="1">
        <w:r>
          <w:rPr>
            <w:color w:val="0000FF"/>
          </w:rPr>
          <w:t>постановления</w:t>
        </w:r>
      </w:hyperlink>
      <w:r>
        <w:t xml:space="preserve"> Правительства ХМАО - Югры от 08.04.2022 N 135-п)</w:t>
      </w:r>
    </w:p>
    <w:p w14:paraId="154A6957" w14:textId="77777777" w:rsidR="00833520" w:rsidRDefault="00833520" w:rsidP="00833520">
      <w:pPr>
        <w:pStyle w:val="ConsPlusNormal"/>
        <w:spacing w:before="220"/>
        <w:ind w:firstLine="540"/>
        <w:jc w:val="both"/>
      </w:pPr>
      <w:r>
        <w:t>в случае если год изготовления приобретенных получателем средств из бюджета автономного округа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14:paraId="62B7ECF2" w14:textId="77777777" w:rsidR="00833520" w:rsidRDefault="00833520" w:rsidP="00833520">
      <w:pPr>
        <w:pStyle w:val="ConsPlusNormal"/>
        <w:spacing w:before="220"/>
        <w:ind w:firstLine="540"/>
        <w:jc w:val="both"/>
      </w:pPr>
      <w:r>
        <w:t>при отсутствии государственной регистрации построенных получателем 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14:paraId="4509DE8C" w14:textId="77777777" w:rsidR="00833520" w:rsidRDefault="00833520" w:rsidP="00833520">
      <w:pPr>
        <w:pStyle w:val="ConsPlusNormal"/>
        <w:spacing w:before="220"/>
        <w:ind w:firstLine="540"/>
        <w:jc w:val="both"/>
      </w:pPr>
      <w:r>
        <w:t>на продукцию дикоросов, заготовленную за пределами автономного округа;</w:t>
      </w:r>
    </w:p>
    <w:p w14:paraId="26AB8A83" w14:textId="77777777" w:rsidR="00833520" w:rsidRDefault="00833520" w:rsidP="00833520">
      <w:pPr>
        <w:pStyle w:val="ConsPlusNormal"/>
        <w:spacing w:before="220"/>
        <w:ind w:firstLine="540"/>
        <w:jc w:val="both"/>
      </w:pPr>
      <w: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14:paraId="1DED7B6A" w14:textId="77777777" w:rsidR="00833520" w:rsidRDefault="00833520" w:rsidP="00833520">
      <w:pPr>
        <w:pStyle w:val="ConsPlusNormal"/>
        <w:spacing w:before="220"/>
        <w:ind w:firstLine="540"/>
        <w:jc w:val="both"/>
      </w:pPr>
      <w:r>
        <w:t xml:space="preserve">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2806" w:history="1">
        <w:r>
          <w:rPr>
            <w:color w:val="0000FF"/>
          </w:rPr>
          <w:t>абзацем пятым подпункта 10.5 пункта 10</w:t>
        </w:r>
      </w:hyperlink>
      <w:r>
        <w:t xml:space="preserve"> Порядка;</w:t>
      </w:r>
    </w:p>
    <w:p w14:paraId="3AA45159" w14:textId="77777777" w:rsidR="00833520" w:rsidRDefault="00833520" w:rsidP="00833520">
      <w:pPr>
        <w:pStyle w:val="ConsPlusNormal"/>
        <w:spacing w:before="220"/>
        <w:ind w:firstLine="540"/>
        <w:jc w:val="both"/>
      </w:pPr>
      <w: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2781" w:history="1">
        <w:r>
          <w:rPr>
            <w:color w:val="0000FF"/>
          </w:rPr>
          <w:t>абзацем третьим подпункта 10.4 пункта 10</w:t>
        </w:r>
      </w:hyperlink>
      <w:r>
        <w:t xml:space="preserve"> Порядка.</w:t>
      </w:r>
    </w:p>
    <w:p w14:paraId="4CD193E1" w14:textId="77777777" w:rsidR="00833520" w:rsidRDefault="00833520" w:rsidP="00833520">
      <w:pPr>
        <w:pStyle w:val="ConsPlusNormal"/>
        <w:spacing w:before="220"/>
        <w:ind w:firstLine="540"/>
        <w:jc w:val="both"/>
      </w:pPr>
      <w:r>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w:t>
      </w:r>
      <w:hyperlink w:anchor="P2760" w:history="1">
        <w:r>
          <w:rPr>
            <w:color w:val="0000FF"/>
          </w:rPr>
          <w:t>подпунктом 10.2 пункта 10</w:t>
        </w:r>
      </w:hyperlink>
      <w:r>
        <w:t xml:space="preserve">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14:paraId="1F2302B2" w14:textId="77777777" w:rsidR="00833520" w:rsidRDefault="00833520" w:rsidP="00833520">
      <w:pPr>
        <w:pStyle w:val="ConsPlusNormal"/>
        <w:jc w:val="both"/>
      </w:pPr>
      <w:r>
        <w:t xml:space="preserve">(абзац введен </w:t>
      </w:r>
      <w:hyperlink r:id="rId18" w:history="1">
        <w:r>
          <w:rPr>
            <w:color w:val="0000FF"/>
          </w:rPr>
          <w:t>постановлением</w:t>
        </w:r>
      </w:hyperlink>
      <w:r>
        <w:t xml:space="preserve"> Правительства ХМАО - Югры от 08.04.2022 N 135-п)</w:t>
      </w:r>
    </w:p>
    <w:p w14:paraId="1D2B25FB" w14:textId="77777777" w:rsidR="00833520" w:rsidRDefault="00833520" w:rsidP="00833520">
      <w:pPr>
        <w:pStyle w:val="ConsPlusNormal"/>
      </w:pPr>
    </w:p>
    <w:p w14:paraId="1B5CD452" w14:textId="77777777" w:rsidR="00833520" w:rsidRDefault="00833520"/>
    <w:sectPr w:rsidR="00833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20"/>
    <w:rsid w:val="0083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1A9B"/>
  <w15:chartTrackingRefBased/>
  <w15:docId w15:val="{A9D73F85-3084-4B31-94AF-3D05F36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52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3B1DAD3A5A924E2FC0F650DB2DFB698C240F11BD96CEA0863A6CA4501E2C755F7FCA1B25E75E99821A9CF29RChAG" TargetMode="External"/><Relationship Id="rId13" Type="http://schemas.openxmlformats.org/officeDocument/2006/relationships/hyperlink" Target="consultantplus://offline/ref=3B23B1DAD3A5A924E2FC0F650DB2DFB69FC647FF17D06CEA0863A6CA4501E2C755F7FCA1B25E75E99821A9CF29RChAG" TargetMode="External"/><Relationship Id="rId18" Type="http://schemas.openxmlformats.org/officeDocument/2006/relationships/hyperlink" Target="consultantplus://offline/ref=3B23B1DAD3A5A924E2FC11681BDE88B99AC81AF51CDD65B55235A09D1A51E49207B7A2F8F31266E89C3FABC92BC3489E47054CAC5487514E9A774BADR2h7G" TargetMode="External"/><Relationship Id="rId3" Type="http://schemas.openxmlformats.org/officeDocument/2006/relationships/webSettings" Target="webSettings.xml"/><Relationship Id="rId7" Type="http://schemas.openxmlformats.org/officeDocument/2006/relationships/hyperlink" Target="consultantplus://offline/ref=3B23B1DAD3A5A924E2FC11681BDE88B99AC81AF51CD96FBB5534A09D1A51E49207B7A2F8E1123EE49E37B5CF2FD61ECF01R5h2G" TargetMode="External"/><Relationship Id="rId12" Type="http://schemas.openxmlformats.org/officeDocument/2006/relationships/hyperlink" Target="consultantplus://offline/ref=3B23B1DAD3A5A924E2FC0F650DB2DFB698C240F818DF6CEA0863A6CA4501E2C755F7FCA1B25E75E99821A9CF29RChAG" TargetMode="External"/><Relationship Id="rId17" Type="http://schemas.openxmlformats.org/officeDocument/2006/relationships/hyperlink" Target="consultantplus://offline/ref=3B23B1DAD3A5A924E2FC11681BDE88B99AC81AF51CDD65B55235A09D1A51E49207B7A2F8F31266E89C3FABCA22C3489E47054CAC5487514E9A774BADR2h7G" TargetMode="External"/><Relationship Id="rId2" Type="http://schemas.openxmlformats.org/officeDocument/2006/relationships/settings" Target="settings.xml"/><Relationship Id="rId16" Type="http://schemas.openxmlformats.org/officeDocument/2006/relationships/hyperlink" Target="consultantplus://offline/ref=3B23B1DAD3A5A924E2FC11681BDE88B99AC81AF51CDD65B55235A09D1A51E49207B7A2F8F31266E89C3FABCA2CC3489E47054CAC5487514E9A774BADR2h7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B23B1DAD3A5A924E2FC11681BDE88B99AC81AF51CDD67BD523EA09D1A51E49207B7A2F8F31266E89C3FABCE29C3489E47054CAC5487514E9A774BADR2h7G" TargetMode="External"/><Relationship Id="rId11" Type="http://schemas.openxmlformats.org/officeDocument/2006/relationships/hyperlink" Target="consultantplus://offline/ref=3B23B1DAD3A5A924E2FC11681BDE88B99AC81AF51CDD65B55235A09D1A51E49207B7A2F8F31266E89C3FABCA2DC3489E47054CAC5487514E9A774BADR2h7G" TargetMode="External"/><Relationship Id="rId5" Type="http://schemas.openxmlformats.org/officeDocument/2006/relationships/hyperlink" Target="consultantplus://offline/ref=3B23B1DAD3A5A924E2FC11681BDE88B99AC81AF51CD96FBB5534A09D1A51E49207B7A2F8E1123EE49E37B5CF2FD61ECF01R5h2G" TargetMode="External"/><Relationship Id="rId15" Type="http://schemas.openxmlformats.org/officeDocument/2006/relationships/hyperlink" Target="consultantplus://offline/ref=3B23B1DAD3A5A924E2FC0F650DB2DFB69FC647FF17D06CEA0863A6CA4501E2C755F7FCA1B25E75E99821A9CF29RChAG" TargetMode="External"/><Relationship Id="rId10" Type="http://schemas.openxmlformats.org/officeDocument/2006/relationships/hyperlink" Target="consultantplus://offline/ref=3B23B1DAD3A5A924E2FC0F650DB2DFB69EC340FD19D16CEA0863A6CA4501E2C755F7FCA1B25E75E99821A9CF29RChAG" TargetMode="External"/><Relationship Id="rId19" Type="http://schemas.openxmlformats.org/officeDocument/2006/relationships/fontTable" Target="fontTable.xml"/><Relationship Id="rId4" Type="http://schemas.openxmlformats.org/officeDocument/2006/relationships/hyperlink" Target="consultantplus://offline/ref=3B23B1DAD3A5A924E2FC11681BDE88B99AC81AF51CDD65B55235A09D1A51E49207B7A2F8F31266E89C3FABCA2EC3489E47054CAC5487514E9A774BADR2h7G" TargetMode="External"/><Relationship Id="rId9" Type="http://schemas.openxmlformats.org/officeDocument/2006/relationships/hyperlink" Target="consultantplus://offline/ref=3B23B1DAD3A5A924E2FC0F650DB2DFB69EC340FD19D16CEA0863A6CA4501E2C755F7FCA1B25E75E99821A9CF29RChAG" TargetMode="External"/><Relationship Id="rId14" Type="http://schemas.openxmlformats.org/officeDocument/2006/relationships/hyperlink" Target="consultantplus://offline/ref=3B23B1DAD3A5A924E2FC11681BDE88B99AC81AF51CDD65B55235A09D1A51E49207B7A2F8F31266E89C3FABCA2CC3489E47054CAC5487514E9A774BADR2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4524</Words>
  <Characters>25793</Characters>
  <Application>Microsoft Office Word</Application>
  <DocSecurity>0</DocSecurity>
  <Lines>214</Lines>
  <Paragraphs>60</Paragraphs>
  <ScaleCrop>false</ScaleCrop>
  <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Киньзябузова</dc:creator>
  <cp:keywords/>
  <dc:description/>
  <cp:lastModifiedBy>Ольга Киньзябузова</cp:lastModifiedBy>
  <cp:revision>1</cp:revision>
  <dcterms:created xsi:type="dcterms:W3CDTF">2022-05-24T11:02:00Z</dcterms:created>
  <dcterms:modified xsi:type="dcterms:W3CDTF">2022-05-24T11:02:00Z</dcterms:modified>
</cp:coreProperties>
</file>