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C4" w:rsidRDefault="002832C4" w:rsidP="002832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C4" w:rsidRPr="00814AD3" w:rsidRDefault="002832C4" w:rsidP="002832C4">
      <w:pPr>
        <w:jc w:val="center"/>
        <w:rPr>
          <w:b/>
          <w:sz w:val="20"/>
          <w:szCs w:val="20"/>
        </w:rPr>
      </w:pPr>
    </w:p>
    <w:p w:rsidR="002832C4" w:rsidRDefault="002832C4" w:rsidP="002832C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>
        <w:rPr>
          <w:b/>
          <w:sz w:val="42"/>
          <w:szCs w:val="42"/>
        </w:rPr>
        <w:t xml:space="preserve"> </w:t>
      </w:r>
      <w:r w:rsidRPr="0016353E">
        <w:rPr>
          <w:b/>
          <w:sz w:val="42"/>
          <w:szCs w:val="42"/>
        </w:rPr>
        <w:t xml:space="preserve"> </w:t>
      </w:r>
    </w:p>
    <w:p w:rsidR="002832C4" w:rsidRPr="0016353E" w:rsidRDefault="002832C4" w:rsidP="002832C4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2832C4" w:rsidRPr="001A76B8" w:rsidRDefault="002832C4" w:rsidP="002832C4">
      <w:pPr>
        <w:jc w:val="center"/>
        <w:rPr>
          <w:b/>
          <w:sz w:val="32"/>
        </w:rPr>
      </w:pPr>
    </w:p>
    <w:p w:rsidR="002832C4" w:rsidRPr="00050212" w:rsidRDefault="002832C4" w:rsidP="002832C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2832C4" w:rsidRPr="009A0CCA" w:rsidRDefault="002832C4" w:rsidP="002832C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32C4" w:rsidRPr="009A0CCA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832C4" w:rsidRPr="007263EB" w:rsidRDefault="002832C4" w:rsidP="002832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.02.2017</w:t>
            </w:r>
          </w:p>
        </w:tc>
        <w:tc>
          <w:tcPr>
            <w:tcW w:w="6595" w:type="dxa"/>
            <w:vMerge w:val="restart"/>
          </w:tcPr>
          <w:p w:rsidR="002832C4" w:rsidRPr="00E562D9" w:rsidRDefault="002832C4" w:rsidP="002832C4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9-пг-нпа</w:t>
            </w:r>
          </w:p>
        </w:tc>
      </w:tr>
      <w:tr w:rsidR="002832C4" w:rsidRPr="009A0CCA" w:rsidTr="001675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832C4" w:rsidRPr="009A0CCA" w:rsidRDefault="002832C4" w:rsidP="00167591">
            <w:pPr>
              <w:rPr>
                <w:sz w:val="4"/>
              </w:rPr>
            </w:pPr>
          </w:p>
          <w:p w:rsidR="002832C4" w:rsidRPr="009A0CCA" w:rsidRDefault="002832C4" w:rsidP="001675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832C4" w:rsidRPr="009A0CCA" w:rsidRDefault="002832C4" w:rsidP="00167591">
            <w:pPr>
              <w:jc w:val="right"/>
              <w:rPr>
                <w:sz w:val="20"/>
              </w:rPr>
            </w:pPr>
          </w:p>
        </w:tc>
      </w:tr>
    </w:tbl>
    <w:p w:rsidR="002832C4" w:rsidRPr="009A0CCA" w:rsidRDefault="002832C4" w:rsidP="002832C4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832C4" w:rsidRDefault="002832C4" w:rsidP="002832C4">
      <w:pPr>
        <w:ind w:right="-1"/>
        <w:jc w:val="center"/>
      </w:pPr>
    </w:p>
    <w:p w:rsidR="002832C4" w:rsidRDefault="002832C4" w:rsidP="002832C4">
      <w:pPr>
        <w:ind w:right="-1"/>
        <w:jc w:val="center"/>
      </w:pPr>
    </w:p>
    <w:p w:rsidR="00AB388E" w:rsidRPr="00A55FC7" w:rsidRDefault="00AB388E" w:rsidP="00A55FC7">
      <w:pPr>
        <w:jc w:val="center"/>
        <w:rPr>
          <w:sz w:val="26"/>
          <w:szCs w:val="26"/>
        </w:rPr>
      </w:pPr>
      <w:r w:rsidRPr="00A55FC7">
        <w:rPr>
          <w:sz w:val="26"/>
          <w:szCs w:val="26"/>
        </w:rPr>
        <w:t xml:space="preserve">О внесении изменений в постановление </w:t>
      </w:r>
    </w:p>
    <w:p w:rsidR="00AB388E" w:rsidRPr="00A55FC7" w:rsidRDefault="00AB388E" w:rsidP="00A55FC7">
      <w:pPr>
        <w:jc w:val="center"/>
        <w:rPr>
          <w:sz w:val="26"/>
          <w:szCs w:val="26"/>
        </w:rPr>
      </w:pPr>
      <w:r w:rsidRPr="00A55FC7">
        <w:rPr>
          <w:sz w:val="26"/>
          <w:szCs w:val="26"/>
        </w:rPr>
        <w:t xml:space="preserve">Главы Нефтеюганского района от 05.11.2014 № 149-п </w:t>
      </w:r>
    </w:p>
    <w:p w:rsidR="00AB388E" w:rsidRPr="00A55FC7" w:rsidRDefault="00AB388E" w:rsidP="00A55FC7">
      <w:pPr>
        <w:jc w:val="center"/>
        <w:rPr>
          <w:sz w:val="26"/>
          <w:szCs w:val="26"/>
        </w:rPr>
      </w:pPr>
    </w:p>
    <w:p w:rsidR="00AB388E" w:rsidRPr="00A55FC7" w:rsidRDefault="00AB388E" w:rsidP="00A55FC7">
      <w:pPr>
        <w:jc w:val="center"/>
        <w:rPr>
          <w:sz w:val="26"/>
          <w:szCs w:val="26"/>
        </w:rPr>
      </w:pPr>
    </w:p>
    <w:p w:rsidR="00AB388E" w:rsidRPr="00A55FC7" w:rsidRDefault="00AB388E" w:rsidP="00A55FC7">
      <w:pPr>
        <w:ind w:firstLine="709"/>
        <w:jc w:val="both"/>
        <w:rPr>
          <w:sz w:val="26"/>
          <w:szCs w:val="26"/>
        </w:rPr>
      </w:pPr>
      <w:r w:rsidRPr="00A55FC7">
        <w:rPr>
          <w:sz w:val="26"/>
          <w:szCs w:val="26"/>
        </w:rPr>
        <w:t xml:space="preserve">В целях </w:t>
      </w:r>
      <w:r w:rsidR="00D51ABA" w:rsidRPr="00A55FC7">
        <w:rPr>
          <w:sz w:val="26"/>
          <w:szCs w:val="26"/>
        </w:rPr>
        <w:t xml:space="preserve">урегулирования порядка проведения антикоррупционного мониторинга в Нефтеюганском районе </w:t>
      </w:r>
      <w:r w:rsidR="00A55FC7">
        <w:rPr>
          <w:sz w:val="26"/>
          <w:szCs w:val="26"/>
        </w:rPr>
        <w:t xml:space="preserve"> </w:t>
      </w:r>
      <w:proofErr w:type="gramStart"/>
      <w:r w:rsidRPr="00A55FC7">
        <w:rPr>
          <w:sz w:val="26"/>
          <w:szCs w:val="26"/>
        </w:rPr>
        <w:t>п</w:t>
      </w:r>
      <w:proofErr w:type="gramEnd"/>
      <w:r w:rsidRPr="00A55FC7">
        <w:rPr>
          <w:sz w:val="26"/>
          <w:szCs w:val="26"/>
        </w:rPr>
        <w:t xml:space="preserve"> о с т а н о в л я ю:</w:t>
      </w:r>
    </w:p>
    <w:p w:rsidR="00AB388E" w:rsidRPr="00A55FC7" w:rsidRDefault="00AB388E" w:rsidP="00A55FC7">
      <w:pPr>
        <w:ind w:firstLine="709"/>
        <w:jc w:val="both"/>
        <w:rPr>
          <w:sz w:val="26"/>
          <w:szCs w:val="26"/>
        </w:rPr>
      </w:pPr>
    </w:p>
    <w:p w:rsidR="00696BA3" w:rsidRPr="00A55FC7" w:rsidRDefault="00AB388E" w:rsidP="00A55FC7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5FC7">
        <w:rPr>
          <w:sz w:val="26"/>
          <w:szCs w:val="26"/>
        </w:rPr>
        <w:t xml:space="preserve">Внести </w:t>
      </w:r>
      <w:r w:rsidR="00A55FC7" w:rsidRPr="00A55FC7">
        <w:rPr>
          <w:sz w:val="26"/>
          <w:szCs w:val="26"/>
        </w:rPr>
        <w:t>изменени</w:t>
      </w:r>
      <w:r w:rsidR="00A55FC7">
        <w:rPr>
          <w:sz w:val="26"/>
          <w:szCs w:val="26"/>
        </w:rPr>
        <w:t>я</w:t>
      </w:r>
      <w:r w:rsidR="00A55FC7" w:rsidRPr="00A55FC7">
        <w:rPr>
          <w:sz w:val="26"/>
          <w:szCs w:val="26"/>
        </w:rPr>
        <w:t xml:space="preserve"> </w:t>
      </w:r>
      <w:r w:rsidRPr="00A55FC7">
        <w:rPr>
          <w:sz w:val="26"/>
          <w:szCs w:val="26"/>
        </w:rPr>
        <w:t xml:space="preserve">в </w:t>
      </w:r>
      <w:r w:rsidR="00D51ABA" w:rsidRPr="00A55FC7">
        <w:rPr>
          <w:sz w:val="26"/>
          <w:szCs w:val="26"/>
        </w:rPr>
        <w:t>постановление</w:t>
      </w:r>
      <w:r w:rsidR="00696BA3" w:rsidRPr="00A55FC7">
        <w:rPr>
          <w:sz w:val="26"/>
          <w:szCs w:val="26"/>
        </w:rPr>
        <w:t xml:space="preserve"> Главы Нефтеюганского района </w:t>
      </w:r>
      <w:r w:rsidR="00A55FC7">
        <w:rPr>
          <w:sz w:val="26"/>
          <w:szCs w:val="26"/>
        </w:rPr>
        <w:br/>
      </w:r>
      <w:r w:rsidR="00696BA3" w:rsidRPr="00A55FC7">
        <w:rPr>
          <w:sz w:val="26"/>
          <w:szCs w:val="26"/>
        </w:rPr>
        <w:t xml:space="preserve">от 05.11.2014 № 149-п «О мониторинге состояния и эффективности противодействия коррупции (антикоррупционном мониторинге) </w:t>
      </w:r>
      <w:proofErr w:type="gramStart"/>
      <w:r w:rsidR="00696BA3" w:rsidRPr="00A55FC7">
        <w:rPr>
          <w:sz w:val="26"/>
          <w:szCs w:val="26"/>
        </w:rPr>
        <w:t>в</w:t>
      </w:r>
      <w:proofErr w:type="gramEnd"/>
      <w:r w:rsidR="00696BA3" w:rsidRPr="00A55FC7">
        <w:rPr>
          <w:sz w:val="26"/>
          <w:szCs w:val="26"/>
        </w:rPr>
        <w:t xml:space="preserve"> </w:t>
      </w:r>
      <w:proofErr w:type="gramStart"/>
      <w:r w:rsidR="00696BA3" w:rsidRPr="00A55FC7">
        <w:rPr>
          <w:sz w:val="26"/>
          <w:szCs w:val="26"/>
        </w:rPr>
        <w:t>Нефтеюганском</w:t>
      </w:r>
      <w:proofErr w:type="gramEnd"/>
      <w:r w:rsidR="00696BA3" w:rsidRPr="00A55FC7">
        <w:rPr>
          <w:sz w:val="26"/>
          <w:szCs w:val="26"/>
        </w:rPr>
        <w:t xml:space="preserve"> районе» </w:t>
      </w:r>
      <w:r w:rsidR="00A55FC7">
        <w:rPr>
          <w:sz w:val="26"/>
          <w:szCs w:val="26"/>
        </w:rPr>
        <w:br/>
      </w:r>
      <w:r w:rsidR="00696BA3" w:rsidRPr="00A55FC7">
        <w:rPr>
          <w:sz w:val="26"/>
          <w:szCs w:val="26"/>
        </w:rPr>
        <w:t>(с изменениями на 09.09.2016 № 77-п-нпа)</w:t>
      </w:r>
      <w:r w:rsidR="00A924D7" w:rsidRPr="00A55FC7">
        <w:rPr>
          <w:sz w:val="26"/>
          <w:szCs w:val="26"/>
        </w:rPr>
        <w:t>, изложив приложение</w:t>
      </w:r>
      <w:r w:rsidR="00A55FC7">
        <w:rPr>
          <w:sz w:val="26"/>
          <w:szCs w:val="26"/>
        </w:rPr>
        <w:t xml:space="preserve"> к постановлению</w:t>
      </w:r>
      <w:r w:rsidR="00A924D7" w:rsidRPr="00A55FC7">
        <w:rPr>
          <w:sz w:val="26"/>
          <w:szCs w:val="26"/>
        </w:rPr>
        <w:t xml:space="preserve"> </w:t>
      </w:r>
      <w:r w:rsidR="00A55FC7">
        <w:rPr>
          <w:sz w:val="26"/>
          <w:szCs w:val="26"/>
        </w:rPr>
        <w:br/>
      </w:r>
      <w:r w:rsidR="00A924D7" w:rsidRPr="00A55FC7">
        <w:rPr>
          <w:sz w:val="26"/>
          <w:szCs w:val="26"/>
        </w:rPr>
        <w:t>в редакции согласно приложению</w:t>
      </w:r>
      <w:r w:rsidR="00A55FC7">
        <w:rPr>
          <w:sz w:val="26"/>
          <w:szCs w:val="26"/>
        </w:rPr>
        <w:t xml:space="preserve"> к настоящему постановлению</w:t>
      </w:r>
      <w:r w:rsidR="00A924D7" w:rsidRPr="00A55FC7">
        <w:rPr>
          <w:sz w:val="26"/>
          <w:szCs w:val="26"/>
        </w:rPr>
        <w:t>.</w:t>
      </w:r>
    </w:p>
    <w:p w:rsidR="00AB388E" w:rsidRDefault="00AB388E" w:rsidP="00A55FC7">
      <w:pPr>
        <w:pStyle w:val="ad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5FC7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A55FC7" w:rsidRDefault="00A55FC7" w:rsidP="00A55FC7">
      <w:pPr>
        <w:tabs>
          <w:tab w:val="left" w:pos="993"/>
        </w:tabs>
        <w:jc w:val="both"/>
        <w:rPr>
          <w:sz w:val="26"/>
          <w:szCs w:val="26"/>
        </w:rPr>
      </w:pPr>
    </w:p>
    <w:p w:rsidR="00A55FC7" w:rsidRDefault="00A55FC7" w:rsidP="00A55FC7">
      <w:pPr>
        <w:tabs>
          <w:tab w:val="left" w:pos="993"/>
        </w:tabs>
        <w:jc w:val="both"/>
        <w:rPr>
          <w:sz w:val="26"/>
          <w:szCs w:val="26"/>
        </w:rPr>
      </w:pPr>
    </w:p>
    <w:p w:rsidR="00A55FC7" w:rsidRDefault="00A55FC7" w:rsidP="00A55FC7">
      <w:pPr>
        <w:tabs>
          <w:tab w:val="left" w:pos="993"/>
        </w:tabs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55FC7" w:rsidRDefault="00A55FC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937F96" w:rsidRDefault="00937F96" w:rsidP="00F35822">
      <w:pPr>
        <w:jc w:val="both"/>
        <w:rPr>
          <w:sz w:val="26"/>
          <w:szCs w:val="26"/>
        </w:rPr>
        <w:sectPr w:rsidR="00937F96" w:rsidSect="002832C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37F96" w:rsidRPr="004C2088" w:rsidRDefault="00937F96" w:rsidP="00937F96">
      <w:pPr>
        <w:tabs>
          <w:tab w:val="left" w:pos="10490"/>
        </w:tabs>
        <w:ind w:left="1049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37F96" w:rsidRPr="004C2088" w:rsidRDefault="00937F96" w:rsidP="00937F96">
      <w:pPr>
        <w:tabs>
          <w:tab w:val="left" w:pos="10490"/>
        </w:tabs>
        <w:ind w:left="10490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37F96" w:rsidRPr="004C2088" w:rsidRDefault="00937F96" w:rsidP="00937F96">
      <w:pPr>
        <w:tabs>
          <w:tab w:val="left" w:pos="10490"/>
        </w:tabs>
        <w:ind w:left="1049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832C4">
        <w:rPr>
          <w:sz w:val="26"/>
          <w:szCs w:val="26"/>
        </w:rPr>
        <w:t xml:space="preserve"> 27.02.2017 № 9-пг-нпа</w:t>
      </w:r>
    </w:p>
    <w:p w:rsidR="00A55FC7" w:rsidRDefault="00A55FC7" w:rsidP="00F35822">
      <w:pPr>
        <w:jc w:val="both"/>
        <w:rPr>
          <w:sz w:val="26"/>
          <w:szCs w:val="26"/>
        </w:rPr>
      </w:pPr>
    </w:p>
    <w:p w:rsidR="00937F96" w:rsidRPr="00937F96" w:rsidRDefault="00937F96" w:rsidP="00937F96">
      <w:pPr>
        <w:pStyle w:val="ConsPlusTitle"/>
        <w:widowControl/>
        <w:jc w:val="center"/>
        <w:rPr>
          <w:b w:val="0"/>
          <w:sz w:val="26"/>
          <w:szCs w:val="26"/>
        </w:rPr>
      </w:pPr>
      <w:r w:rsidRPr="00937F96">
        <w:rPr>
          <w:b w:val="0"/>
          <w:sz w:val="26"/>
          <w:szCs w:val="26"/>
        </w:rPr>
        <w:t>ПОРЯДОК</w:t>
      </w:r>
    </w:p>
    <w:p w:rsidR="00937F96" w:rsidRPr="00937F96" w:rsidRDefault="00937F96" w:rsidP="00937F96">
      <w:pPr>
        <w:pStyle w:val="ConsPlusTitle"/>
        <w:widowControl/>
        <w:jc w:val="center"/>
        <w:rPr>
          <w:b w:val="0"/>
          <w:sz w:val="26"/>
          <w:szCs w:val="26"/>
        </w:rPr>
      </w:pPr>
      <w:r w:rsidRPr="00937F96">
        <w:rPr>
          <w:b w:val="0"/>
          <w:sz w:val="26"/>
          <w:szCs w:val="26"/>
        </w:rPr>
        <w:t>проведения антикоррупционного мониторинга</w:t>
      </w:r>
      <w:r>
        <w:rPr>
          <w:b w:val="0"/>
          <w:sz w:val="26"/>
          <w:szCs w:val="26"/>
        </w:rPr>
        <w:t xml:space="preserve"> </w:t>
      </w:r>
      <w:proofErr w:type="gramStart"/>
      <w:r w:rsidRPr="00937F96">
        <w:rPr>
          <w:b w:val="0"/>
          <w:sz w:val="26"/>
          <w:szCs w:val="26"/>
        </w:rPr>
        <w:t>в</w:t>
      </w:r>
      <w:proofErr w:type="gramEnd"/>
      <w:r w:rsidRPr="00937F96">
        <w:rPr>
          <w:b w:val="0"/>
          <w:sz w:val="26"/>
          <w:szCs w:val="26"/>
        </w:rPr>
        <w:t xml:space="preserve"> </w:t>
      </w:r>
      <w:proofErr w:type="gramStart"/>
      <w:r w:rsidRPr="00937F96">
        <w:rPr>
          <w:b w:val="0"/>
          <w:sz w:val="26"/>
          <w:szCs w:val="26"/>
        </w:rPr>
        <w:t>Нефтеюганском</w:t>
      </w:r>
      <w:proofErr w:type="gramEnd"/>
      <w:r w:rsidRPr="00937F96">
        <w:rPr>
          <w:b w:val="0"/>
          <w:sz w:val="26"/>
          <w:szCs w:val="26"/>
        </w:rPr>
        <w:t xml:space="preserve"> районе</w:t>
      </w:r>
    </w:p>
    <w:p w:rsidR="00937F96" w:rsidRPr="007829F2" w:rsidRDefault="00937F96" w:rsidP="00937F96">
      <w:pPr>
        <w:jc w:val="center"/>
        <w:rPr>
          <w:sz w:val="26"/>
          <w:szCs w:val="26"/>
        </w:rPr>
      </w:pPr>
    </w:p>
    <w:tbl>
      <w:tblPr>
        <w:tblStyle w:val="ae"/>
        <w:tblW w:w="15668" w:type="dxa"/>
        <w:tblInd w:w="-459" w:type="dxa"/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937F96" w:rsidTr="00B82E65">
        <w:tc>
          <w:tcPr>
            <w:tcW w:w="671" w:type="dxa"/>
            <w:vAlign w:val="center"/>
          </w:tcPr>
          <w:p w:rsidR="00937F96" w:rsidRPr="00937F96" w:rsidRDefault="00937F96" w:rsidP="00B82E65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№</w:t>
            </w:r>
          </w:p>
          <w:p w:rsidR="00937F96" w:rsidRPr="00937F96" w:rsidRDefault="00937F96" w:rsidP="00B82E6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37F96">
              <w:rPr>
                <w:rFonts w:ascii="Times New Roman" w:hAnsi="Times New Roman"/>
                <w:b/>
              </w:rPr>
              <w:t>п</w:t>
            </w:r>
            <w:proofErr w:type="gramEnd"/>
            <w:r w:rsidRPr="00937F9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62" w:type="dxa"/>
            <w:vAlign w:val="center"/>
          </w:tcPr>
          <w:p w:rsidR="00937F96" w:rsidRPr="00937F96" w:rsidRDefault="00937F96" w:rsidP="00B82E65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 xml:space="preserve">Основные направления    </w:t>
            </w:r>
            <w:r w:rsidRPr="00937F96">
              <w:rPr>
                <w:rFonts w:ascii="Times New Roman" w:hAnsi="Times New Roman"/>
                <w:b/>
              </w:rPr>
              <w:br/>
              <w:t>антикоррупционного</w:t>
            </w:r>
            <w:r w:rsidRPr="00937F96">
              <w:rPr>
                <w:rFonts w:ascii="Times New Roman" w:hAnsi="Times New Roman"/>
                <w:b/>
              </w:rPr>
              <w:br/>
              <w:t>мониторинга</w:t>
            </w:r>
          </w:p>
        </w:tc>
        <w:tc>
          <w:tcPr>
            <w:tcW w:w="5131" w:type="dxa"/>
            <w:vAlign w:val="center"/>
          </w:tcPr>
          <w:p w:rsidR="00937F96" w:rsidRPr="00937F96" w:rsidRDefault="00937F96" w:rsidP="00B82E65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 xml:space="preserve">Показатели эффективности противодействия коррупции  </w:t>
            </w:r>
            <w:r w:rsidRPr="00937F96">
              <w:rPr>
                <w:rFonts w:ascii="Times New Roman" w:hAnsi="Times New Roman"/>
                <w:b/>
              </w:rPr>
              <w:br/>
            </w:r>
            <w:proofErr w:type="gramStart"/>
            <w:r w:rsidRPr="00937F96">
              <w:rPr>
                <w:rFonts w:ascii="Times New Roman" w:hAnsi="Times New Roman"/>
                <w:b/>
              </w:rPr>
              <w:t>в</w:t>
            </w:r>
            <w:proofErr w:type="gramEnd"/>
            <w:r w:rsidRPr="00937F9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37F96">
              <w:rPr>
                <w:rFonts w:ascii="Times New Roman" w:hAnsi="Times New Roman"/>
                <w:b/>
              </w:rPr>
              <w:t>Нефтеюганском</w:t>
            </w:r>
            <w:proofErr w:type="gramEnd"/>
            <w:r w:rsidRPr="00937F96">
              <w:rPr>
                <w:rFonts w:ascii="Times New Roman" w:hAnsi="Times New Roman"/>
                <w:b/>
              </w:rPr>
              <w:t xml:space="preserve"> районе</w:t>
            </w:r>
          </w:p>
        </w:tc>
        <w:tc>
          <w:tcPr>
            <w:tcW w:w="2665" w:type="dxa"/>
            <w:vAlign w:val="center"/>
          </w:tcPr>
          <w:p w:rsidR="00937F96" w:rsidRPr="00937F96" w:rsidRDefault="00937F96" w:rsidP="00B82E6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82" w:type="dxa"/>
            <w:vAlign w:val="center"/>
          </w:tcPr>
          <w:p w:rsidR="00937F96" w:rsidRPr="00937F96" w:rsidRDefault="00937F96" w:rsidP="00B82E6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 xml:space="preserve">Форма    </w:t>
            </w:r>
            <w:r w:rsidRPr="00937F96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257" w:type="dxa"/>
            <w:vAlign w:val="center"/>
          </w:tcPr>
          <w:p w:rsidR="00937F96" w:rsidRPr="00937F96" w:rsidRDefault="00937F96" w:rsidP="00B82E6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937F96" w:rsidRPr="00937F96" w:rsidRDefault="00937F96" w:rsidP="00B82E6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(срок)</w:t>
            </w:r>
          </w:p>
        </w:tc>
      </w:tr>
    </w:tbl>
    <w:p w:rsidR="00B82E65" w:rsidRPr="00B82E65" w:rsidRDefault="00B82E65">
      <w:pPr>
        <w:rPr>
          <w:sz w:val="2"/>
          <w:szCs w:val="2"/>
        </w:rPr>
      </w:pPr>
    </w:p>
    <w:tbl>
      <w:tblPr>
        <w:tblStyle w:val="ae"/>
        <w:tblW w:w="15668" w:type="dxa"/>
        <w:tblInd w:w="-459" w:type="dxa"/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937F96" w:rsidTr="00B82E65">
        <w:trPr>
          <w:tblHeader/>
        </w:trPr>
        <w:tc>
          <w:tcPr>
            <w:tcW w:w="671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7F96" w:rsidTr="00B82E65">
        <w:tc>
          <w:tcPr>
            <w:tcW w:w="671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1</w:t>
            </w:r>
            <w:r w:rsidR="00B82E6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</w:tcPr>
          <w:p w:rsidR="00937F96" w:rsidRPr="00937F96" w:rsidRDefault="00937F96" w:rsidP="00005040">
            <w:pPr>
              <w:jc w:val="both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31" w:type="dxa"/>
          </w:tcPr>
          <w:p w:rsidR="00937F96" w:rsidRPr="00937F96" w:rsidRDefault="00937F96" w:rsidP="00B82E6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1. Соотношение количества выявленных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коррупциогенных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937F96" w:rsidRPr="00937F96" w:rsidRDefault="00937F96" w:rsidP="00B82E65">
            <w:pPr>
              <w:pStyle w:val="ConsPlusTitle"/>
              <w:widowControl/>
              <w:tabs>
                <w:tab w:val="left" w:pos="696"/>
              </w:tabs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коррупциогенные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коррупциогенных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факторов. </w:t>
            </w:r>
          </w:p>
          <w:p w:rsidR="00937F96" w:rsidRPr="00937F96" w:rsidRDefault="00937F96" w:rsidP="00B82E6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коррупциогенные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коррупциогенных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факторов.</w:t>
            </w:r>
          </w:p>
          <w:p w:rsidR="00937F96" w:rsidRPr="00937F96" w:rsidRDefault="00937F96" w:rsidP="00B82E6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общему количеству подготовленных проектов нормативных правовых актов Нефтеюганского района.</w:t>
            </w:r>
          </w:p>
          <w:p w:rsidR="00937F96" w:rsidRPr="00937F96" w:rsidRDefault="00937F96" w:rsidP="00B82E6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5.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коррупциогенные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937F96" w:rsidRPr="00937F96" w:rsidRDefault="00937F96" w:rsidP="00B82E6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реагирования, выявленные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коррупциогенные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факторы были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937F96" w:rsidRPr="00937F96" w:rsidRDefault="00937F96" w:rsidP="00B82E65">
            <w:pPr>
              <w:pStyle w:val="ConsPlusTitle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Юридический    комитет администрации Нефтеюганского района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Аппарат Думы Нефтеюганского района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  <w:r w:rsidR="00B82E6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ежеквартально,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 w:rsidR="00B82E6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2</w:t>
            </w:r>
            <w:r w:rsidR="00B82E6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Осуществление антикоррупционного </w:t>
            </w:r>
            <w:proofErr w:type="gramStart"/>
            <w:r w:rsidRPr="00937F96">
              <w:rPr>
                <w:rFonts w:ascii="Times New Roman" w:hAnsi="Times New Roman"/>
              </w:rPr>
              <w:t>контроля за</w:t>
            </w:r>
            <w:proofErr w:type="gramEnd"/>
            <w:r w:rsidRPr="00937F96">
              <w:rPr>
                <w:rFonts w:ascii="Times New Roman" w:hAnsi="Times New Roman"/>
              </w:rPr>
              <w:t xml:space="preserve"> соблюдением    </w:t>
            </w:r>
            <w:r w:rsidRPr="00937F96">
              <w:rPr>
                <w:rFonts w:ascii="Times New Roman" w:hAnsi="Times New Roman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3. Количество муниципальных служащих Нефтеюганского района:</w:t>
            </w:r>
          </w:p>
          <w:p w:rsidR="00937F96" w:rsidRPr="00937F96" w:rsidRDefault="00937F96" w:rsidP="00005040">
            <w:pPr>
              <w:pStyle w:val="ConsPlusTitle"/>
              <w:widowControl/>
              <w:ind w:left="3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допустивших нарушения требований антикоррупционного законодательства;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в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отношении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нереабилитирующим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основаниям.</w:t>
            </w:r>
          </w:p>
          <w:p w:rsidR="00937F96" w:rsidRPr="00937F96" w:rsidRDefault="00937F96" w:rsidP="000050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жалоб от граждан и организаций;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протестов, представлений органов прокуратуры;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частных определений суда;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предписаний контролирующих органов.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интересов.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Отдел кадров и муниципальной службы администрации Нефтеюганского района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 w:rsidR="00B82E6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 w:rsidR="00B82E6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  <w:vMerge w:val="restart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3</w:t>
            </w:r>
            <w:r w:rsidR="0082079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  <w:vMerge w:val="restart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Осуществление антикоррупционного </w:t>
            </w:r>
            <w:proofErr w:type="gramStart"/>
            <w:r w:rsidRPr="00937F96">
              <w:rPr>
                <w:rFonts w:ascii="Times New Roman" w:hAnsi="Times New Roman"/>
              </w:rPr>
              <w:t>контроля за</w:t>
            </w:r>
            <w:proofErr w:type="gramEnd"/>
            <w:r w:rsidRPr="00937F96">
              <w:rPr>
                <w:rFonts w:ascii="Times New Roman" w:hAnsi="Times New Roman"/>
              </w:rPr>
              <w:t xml:space="preserve"> исполнением    </w:t>
            </w:r>
            <w:r w:rsidRPr="00937F96">
              <w:rPr>
                <w:rFonts w:ascii="Times New Roman" w:hAnsi="Times New Roman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31" w:type="dxa"/>
          </w:tcPr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1. Общие показатели: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1) количество исполняемых муниципальных функций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3) количество предоставляемых муниципальных услуг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муниципальных служащих Нефтеюганского района;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5) соотношение количества муниципальных функций (услуг), исполняемых (предоставляемых) в наиболее 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коррупционно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опасных сферах деятельности, к количеству муниципальных функций (услуг), исполнение (предоставление) которых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обеспечена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Нефтеюганском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районе;</w:t>
            </w:r>
          </w:p>
          <w:p w:rsidR="00937F96" w:rsidRPr="00937F96" w:rsidRDefault="00937F96" w:rsidP="00951C25">
            <w:pPr>
              <w:pStyle w:val="ConsPlusTitle"/>
              <w:widowControl/>
              <w:spacing w:line="26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937F96" w:rsidRPr="00937F96" w:rsidRDefault="00937F96" w:rsidP="00951C25">
            <w:pPr>
              <w:spacing w:line="260" w:lineRule="exact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8) количество решений, вынесенных в пользу граждан по обращениям на нарушения муниципальными служащими Нефтеюганского 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820795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 w:rsidR="0082079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до 10 числа месяца, следующего</w:t>
            </w:r>
            <w:r w:rsidR="0082079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951C25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937F96" w:rsidRPr="00937F96" w:rsidRDefault="00937F96" w:rsidP="00951C25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</w:t>
            </w:r>
            <w:r w:rsidR="00951C25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строительство));</w:t>
            </w:r>
          </w:p>
          <w:p w:rsidR="00937F96" w:rsidRPr="00937F96" w:rsidRDefault="00937F96" w:rsidP="00951C25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937F96" w:rsidRPr="00937F96" w:rsidRDefault="00937F96" w:rsidP="00951C25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3) средняя продолжительность времени со дня принятия решения уполномоченным органом </w:t>
            </w:r>
            <w:r w:rsidR="00951C25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предоставлении земельного участка для строительства до дня получения разрешения </w:t>
            </w:r>
            <w:r w:rsidR="00951C25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на строительство;</w:t>
            </w:r>
          </w:p>
          <w:p w:rsidR="00937F96" w:rsidRDefault="00937F96" w:rsidP="00005040">
            <w:pPr>
              <w:rPr>
                <w:rFonts w:ascii="Times New Roman" w:hAnsi="Times New Roman"/>
              </w:rPr>
            </w:pPr>
            <w:proofErr w:type="gramStart"/>
            <w:r w:rsidRPr="00937F96">
              <w:rPr>
                <w:rFonts w:ascii="Times New Roman" w:hAnsi="Times New Roman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района, предприятий и организаций, реализующих разрешительные процедуры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(чье согласование необходимо получить для предоставления земельного участка в аренду для строительства), 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="00951C25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в эксплуатацию</w:t>
            </w:r>
            <w:proofErr w:type="gramEnd"/>
          </w:p>
          <w:p w:rsidR="00951C25" w:rsidRPr="00937F96" w:rsidRDefault="00951C25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Департамент градостроительства и землепользования Нефтеюганского района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о показателях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51C25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ежеквартально, </w:t>
            </w:r>
          </w:p>
          <w:p w:rsidR="00951C25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до 10 числа месяца, следующего 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за отчетным кварталом</w:t>
            </w:r>
          </w:p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</w:tr>
      <w:tr w:rsidR="00937F96" w:rsidTr="00B82E65">
        <w:tc>
          <w:tcPr>
            <w:tcW w:w="671" w:type="dxa"/>
            <w:vMerge w:val="restart"/>
          </w:tcPr>
          <w:p w:rsidR="00937F96" w:rsidRPr="00937F96" w:rsidRDefault="00937F96" w:rsidP="00005040">
            <w:pPr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4</w:t>
            </w:r>
            <w:r w:rsidR="00951C2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  <w:vMerge w:val="restart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Осуществление антикоррупционного </w:t>
            </w:r>
            <w:proofErr w:type="gramStart"/>
            <w:r w:rsidRPr="00937F96">
              <w:rPr>
                <w:rFonts w:ascii="Times New Roman" w:hAnsi="Times New Roman"/>
              </w:rPr>
              <w:t>контроля за</w:t>
            </w:r>
            <w:proofErr w:type="gramEnd"/>
            <w:r w:rsidRPr="00937F96">
              <w:rPr>
                <w:rFonts w:ascii="Times New Roman" w:hAnsi="Times New Roman"/>
              </w:rPr>
              <w:t xml:space="preserve"> расходованием средств местного бюджета           </w:t>
            </w: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в том числе в расчете на одно малое и среднее предприятие Нефтеюганского района и одного жителя Нефтеюганского района; </w:t>
            </w:r>
          </w:p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65" w:type="dxa"/>
            <w:vMerge w:val="restart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Департамент финансов Нефтеюганского района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2382" w:type="dxa"/>
            <w:vMerge w:val="restart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о показателях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ежегодно,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до 25 февраля года, следующего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за </w:t>
            </w:r>
            <w:proofErr w:type="gramStart"/>
            <w:r w:rsidRPr="00937F96">
              <w:rPr>
                <w:rFonts w:ascii="Times New Roman" w:hAnsi="Times New Roman"/>
              </w:rPr>
              <w:t>отчетным</w:t>
            </w:r>
            <w:proofErr w:type="gramEnd"/>
            <w:r w:rsidRPr="00937F96">
              <w:rPr>
                <w:rFonts w:ascii="Times New Roman" w:hAnsi="Times New Roman"/>
              </w:rPr>
              <w:t xml:space="preserve"> </w:t>
            </w: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2.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</w:p>
        </w:tc>
        <w:tc>
          <w:tcPr>
            <w:tcW w:w="2665" w:type="dxa"/>
            <w:vMerge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Merge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25 числа месяца, следующего </w:t>
            </w:r>
            <w:r w:rsidR="009520F2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3.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природно-климатическими условиями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ежегодно,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до 25 числа последнего </w:t>
            </w:r>
            <w:r w:rsidR="009520F2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месяца года</w:t>
            </w:r>
          </w:p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4.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937F96" w:rsidRPr="00937F96" w:rsidRDefault="00937F96" w:rsidP="0016594C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Департамент имущественных отношений Нефтеюганского района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ежегодно,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до 25 числа последнего </w:t>
            </w:r>
            <w:r w:rsidR="009520F2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месяца года</w:t>
            </w: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5. Количество проведенных проверок использования бюджетных средств, из них: 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6. Количество проведенных проверок соблюдения требований, установленных </w:t>
            </w:r>
            <w:r w:rsidRPr="00937F9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Федеральным законом от 05.04.2013 </w:t>
            </w:r>
            <w:r w:rsidR="0016594C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937F9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44-ФЗ "О контрактной</w:t>
            </w:r>
            <w:r w:rsidRPr="00937F96">
              <w:rPr>
                <w:rStyle w:val="apple-converted-space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F9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системе в сфере закупок товаров, работ, услуг для обеспечения</w:t>
            </w:r>
            <w:r w:rsidRPr="00937F96">
              <w:rPr>
                <w:rStyle w:val="apple-converted-space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F96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государственных и муниципальных нужд"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, а также ведения лицензионно-разрешительной деятельности, </w:t>
            </w:r>
            <w:r w:rsidR="0016594C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из них: 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937F96" w:rsidRPr="00937F96" w:rsidRDefault="00937F96" w:rsidP="0016594C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937F96" w:rsidRPr="00937F96" w:rsidRDefault="00937F96" w:rsidP="0016594C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Контрольно-счетная палата Нефтеюганского района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Контрольно-ревизионное управление администрации Нефтеюганского района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 </w:t>
            </w:r>
            <w:r w:rsidR="006C268C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 w:rsidR="006C268C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  <w:vMerge w:val="restart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5</w:t>
            </w:r>
            <w:r w:rsidR="0016594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  <w:vMerge w:val="restart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1. Количество возбужденных уголовных дел по фактам коррупции.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Нефтеюганском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и (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рейдерства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3. Количество уголовных дел по фактам коррупции, по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результатам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рейдерства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), по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результатам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5. Количество лиц, осужденных за совершение коррупционных преступлений.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Нефтеюганском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(</w:t>
            </w:r>
            <w:proofErr w:type="spell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рейдерства</w:t>
            </w:r>
            <w:proofErr w:type="spell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территориальных органов федеральных государственных органов; </w:t>
            </w:r>
          </w:p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- органов местного самоуправления Нефтеюганского района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Нефтеюганская межрайонная прокуратура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(по согласованию)  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ОМВД России по Нефтеюганскому району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(по согласованию)</w:t>
            </w:r>
          </w:p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Нефтеюганский районный суд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ежеквартально, </w:t>
            </w:r>
            <w:r w:rsidR="00815617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до 10 числа месяца, следующего </w:t>
            </w:r>
            <w:r w:rsidR="00815617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за отчетным кварталом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Юридический комитет администрации Нефтеюганского района </w:t>
            </w:r>
          </w:p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Аппарат Думы Нефтеюганского района</w:t>
            </w:r>
          </w:p>
          <w:p w:rsidR="00937F96" w:rsidRPr="00937F96" w:rsidRDefault="00937F96" w:rsidP="0000504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о показателях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vMerge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федеральных органов государственной власти;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органов государственной власти Ханты-Мансийского автономного округа </w:t>
            </w:r>
            <w:r w:rsidR="00815617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Югры</w:t>
            </w: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;</w:t>
            </w:r>
            <w:proofErr w:type="gramEnd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</w:t>
            </w:r>
          </w:p>
          <w:p w:rsidR="00937F96" w:rsidRPr="00937F96" w:rsidRDefault="00937F96" w:rsidP="00815617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937F96">
              <w:rPr>
                <w:rFonts w:ascii="Times New Roman" w:hAnsi="Times New Roman"/>
              </w:rPr>
              <w:t>в</w:t>
            </w:r>
            <w:proofErr w:type="gramEnd"/>
            <w:r w:rsidRPr="00937F96">
              <w:rPr>
                <w:rFonts w:ascii="Times New Roman" w:hAnsi="Times New Roman"/>
              </w:rPr>
              <w:t xml:space="preserve"> </w:t>
            </w:r>
            <w:proofErr w:type="gramStart"/>
            <w:r w:rsidRPr="00937F96">
              <w:rPr>
                <w:rFonts w:ascii="Times New Roman" w:hAnsi="Times New Roman"/>
              </w:rPr>
              <w:t>Ханты-Мансийском</w:t>
            </w:r>
            <w:proofErr w:type="gramEnd"/>
            <w:r w:rsidRPr="00937F96">
              <w:rPr>
                <w:rFonts w:ascii="Times New Roman" w:hAnsi="Times New Roman"/>
              </w:rPr>
              <w:t xml:space="preserve"> автономном округе </w:t>
            </w:r>
            <w:r w:rsidR="00815617">
              <w:rPr>
                <w:rFonts w:ascii="Times New Roman" w:hAnsi="Times New Roman"/>
              </w:rPr>
              <w:t>-</w:t>
            </w:r>
            <w:r w:rsidRPr="00937F96">
              <w:rPr>
                <w:rFonts w:ascii="Times New Roman" w:hAnsi="Times New Roman"/>
              </w:rPr>
              <w:t xml:space="preserve"> Югре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ФКУ УИИ УФСИН России по Ханты-Мансийскому автономному округу </w:t>
            </w:r>
            <w:r w:rsidR="00815617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F96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Югра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382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аналитическая справка, содержащая информацию 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6</w:t>
            </w:r>
            <w:r w:rsidR="008156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анализа поступивших в органы          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правонарушений с целью их обобщения по существу       </w:t>
            </w: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поставленных вопросов       </w:t>
            </w: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переданных в правоохранительные органы, содержащих информацию о коррупционных проявлениях; </w:t>
            </w:r>
            <w:proofErr w:type="gramEnd"/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- количество обращений, переданных в правоохранительные органы, информация о коррупционных проявлениях по которым подтв</w:t>
            </w:r>
            <w:r w:rsidR="00815617">
              <w:rPr>
                <w:rFonts w:ascii="Times New Roman" w:hAnsi="Times New Roman"/>
              </w:rPr>
              <w:t>ердилась</w:t>
            </w:r>
            <w:r w:rsidRPr="00937F96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65" w:type="dxa"/>
          </w:tcPr>
          <w:p w:rsidR="00815617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Управление 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2382" w:type="dxa"/>
          </w:tcPr>
          <w:p w:rsidR="00815617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</w:p>
          <w:p w:rsidR="00815617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о показателях 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  <w:r w:rsidR="00815617">
              <w:rPr>
                <w:rFonts w:ascii="Times New Roman" w:hAnsi="Times New Roman"/>
              </w:rPr>
              <w:br/>
            </w: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  <w:tr w:rsidR="00937F96" w:rsidTr="00B82E65">
        <w:tc>
          <w:tcPr>
            <w:tcW w:w="671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  <w:b/>
              </w:rPr>
            </w:pPr>
            <w:r w:rsidRPr="00937F96">
              <w:rPr>
                <w:rFonts w:ascii="Times New Roman" w:hAnsi="Times New Roman"/>
                <w:b/>
              </w:rPr>
              <w:t>7</w:t>
            </w:r>
            <w:r w:rsidR="008156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2" w:type="dxa"/>
          </w:tcPr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31" w:type="dxa"/>
          </w:tcPr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проанализированных информационных материалов, из них: </w:t>
            </w:r>
          </w:p>
          <w:p w:rsidR="00937F96" w:rsidRPr="00937F96" w:rsidRDefault="00937F96" w:rsidP="00005040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7F96">
              <w:rPr>
                <w:rFonts w:ascii="Times New Roman" w:hAnsi="Times New Roman"/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 (в процентах);</w:t>
            </w:r>
          </w:p>
          <w:p w:rsidR="00815617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- доля информационных материалов по вопросам антикоррупционной политики </w:t>
            </w:r>
          </w:p>
          <w:p w:rsidR="00937F96" w:rsidRPr="00937F96" w:rsidRDefault="00937F96" w:rsidP="00005040">
            <w:pPr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665" w:type="dxa"/>
          </w:tcPr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  <w:tc>
          <w:tcPr>
            <w:tcW w:w="2382" w:type="dxa"/>
          </w:tcPr>
          <w:p w:rsidR="00815617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аналитическая справка, содержащая информацию 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о показателях с нарастающим итогом за отчетный период в сравнении аналогичным периодом предыдущего года (АППГ)</w:t>
            </w:r>
          </w:p>
        </w:tc>
        <w:tc>
          <w:tcPr>
            <w:tcW w:w="2257" w:type="dxa"/>
          </w:tcPr>
          <w:p w:rsidR="00815617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ежеквартально, </w:t>
            </w:r>
          </w:p>
          <w:p w:rsidR="00815617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937F96" w:rsidRPr="00937F96" w:rsidRDefault="00937F96" w:rsidP="00005040">
            <w:pPr>
              <w:jc w:val="center"/>
              <w:rPr>
                <w:rFonts w:ascii="Times New Roman" w:hAnsi="Times New Roman"/>
              </w:rPr>
            </w:pPr>
            <w:r w:rsidRPr="00937F96">
              <w:rPr>
                <w:rFonts w:ascii="Times New Roman" w:hAnsi="Times New Roman"/>
              </w:rPr>
              <w:t>за отчетным кварталом</w:t>
            </w:r>
          </w:p>
        </w:tc>
      </w:tr>
    </w:tbl>
    <w:p w:rsidR="00937F96" w:rsidRDefault="00937F96" w:rsidP="00937F96"/>
    <w:p w:rsidR="00937F96" w:rsidRDefault="00937F96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Default="00A55FC7" w:rsidP="00F35822">
      <w:pPr>
        <w:jc w:val="both"/>
        <w:rPr>
          <w:sz w:val="26"/>
          <w:szCs w:val="26"/>
        </w:rPr>
      </w:pPr>
    </w:p>
    <w:p w:rsidR="00A55FC7" w:rsidRPr="00F35822" w:rsidRDefault="00A55FC7" w:rsidP="00F35822">
      <w:pPr>
        <w:jc w:val="both"/>
        <w:rPr>
          <w:sz w:val="26"/>
          <w:szCs w:val="26"/>
        </w:rPr>
      </w:pPr>
    </w:p>
    <w:p w:rsidR="00A55FC7" w:rsidRPr="00A55FC7" w:rsidRDefault="00A55FC7" w:rsidP="00A55FC7">
      <w:pPr>
        <w:tabs>
          <w:tab w:val="left" w:pos="993"/>
        </w:tabs>
        <w:jc w:val="both"/>
        <w:rPr>
          <w:sz w:val="26"/>
          <w:szCs w:val="26"/>
        </w:rPr>
      </w:pPr>
    </w:p>
    <w:p w:rsidR="00AB388E" w:rsidRPr="00A55FC7" w:rsidRDefault="00AB388E" w:rsidP="00A55FC7">
      <w:pPr>
        <w:ind w:left="360"/>
        <w:jc w:val="both"/>
        <w:rPr>
          <w:sz w:val="26"/>
          <w:szCs w:val="26"/>
        </w:rPr>
      </w:pPr>
    </w:p>
    <w:p w:rsidR="00AB388E" w:rsidRPr="00A55FC7" w:rsidRDefault="00AB388E" w:rsidP="00A55FC7">
      <w:pPr>
        <w:ind w:left="360"/>
        <w:jc w:val="both"/>
        <w:rPr>
          <w:sz w:val="26"/>
          <w:szCs w:val="26"/>
        </w:rPr>
      </w:pPr>
    </w:p>
    <w:p w:rsidR="00A55FC7" w:rsidRPr="00A55FC7" w:rsidRDefault="00A55FC7">
      <w:pPr>
        <w:ind w:left="360"/>
        <w:jc w:val="both"/>
        <w:rPr>
          <w:sz w:val="26"/>
          <w:szCs w:val="26"/>
        </w:rPr>
      </w:pPr>
    </w:p>
    <w:sectPr w:rsidR="00A55FC7" w:rsidRPr="00A55FC7" w:rsidSect="00B82E65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00" w:rsidRDefault="00852B00">
      <w:r>
        <w:separator/>
      </w:r>
    </w:p>
  </w:endnote>
  <w:endnote w:type="continuationSeparator" w:id="0">
    <w:p w:rsidR="00852B00" w:rsidRDefault="0085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00" w:rsidRDefault="00852B00">
      <w:r>
        <w:separator/>
      </w:r>
    </w:p>
  </w:footnote>
  <w:footnote w:type="continuationSeparator" w:id="0">
    <w:p w:rsidR="00852B00" w:rsidRDefault="00852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730958"/>
      <w:docPartObj>
        <w:docPartGallery w:val="Page Numbers (Top of Page)"/>
        <w:docPartUnique/>
      </w:docPartObj>
    </w:sdtPr>
    <w:sdtEndPr/>
    <w:sdtContent>
      <w:p w:rsidR="00B82E65" w:rsidRDefault="00B82E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6E">
          <w:rPr>
            <w:noProof/>
          </w:rPr>
          <w:t>2</w:t>
        </w:r>
        <w:r>
          <w:fldChar w:fldCharType="end"/>
        </w:r>
      </w:p>
    </w:sdtContent>
  </w:sdt>
  <w:p w:rsidR="00B82E65" w:rsidRDefault="00B82E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AEE6410"/>
    <w:multiLevelType w:val="hybridMultilevel"/>
    <w:tmpl w:val="E62A6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93DAC"/>
    <w:multiLevelType w:val="hybridMultilevel"/>
    <w:tmpl w:val="685CFA42"/>
    <w:lvl w:ilvl="0" w:tplc="46AED7D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1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BF2"/>
    <w:rsid w:val="000231C4"/>
    <w:rsid w:val="00023FE4"/>
    <w:rsid w:val="00035AF8"/>
    <w:rsid w:val="00040BA7"/>
    <w:rsid w:val="00043F26"/>
    <w:rsid w:val="0005047C"/>
    <w:rsid w:val="000504D2"/>
    <w:rsid w:val="00052700"/>
    <w:rsid w:val="00056828"/>
    <w:rsid w:val="00064335"/>
    <w:rsid w:val="00067348"/>
    <w:rsid w:val="00073BDC"/>
    <w:rsid w:val="000747C0"/>
    <w:rsid w:val="000778E9"/>
    <w:rsid w:val="00077A0E"/>
    <w:rsid w:val="00084C03"/>
    <w:rsid w:val="00091FBA"/>
    <w:rsid w:val="00092B86"/>
    <w:rsid w:val="000943B1"/>
    <w:rsid w:val="000943EB"/>
    <w:rsid w:val="0009465B"/>
    <w:rsid w:val="000A0097"/>
    <w:rsid w:val="000B054E"/>
    <w:rsid w:val="000C4D71"/>
    <w:rsid w:val="000C5E98"/>
    <w:rsid w:val="000C7253"/>
    <w:rsid w:val="000D4A53"/>
    <w:rsid w:val="000E4F62"/>
    <w:rsid w:val="000E4FCB"/>
    <w:rsid w:val="000E5BEC"/>
    <w:rsid w:val="00103EDB"/>
    <w:rsid w:val="00113E15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594C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7930"/>
    <w:rsid w:val="0020594B"/>
    <w:rsid w:val="002139E6"/>
    <w:rsid w:val="0021484D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832C4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21F8C"/>
    <w:rsid w:val="004231AD"/>
    <w:rsid w:val="00432F37"/>
    <w:rsid w:val="00450D10"/>
    <w:rsid w:val="00453E80"/>
    <w:rsid w:val="0045479F"/>
    <w:rsid w:val="00456D4E"/>
    <w:rsid w:val="00457460"/>
    <w:rsid w:val="004635DA"/>
    <w:rsid w:val="0046779E"/>
    <w:rsid w:val="00467CC0"/>
    <w:rsid w:val="00491DFB"/>
    <w:rsid w:val="0049272E"/>
    <w:rsid w:val="00496BCF"/>
    <w:rsid w:val="004A1C5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21B9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614F"/>
    <w:rsid w:val="005F7C2B"/>
    <w:rsid w:val="00605DD6"/>
    <w:rsid w:val="00610423"/>
    <w:rsid w:val="006166F1"/>
    <w:rsid w:val="00620D3A"/>
    <w:rsid w:val="006329CB"/>
    <w:rsid w:val="00636451"/>
    <w:rsid w:val="006437D7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41AD"/>
    <w:rsid w:val="00684A4B"/>
    <w:rsid w:val="006852C5"/>
    <w:rsid w:val="0069579B"/>
    <w:rsid w:val="00696BA3"/>
    <w:rsid w:val="006A3045"/>
    <w:rsid w:val="006A344D"/>
    <w:rsid w:val="006B3D43"/>
    <w:rsid w:val="006C268C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50FF"/>
    <w:rsid w:val="007A1393"/>
    <w:rsid w:val="007A48B1"/>
    <w:rsid w:val="007A6DC9"/>
    <w:rsid w:val="007A6FD5"/>
    <w:rsid w:val="007B4947"/>
    <w:rsid w:val="007D5FEA"/>
    <w:rsid w:val="007E07EA"/>
    <w:rsid w:val="007F1068"/>
    <w:rsid w:val="007F60A4"/>
    <w:rsid w:val="007F62CB"/>
    <w:rsid w:val="00802064"/>
    <w:rsid w:val="00814B40"/>
    <w:rsid w:val="00815617"/>
    <w:rsid w:val="00820795"/>
    <w:rsid w:val="00823406"/>
    <w:rsid w:val="0082515A"/>
    <w:rsid w:val="00834B48"/>
    <w:rsid w:val="00843D82"/>
    <w:rsid w:val="00852B00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5AF1"/>
    <w:rsid w:val="008C617E"/>
    <w:rsid w:val="008C7ECA"/>
    <w:rsid w:val="008D41C6"/>
    <w:rsid w:val="008D43DB"/>
    <w:rsid w:val="008D7DEE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37F96"/>
    <w:rsid w:val="00942577"/>
    <w:rsid w:val="00945347"/>
    <w:rsid w:val="00945484"/>
    <w:rsid w:val="0094581E"/>
    <w:rsid w:val="00946A53"/>
    <w:rsid w:val="00951C25"/>
    <w:rsid w:val="009520F2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164"/>
    <w:rsid w:val="009C1D7A"/>
    <w:rsid w:val="009C466F"/>
    <w:rsid w:val="009D00D9"/>
    <w:rsid w:val="009D070C"/>
    <w:rsid w:val="009D443B"/>
    <w:rsid w:val="009D644F"/>
    <w:rsid w:val="00A05B5A"/>
    <w:rsid w:val="00A0674F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55FC7"/>
    <w:rsid w:val="00A62810"/>
    <w:rsid w:val="00A7022C"/>
    <w:rsid w:val="00A72D8B"/>
    <w:rsid w:val="00A73645"/>
    <w:rsid w:val="00A7742E"/>
    <w:rsid w:val="00A85681"/>
    <w:rsid w:val="00A85BBB"/>
    <w:rsid w:val="00A86EC1"/>
    <w:rsid w:val="00A902B8"/>
    <w:rsid w:val="00A91584"/>
    <w:rsid w:val="00A924D7"/>
    <w:rsid w:val="00A94EED"/>
    <w:rsid w:val="00AA0FEC"/>
    <w:rsid w:val="00AA103D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231B"/>
    <w:rsid w:val="00AC58F9"/>
    <w:rsid w:val="00AC6693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78A9"/>
    <w:rsid w:val="00B81FC1"/>
    <w:rsid w:val="00B82E65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06BF"/>
    <w:rsid w:val="00BE22C8"/>
    <w:rsid w:val="00BE30A2"/>
    <w:rsid w:val="00BE3D68"/>
    <w:rsid w:val="00BE4E61"/>
    <w:rsid w:val="00BE52C3"/>
    <w:rsid w:val="00BE6D5F"/>
    <w:rsid w:val="00BF56DD"/>
    <w:rsid w:val="00C113D5"/>
    <w:rsid w:val="00C11486"/>
    <w:rsid w:val="00C1207D"/>
    <w:rsid w:val="00C15891"/>
    <w:rsid w:val="00C237E0"/>
    <w:rsid w:val="00C275E5"/>
    <w:rsid w:val="00C27699"/>
    <w:rsid w:val="00C32707"/>
    <w:rsid w:val="00C42732"/>
    <w:rsid w:val="00C42F36"/>
    <w:rsid w:val="00C43F05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437C2"/>
    <w:rsid w:val="00D506DA"/>
    <w:rsid w:val="00D51ABA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72C"/>
    <w:rsid w:val="00DB2D1A"/>
    <w:rsid w:val="00DC0B9D"/>
    <w:rsid w:val="00DC48AB"/>
    <w:rsid w:val="00DC67CB"/>
    <w:rsid w:val="00DD1E7C"/>
    <w:rsid w:val="00DD577A"/>
    <w:rsid w:val="00DD5D64"/>
    <w:rsid w:val="00DE0EF8"/>
    <w:rsid w:val="00DE48CA"/>
    <w:rsid w:val="00DE75E4"/>
    <w:rsid w:val="00E04CEB"/>
    <w:rsid w:val="00E11CC9"/>
    <w:rsid w:val="00E13124"/>
    <w:rsid w:val="00E13F11"/>
    <w:rsid w:val="00E26E29"/>
    <w:rsid w:val="00E276F0"/>
    <w:rsid w:val="00E34A54"/>
    <w:rsid w:val="00E35AB3"/>
    <w:rsid w:val="00E4083A"/>
    <w:rsid w:val="00E418BE"/>
    <w:rsid w:val="00E55058"/>
    <w:rsid w:val="00E5604F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9485D"/>
    <w:rsid w:val="00F9626E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37F9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93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37F9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93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23D0-74E7-4619-8737-B915F67E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13</cp:revision>
  <cp:lastPrinted>2015-09-28T07:35:00Z</cp:lastPrinted>
  <dcterms:created xsi:type="dcterms:W3CDTF">2017-02-28T07:05:00Z</dcterms:created>
  <dcterms:modified xsi:type="dcterms:W3CDTF">2017-02-28T10:50:00Z</dcterms:modified>
</cp:coreProperties>
</file>