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95" w:rsidRDefault="00154595" w:rsidP="009A5243">
      <w:pPr>
        <w:jc w:val="right"/>
        <w:rPr>
          <w:sz w:val="26"/>
          <w:szCs w:val="26"/>
        </w:rPr>
      </w:pPr>
    </w:p>
    <w:p w:rsidR="007B4CC2" w:rsidRPr="007B4CC2" w:rsidRDefault="007B4CC2" w:rsidP="007B4CC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CC2" w:rsidRPr="007B4CC2" w:rsidRDefault="007B4CC2" w:rsidP="007B4CC2">
      <w:pPr>
        <w:jc w:val="center"/>
        <w:rPr>
          <w:b/>
          <w:sz w:val="20"/>
          <w:szCs w:val="20"/>
        </w:rPr>
      </w:pPr>
    </w:p>
    <w:p w:rsidR="007B4CC2" w:rsidRPr="007B4CC2" w:rsidRDefault="007B4CC2" w:rsidP="007B4CC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7B4CC2">
        <w:rPr>
          <w:b/>
          <w:sz w:val="42"/>
          <w:szCs w:val="42"/>
        </w:rPr>
        <w:t xml:space="preserve">  </w:t>
      </w:r>
    </w:p>
    <w:p w:rsidR="007B4CC2" w:rsidRPr="007B4CC2" w:rsidRDefault="007B4CC2" w:rsidP="007B4CC2">
      <w:pPr>
        <w:jc w:val="center"/>
        <w:rPr>
          <w:b/>
          <w:sz w:val="19"/>
          <w:szCs w:val="42"/>
        </w:rPr>
      </w:pPr>
      <w:r w:rsidRPr="007B4CC2">
        <w:rPr>
          <w:b/>
          <w:sz w:val="42"/>
          <w:szCs w:val="42"/>
        </w:rPr>
        <w:t>НЕФТЕЮГАНСКОГО  РАЙОНА</w:t>
      </w:r>
    </w:p>
    <w:p w:rsidR="007B4CC2" w:rsidRPr="007B4CC2" w:rsidRDefault="007B4CC2" w:rsidP="007B4CC2">
      <w:pPr>
        <w:jc w:val="center"/>
        <w:rPr>
          <w:b/>
          <w:sz w:val="32"/>
        </w:rPr>
      </w:pPr>
    </w:p>
    <w:p w:rsidR="007B4CC2" w:rsidRPr="007B4CC2" w:rsidRDefault="007B4CC2" w:rsidP="007B4CC2">
      <w:pPr>
        <w:jc w:val="center"/>
        <w:rPr>
          <w:b/>
          <w:caps/>
          <w:sz w:val="36"/>
          <w:szCs w:val="38"/>
        </w:rPr>
      </w:pPr>
      <w:r w:rsidRPr="007B4CC2">
        <w:rPr>
          <w:b/>
          <w:caps/>
          <w:sz w:val="36"/>
          <w:szCs w:val="38"/>
        </w:rPr>
        <w:t>постановление</w:t>
      </w:r>
    </w:p>
    <w:p w:rsidR="007B4CC2" w:rsidRPr="007B4CC2" w:rsidRDefault="007B4CC2" w:rsidP="007B4CC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B4CC2" w:rsidRPr="007B4CC2" w:rsidTr="00BE4C4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B4CC2" w:rsidRPr="007B4CC2" w:rsidRDefault="007B4CC2" w:rsidP="007B4C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B4CC2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7B4CC2" w:rsidRPr="007B4CC2" w:rsidRDefault="007B4CC2" w:rsidP="007B4CC2">
            <w:pPr>
              <w:jc w:val="right"/>
              <w:rPr>
                <w:sz w:val="26"/>
                <w:szCs w:val="26"/>
                <w:u w:val="single"/>
              </w:rPr>
            </w:pPr>
            <w:r w:rsidRPr="007B4CC2">
              <w:rPr>
                <w:sz w:val="26"/>
                <w:szCs w:val="26"/>
              </w:rPr>
              <w:t>№</w:t>
            </w:r>
            <w:r w:rsidRPr="007B4CC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66-пг</w:t>
            </w:r>
          </w:p>
        </w:tc>
      </w:tr>
      <w:tr w:rsidR="007B4CC2" w:rsidRPr="007B4CC2" w:rsidTr="00BE4C4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B4CC2" w:rsidRPr="007B4CC2" w:rsidRDefault="007B4CC2" w:rsidP="007B4CC2">
            <w:pPr>
              <w:rPr>
                <w:sz w:val="4"/>
              </w:rPr>
            </w:pPr>
          </w:p>
          <w:p w:rsidR="007B4CC2" w:rsidRPr="007B4CC2" w:rsidRDefault="007B4CC2" w:rsidP="007B4CC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B4CC2" w:rsidRPr="007B4CC2" w:rsidRDefault="007B4CC2" w:rsidP="007B4CC2">
            <w:pPr>
              <w:jc w:val="right"/>
              <w:rPr>
                <w:sz w:val="20"/>
              </w:rPr>
            </w:pPr>
          </w:p>
        </w:tc>
      </w:tr>
    </w:tbl>
    <w:p w:rsidR="007B4CC2" w:rsidRPr="007B4CC2" w:rsidRDefault="007B4CC2" w:rsidP="007B4CC2">
      <w:pPr>
        <w:jc w:val="center"/>
      </w:pPr>
      <w:r w:rsidRPr="007B4CC2">
        <w:t>г.Нефтеюганск</w:t>
      </w:r>
    </w:p>
    <w:p w:rsidR="00B43590" w:rsidRDefault="00B43590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AE12CA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r w:rsidR="00AD026A" w:rsidRPr="00AD026A">
        <w:rPr>
          <w:bCs/>
          <w:sz w:val="26"/>
          <w:szCs w:val="26"/>
        </w:rPr>
        <w:t>Топала Юрия Александровича</w:t>
      </w:r>
      <w:r w:rsidR="00BE31A5" w:rsidRPr="00AD026A">
        <w:rPr>
          <w:bCs/>
          <w:sz w:val="26"/>
          <w:szCs w:val="26"/>
        </w:rPr>
        <w:t xml:space="preserve"> </w:t>
      </w:r>
      <w:r w:rsidR="00DE52FE" w:rsidRPr="00AD026A">
        <w:rPr>
          <w:bCs/>
          <w:sz w:val="26"/>
          <w:szCs w:val="26"/>
        </w:rPr>
        <w:t xml:space="preserve">(заявление </w:t>
      </w:r>
      <w:r w:rsidR="00DE52FE" w:rsidRPr="00AD026A">
        <w:rPr>
          <w:bCs/>
          <w:sz w:val="26"/>
          <w:szCs w:val="26"/>
        </w:rPr>
        <w:br/>
        <w:t xml:space="preserve">от </w:t>
      </w:r>
      <w:r w:rsidR="00AD026A" w:rsidRPr="00AD026A">
        <w:rPr>
          <w:bCs/>
          <w:sz w:val="26"/>
          <w:szCs w:val="26"/>
        </w:rPr>
        <w:t>30</w:t>
      </w:r>
      <w:r w:rsidR="0057306E" w:rsidRPr="00AD026A">
        <w:rPr>
          <w:bCs/>
          <w:sz w:val="26"/>
          <w:szCs w:val="26"/>
        </w:rPr>
        <w:t>.04</w:t>
      </w:r>
      <w:r w:rsidR="00C94F2B" w:rsidRPr="00AD026A">
        <w:rPr>
          <w:bCs/>
          <w:sz w:val="26"/>
          <w:szCs w:val="26"/>
        </w:rPr>
        <w:t>.2019</w:t>
      </w:r>
      <w:r w:rsidR="000E63E8" w:rsidRPr="00AD026A">
        <w:rPr>
          <w:bCs/>
          <w:sz w:val="26"/>
          <w:szCs w:val="26"/>
        </w:rPr>
        <w:t>)</w:t>
      </w:r>
      <w:r w:rsidR="00971CCC" w:rsidRPr="00AD026A">
        <w:rPr>
          <w:bCs/>
          <w:sz w:val="26"/>
          <w:szCs w:val="26"/>
        </w:rPr>
        <w:t>,</w:t>
      </w:r>
      <w:r w:rsidR="0030136E" w:rsidRPr="00AD026A">
        <w:rPr>
          <w:bCs/>
          <w:sz w:val="26"/>
          <w:szCs w:val="26"/>
        </w:rPr>
        <w:t xml:space="preserve"> </w:t>
      </w:r>
      <w:r w:rsidR="00AD026A" w:rsidRPr="00AD026A">
        <w:rPr>
          <w:bCs/>
          <w:sz w:val="26"/>
          <w:szCs w:val="26"/>
        </w:rPr>
        <w:t>Тютюнника Олега Григорьевича</w:t>
      </w:r>
      <w:r w:rsidR="00D04960" w:rsidRPr="00AD026A">
        <w:rPr>
          <w:bCs/>
          <w:sz w:val="26"/>
          <w:szCs w:val="26"/>
        </w:rPr>
        <w:t xml:space="preserve"> </w:t>
      </w:r>
      <w:r w:rsidR="008748F1" w:rsidRPr="00AD026A">
        <w:rPr>
          <w:bCs/>
          <w:sz w:val="26"/>
          <w:szCs w:val="26"/>
        </w:rPr>
        <w:t xml:space="preserve">(заявление от </w:t>
      </w:r>
      <w:r w:rsidR="00AD026A" w:rsidRPr="00AD026A">
        <w:rPr>
          <w:bCs/>
          <w:sz w:val="26"/>
          <w:szCs w:val="26"/>
        </w:rPr>
        <w:t>30</w:t>
      </w:r>
      <w:r w:rsidR="0057306E" w:rsidRPr="00AD026A">
        <w:rPr>
          <w:bCs/>
          <w:sz w:val="26"/>
          <w:szCs w:val="26"/>
        </w:rPr>
        <w:t>.04</w:t>
      </w:r>
      <w:r w:rsidR="000E224A" w:rsidRPr="00AD026A">
        <w:rPr>
          <w:bCs/>
          <w:sz w:val="26"/>
          <w:szCs w:val="26"/>
        </w:rPr>
        <w:t>.201</w:t>
      </w:r>
      <w:r w:rsidR="002B1BAA" w:rsidRPr="00AD026A">
        <w:rPr>
          <w:bCs/>
          <w:sz w:val="26"/>
          <w:szCs w:val="26"/>
        </w:rPr>
        <w:t>9</w:t>
      </w:r>
      <w:r w:rsidR="00F072B6" w:rsidRPr="00AD026A">
        <w:rPr>
          <w:bCs/>
          <w:sz w:val="26"/>
          <w:szCs w:val="26"/>
        </w:rPr>
        <w:t>)</w:t>
      </w:r>
      <w:r w:rsidR="000E224A" w:rsidRPr="00AD026A">
        <w:rPr>
          <w:bCs/>
          <w:sz w:val="26"/>
          <w:szCs w:val="26"/>
        </w:rPr>
        <w:t xml:space="preserve">, </w:t>
      </w:r>
      <w:r w:rsidR="00AD026A" w:rsidRPr="00AD026A">
        <w:rPr>
          <w:bCs/>
          <w:sz w:val="26"/>
          <w:szCs w:val="26"/>
        </w:rPr>
        <w:t>Коневича Богдана Иосифовича</w:t>
      </w:r>
      <w:r w:rsidR="00ED31E5" w:rsidRPr="00AD026A">
        <w:rPr>
          <w:bCs/>
          <w:sz w:val="26"/>
          <w:szCs w:val="26"/>
        </w:rPr>
        <w:t xml:space="preserve"> (заявление от </w:t>
      </w:r>
      <w:r w:rsidR="00AD026A" w:rsidRPr="00AD026A">
        <w:rPr>
          <w:bCs/>
          <w:sz w:val="26"/>
          <w:szCs w:val="26"/>
        </w:rPr>
        <w:t>07.05</w:t>
      </w:r>
      <w:r w:rsidR="00E001D3" w:rsidRPr="00AD026A">
        <w:rPr>
          <w:bCs/>
          <w:sz w:val="26"/>
          <w:szCs w:val="26"/>
        </w:rPr>
        <w:t>.2019)</w:t>
      </w:r>
      <w:r w:rsidR="00A36F51" w:rsidRPr="00AD026A">
        <w:rPr>
          <w:bCs/>
          <w:sz w:val="26"/>
          <w:szCs w:val="26"/>
        </w:rPr>
        <w:t>,</w:t>
      </w:r>
      <w:r w:rsidR="003900EE" w:rsidRPr="00AD026A">
        <w:rPr>
          <w:bCs/>
          <w:sz w:val="26"/>
          <w:szCs w:val="26"/>
        </w:rPr>
        <w:t xml:space="preserve"> </w:t>
      </w:r>
      <w:r w:rsidR="00AD026A" w:rsidRPr="00AD026A">
        <w:rPr>
          <w:bCs/>
          <w:sz w:val="26"/>
          <w:szCs w:val="26"/>
        </w:rPr>
        <w:t>Смирнова Михаила Алексеевича</w:t>
      </w:r>
      <w:r w:rsidR="003900EE" w:rsidRPr="00AD026A">
        <w:rPr>
          <w:bCs/>
          <w:sz w:val="26"/>
          <w:szCs w:val="26"/>
        </w:rPr>
        <w:t xml:space="preserve"> (заявление от </w:t>
      </w:r>
      <w:r w:rsidR="00AD026A" w:rsidRPr="00AD026A">
        <w:rPr>
          <w:bCs/>
          <w:sz w:val="26"/>
          <w:szCs w:val="26"/>
        </w:rPr>
        <w:t>06.05</w:t>
      </w:r>
      <w:r w:rsidR="003900EE" w:rsidRPr="00AD026A">
        <w:rPr>
          <w:bCs/>
          <w:sz w:val="26"/>
          <w:szCs w:val="26"/>
        </w:rPr>
        <w:t xml:space="preserve">.2019), </w:t>
      </w:r>
      <w:r w:rsidR="00AD026A" w:rsidRPr="00AD026A">
        <w:rPr>
          <w:bCs/>
          <w:sz w:val="26"/>
          <w:szCs w:val="26"/>
        </w:rPr>
        <w:t xml:space="preserve">Жуковиной </w:t>
      </w:r>
      <w:r w:rsidR="00AD026A" w:rsidRPr="00AE12CA">
        <w:rPr>
          <w:bCs/>
          <w:sz w:val="26"/>
          <w:szCs w:val="26"/>
        </w:rPr>
        <w:t xml:space="preserve">Татьяны Васильевны (заявление от 06.05.2019), Рыбниковой Евгении Николаевны (заявление от 04.05.2019),  Гецуша Сергея Виссарионовича (заявление от 04.05.2019) </w:t>
      </w:r>
      <w:r w:rsidR="002E2434" w:rsidRPr="00AE12CA">
        <w:rPr>
          <w:bCs/>
          <w:sz w:val="26"/>
          <w:szCs w:val="26"/>
        </w:rPr>
        <w:t xml:space="preserve"> </w:t>
      </w:r>
      <w:r w:rsidR="00B43590" w:rsidRPr="00AE12CA">
        <w:rPr>
          <w:sz w:val="26"/>
          <w:szCs w:val="26"/>
        </w:rPr>
        <w:t>п о с т а н о в л я ю:</w:t>
      </w:r>
    </w:p>
    <w:p w:rsidR="00447888" w:rsidRPr="00AE12CA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 </w:t>
      </w:r>
      <w:r w:rsidR="00493D06" w:rsidRPr="00493D06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льных участков с кадастровым</w:t>
      </w:r>
      <w:r w:rsidR="001F1F7F" w:rsidRPr="00AE12CA">
        <w:rPr>
          <w:sz w:val="26"/>
          <w:szCs w:val="26"/>
        </w:rPr>
        <w:t>и номерами</w:t>
      </w:r>
      <w:r w:rsidRPr="00AE12CA">
        <w:rPr>
          <w:sz w:val="26"/>
          <w:szCs w:val="26"/>
        </w:rPr>
        <w:t>:</w:t>
      </w:r>
    </w:p>
    <w:p w:rsidR="00447888" w:rsidRPr="00AE12CA" w:rsidRDefault="00E86612" w:rsidP="00E95D2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86:</w:t>
      </w:r>
      <w:r w:rsidR="00795D03" w:rsidRPr="00AE12CA">
        <w:rPr>
          <w:sz w:val="26"/>
          <w:szCs w:val="26"/>
        </w:rPr>
        <w:t>08:</w:t>
      </w:r>
      <w:r w:rsidR="00A36F51" w:rsidRPr="00AE12CA">
        <w:rPr>
          <w:sz w:val="26"/>
          <w:szCs w:val="26"/>
        </w:rPr>
        <w:t>0020801:</w:t>
      </w:r>
      <w:r w:rsidR="00AE12CA" w:rsidRPr="00AE12CA">
        <w:rPr>
          <w:sz w:val="26"/>
          <w:szCs w:val="26"/>
        </w:rPr>
        <w:t>8971</w:t>
      </w:r>
      <w:r w:rsidR="0021291C" w:rsidRPr="00AE12CA">
        <w:rPr>
          <w:sz w:val="26"/>
          <w:szCs w:val="26"/>
        </w:rPr>
        <w:t xml:space="preserve">, </w:t>
      </w:r>
      <w:r w:rsidR="00795D03" w:rsidRPr="00AE12CA">
        <w:rPr>
          <w:sz w:val="26"/>
          <w:szCs w:val="26"/>
        </w:rPr>
        <w:t xml:space="preserve">площадью </w:t>
      </w:r>
      <w:r w:rsidR="00AE12CA" w:rsidRPr="00AE12CA">
        <w:rPr>
          <w:sz w:val="26"/>
          <w:szCs w:val="26"/>
        </w:rPr>
        <w:t>1058</w:t>
      </w:r>
      <w:r w:rsidR="00447888" w:rsidRPr="00AE12CA">
        <w:rPr>
          <w:sz w:val="26"/>
          <w:szCs w:val="26"/>
        </w:rPr>
        <w:t xml:space="preserve"> кв.м, расположенного по</w:t>
      </w:r>
      <w:r w:rsidR="00865A37" w:rsidRPr="00AE12CA">
        <w:rPr>
          <w:sz w:val="26"/>
          <w:szCs w:val="26"/>
        </w:rPr>
        <w:t xml:space="preserve"> адресу:</w:t>
      </w:r>
      <w:r w:rsidR="00520E58" w:rsidRPr="00AE12CA">
        <w:rPr>
          <w:color w:val="000000"/>
          <w:sz w:val="26"/>
          <w:szCs w:val="26"/>
        </w:rPr>
        <w:t xml:space="preserve"> </w:t>
      </w:r>
      <w:r w:rsidR="00C60F0F" w:rsidRPr="00AE12CA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AE12CA" w:rsidRPr="00AE12CA">
        <w:rPr>
          <w:color w:val="000000"/>
          <w:sz w:val="26"/>
          <w:szCs w:val="26"/>
        </w:rPr>
        <w:t>в границах</w:t>
      </w:r>
      <w:r w:rsidR="00C60F0F" w:rsidRPr="00AE12CA">
        <w:rPr>
          <w:color w:val="000000"/>
          <w:sz w:val="26"/>
          <w:szCs w:val="26"/>
        </w:rPr>
        <w:t xml:space="preserve"> участка. Почтовый адрес ориентира: </w:t>
      </w:r>
      <w:r w:rsidR="00C44B18" w:rsidRPr="00AE12CA">
        <w:rPr>
          <w:color w:val="000000"/>
          <w:sz w:val="26"/>
          <w:szCs w:val="26"/>
        </w:rPr>
        <w:t xml:space="preserve">Ханты-Мансийский </w:t>
      </w:r>
      <w:r w:rsidR="00203DC6" w:rsidRPr="00AE12CA">
        <w:rPr>
          <w:color w:val="000000"/>
          <w:sz w:val="26"/>
          <w:szCs w:val="26"/>
        </w:rPr>
        <w:t xml:space="preserve">автономный округ </w:t>
      </w:r>
      <w:r w:rsidR="00C44B18" w:rsidRPr="00AE12CA">
        <w:rPr>
          <w:color w:val="000000"/>
          <w:sz w:val="26"/>
          <w:szCs w:val="26"/>
        </w:rPr>
        <w:t>–</w:t>
      </w:r>
      <w:r w:rsidR="00F5717D" w:rsidRPr="00AE12CA">
        <w:rPr>
          <w:color w:val="000000"/>
          <w:sz w:val="26"/>
          <w:szCs w:val="26"/>
        </w:rPr>
        <w:t xml:space="preserve"> Югра, </w:t>
      </w:r>
      <w:r w:rsidR="00C44B18" w:rsidRPr="00AE12CA">
        <w:rPr>
          <w:color w:val="000000"/>
          <w:sz w:val="26"/>
          <w:szCs w:val="26"/>
        </w:rPr>
        <w:t xml:space="preserve"> </w:t>
      </w:r>
      <w:r w:rsidR="00AE12CA" w:rsidRPr="00AE12CA">
        <w:rPr>
          <w:color w:val="000000"/>
          <w:sz w:val="26"/>
          <w:szCs w:val="26"/>
        </w:rPr>
        <w:t xml:space="preserve">р-н </w:t>
      </w:r>
      <w:r w:rsidR="00580B09" w:rsidRPr="00AE12CA">
        <w:rPr>
          <w:color w:val="000000"/>
          <w:sz w:val="26"/>
          <w:szCs w:val="26"/>
        </w:rPr>
        <w:t>Нефтеюганский</w:t>
      </w:r>
      <w:r w:rsidR="00865A37" w:rsidRPr="00AE12CA">
        <w:rPr>
          <w:color w:val="000000"/>
          <w:sz w:val="26"/>
          <w:szCs w:val="26"/>
        </w:rPr>
        <w:t>,</w:t>
      </w:r>
      <w:r w:rsidR="003D44B2" w:rsidRPr="00AE12CA">
        <w:rPr>
          <w:sz w:val="26"/>
          <w:szCs w:val="26"/>
        </w:rPr>
        <w:t xml:space="preserve"> </w:t>
      </w:r>
      <w:r w:rsidR="00AE12CA" w:rsidRPr="00AE12CA">
        <w:rPr>
          <w:sz w:val="26"/>
          <w:szCs w:val="26"/>
        </w:rPr>
        <w:t xml:space="preserve">урочище «Олений остров», </w:t>
      </w:r>
      <w:r w:rsidR="00C60F0F" w:rsidRPr="00AE12CA">
        <w:rPr>
          <w:sz w:val="26"/>
          <w:szCs w:val="26"/>
        </w:rPr>
        <w:t xml:space="preserve"> </w:t>
      </w:r>
      <w:r w:rsidR="00A36F51" w:rsidRPr="00AE12CA">
        <w:rPr>
          <w:sz w:val="26"/>
          <w:szCs w:val="26"/>
        </w:rPr>
        <w:t>СНТ «</w:t>
      </w:r>
      <w:r w:rsidR="00AE12CA" w:rsidRPr="00AE12CA">
        <w:rPr>
          <w:sz w:val="26"/>
          <w:szCs w:val="26"/>
        </w:rPr>
        <w:t>Северный</w:t>
      </w:r>
      <w:r w:rsidR="00C60F0F" w:rsidRPr="00AE12CA">
        <w:rPr>
          <w:sz w:val="26"/>
          <w:szCs w:val="26"/>
        </w:rPr>
        <w:t xml:space="preserve">», участок </w:t>
      </w:r>
      <w:r w:rsidR="00AE12CA" w:rsidRPr="00AE12CA">
        <w:rPr>
          <w:sz w:val="26"/>
          <w:szCs w:val="26"/>
        </w:rPr>
        <w:t>№ 761</w:t>
      </w:r>
      <w:r w:rsidR="00A36F51" w:rsidRPr="00AE12CA">
        <w:rPr>
          <w:sz w:val="26"/>
          <w:szCs w:val="26"/>
        </w:rPr>
        <w:t>.</w:t>
      </w:r>
    </w:p>
    <w:p w:rsidR="003C3D26" w:rsidRPr="0027526B" w:rsidRDefault="00E001D3" w:rsidP="00E001D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D6EA0">
        <w:rPr>
          <w:color w:val="000000"/>
          <w:sz w:val="26"/>
          <w:szCs w:val="26"/>
        </w:rPr>
        <w:t>86:08:</w:t>
      </w:r>
      <w:r w:rsidR="005D6EA0" w:rsidRPr="005D6EA0">
        <w:rPr>
          <w:color w:val="000000"/>
          <w:sz w:val="26"/>
          <w:szCs w:val="26"/>
        </w:rPr>
        <w:t>0020801:9409</w:t>
      </w:r>
      <w:r w:rsidR="00795D03" w:rsidRPr="005D6EA0">
        <w:rPr>
          <w:color w:val="000000"/>
          <w:sz w:val="26"/>
          <w:szCs w:val="26"/>
        </w:rPr>
        <w:t xml:space="preserve">, площадью </w:t>
      </w:r>
      <w:r w:rsidR="005D6EA0" w:rsidRPr="005D6EA0">
        <w:rPr>
          <w:color w:val="000000"/>
          <w:sz w:val="26"/>
          <w:szCs w:val="26"/>
        </w:rPr>
        <w:t>803</w:t>
      </w:r>
      <w:r w:rsidR="003C3D26" w:rsidRPr="005D6EA0">
        <w:rPr>
          <w:color w:val="000000"/>
          <w:sz w:val="26"/>
          <w:szCs w:val="26"/>
        </w:rPr>
        <w:t xml:space="preserve"> кв.м, расположенного по адресу:</w:t>
      </w:r>
      <w:r w:rsidR="00F943E1" w:rsidRPr="005D6EA0">
        <w:rPr>
          <w:color w:val="000000"/>
          <w:sz w:val="26"/>
          <w:szCs w:val="26"/>
        </w:rPr>
        <w:t xml:space="preserve"> </w:t>
      </w:r>
      <w:r w:rsidR="00C60F0F" w:rsidRPr="005D6EA0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07300F" w:rsidRPr="005D6EA0">
        <w:rPr>
          <w:color w:val="000000"/>
          <w:sz w:val="26"/>
          <w:szCs w:val="26"/>
        </w:rPr>
        <w:t xml:space="preserve">Ханты-Мансийский </w:t>
      </w:r>
      <w:r w:rsidR="00F072B6" w:rsidRPr="005D6EA0">
        <w:rPr>
          <w:color w:val="000000"/>
          <w:sz w:val="26"/>
          <w:szCs w:val="26"/>
        </w:rPr>
        <w:t xml:space="preserve"> автономный округ</w:t>
      </w:r>
      <w:r w:rsidR="00F943E1" w:rsidRPr="005D6EA0">
        <w:rPr>
          <w:sz w:val="26"/>
          <w:szCs w:val="26"/>
        </w:rPr>
        <w:t xml:space="preserve"> – </w:t>
      </w:r>
      <w:r w:rsidR="00F072B6" w:rsidRPr="005D6EA0">
        <w:rPr>
          <w:color w:val="000000"/>
          <w:sz w:val="26"/>
          <w:szCs w:val="26"/>
        </w:rPr>
        <w:t>Югра</w:t>
      </w:r>
      <w:r w:rsidR="0007300F" w:rsidRPr="005D6EA0">
        <w:rPr>
          <w:color w:val="000000"/>
          <w:sz w:val="26"/>
          <w:szCs w:val="26"/>
        </w:rPr>
        <w:t>,</w:t>
      </w:r>
      <w:r w:rsidR="00580B09" w:rsidRPr="005D6EA0">
        <w:rPr>
          <w:color w:val="000000"/>
          <w:sz w:val="26"/>
          <w:szCs w:val="26"/>
        </w:rPr>
        <w:t xml:space="preserve"> </w:t>
      </w:r>
      <w:r w:rsidR="00C60F0F" w:rsidRPr="005D6EA0">
        <w:rPr>
          <w:color w:val="000000"/>
          <w:sz w:val="26"/>
          <w:szCs w:val="26"/>
        </w:rPr>
        <w:t xml:space="preserve">р-н </w:t>
      </w:r>
      <w:r w:rsidR="002D2D27" w:rsidRPr="0027526B">
        <w:rPr>
          <w:color w:val="000000"/>
          <w:sz w:val="26"/>
          <w:szCs w:val="26"/>
        </w:rPr>
        <w:t>Н</w:t>
      </w:r>
      <w:r w:rsidR="0007300F" w:rsidRPr="0027526B">
        <w:rPr>
          <w:color w:val="000000"/>
          <w:sz w:val="26"/>
          <w:szCs w:val="26"/>
        </w:rPr>
        <w:t>ефтеюганский</w:t>
      </w:r>
      <w:r w:rsidR="005D6EA0" w:rsidRPr="0027526B">
        <w:rPr>
          <w:color w:val="000000"/>
          <w:sz w:val="26"/>
          <w:szCs w:val="26"/>
        </w:rPr>
        <w:t>.</w:t>
      </w:r>
    </w:p>
    <w:p w:rsidR="000706B4" w:rsidRPr="0027526B" w:rsidRDefault="000706B4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</w:t>
      </w:r>
      <w:r w:rsidR="0027526B" w:rsidRPr="0027526B">
        <w:rPr>
          <w:color w:val="000000"/>
          <w:sz w:val="26"/>
          <w:szCs w:val="26"/>
        </w:rPr>
        <w:t>9490</w:t>
      </w:r>
      <w:r w:rsidR="0079792C" w:rsidRPr="0027526B">
        <w:rPr>
          <w:color w:val="000000"/>
          <w:sz w:val="26"/>
          <w:szCs w:val="26"/>
        </w:rPr>
        <w:t>,</w:t>
      </w:r>
      <w:r w:rsidRPr="0027526B">
        <w:rPr>
          <w:color w:val="000000"/>
          <w:sz w:val="26"/>
          <w:szCs w:val="26"/>
        </w:rPr>
        <w:t xml:space="preserve"> площадью </w:t>
      </w:r>
      <w:r w:rsidR="0027526B" w:rsidRPr="0027526B">
        <w:rPr>
          <w:color w:val="000000"/>
          <w:sz w:val="26"/>
          <w:szCs w:val="26"/>
        </w:rPr>
        <w:t>447</w:t>
      </w:r>
      <w:r w:rsidRPr="0027526B">
        <w:rPr>
          <w:color w:val="000000"/>
          <w:sz w:val="26"/>
          <w:szCs w:val="26"/>
        </w:rPr>
        <w:t xml:space="preserve"> кв.м, расположенного по адресу:</w:t>
      </w:r>
      <w:r w:rsidR="00474B26" w:rsidRPr="0027526B">
        <w:rPr>
          <w:color w:val="000000"/>
          <w:sz w:val="26"/>
          <w:szCs w:val="26"/>
        </w:rPr>
        <w:t xml:space="preserve"> </w:t>
      </w:r>
      <w:r w:rsidR="0027526B" w:rsidRPr="0027526B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2B1BAA" w:rsidRPr="0027526B">
        <w:rPr>
          <w:color w:val="000000"/>
          <w:sz w:val="26"/>
          <w:szCs w:val="26"/>
        </w:rPr>
        <w:t>Ханты-</w:t>
      </w:r>
      <w:r w:rsidRPr="0027526B">
        <w:rPr>
          <w:color w:val="000000"/>
          <w:sz w:val="26"/>
          <w:szCs w:val="26"/>
        </w:rPr>
        <w:t xml:space="preserve">Мансийский автономный округ </w:t>
      </w:r>
      <w:r w:rsidR="00F943E1" w:rsidRPr="0027526B">
        <w:rPr>
          <w:sz w:val="26"/>
          <w:szCs w:val="26"/>
        </w:rPr>
        <w:t xml:space="preserve"> – </w:t>
      </w:r>
      <w:r w:rsidRPr="0027526B">
        <w:rPr>
          <w:color w:val="000000"/>
          <w:sz w:val="26"/>
          <w:szCs w:val="26"/>
        </w:rPr>
        <w:t xml:space="preserve"> Югра,</w:t>
      </w:r>
      <w:r w:rsidR="002D2D27" w:rsidRPr="0027526B">
        <w:rPr>
          <w:color w:val="000000"/>
          <w:sz w:val="26"/>
          <w:szCs w:val="26"/>
        </w:rPr>
        <w:t xml:space="preserve"> </w:t>
      </w:r>
      <w:r w:rsidR="0027526B" w:rsidRPr="0027526B">
        <w:rPr>
          <w:color w:val="000000"/>
          <w:sz w:val="26"/>
          <w:szCs w:val="26"/>
        </w:rPr>
        <w:t>р-н Нефтеюганский</w:t>
      </w:r>
      <w:r w:rsidR="0079792C" w:rsidRPr="0027526B">
        <w:rPr>
          <w:color w:val="000000"/>
          <w:sz w:val="26"/>
          <w:szCs w:val="26"/>
        </w:rPr>
        <w:t xml:space="preserve">, </w:t>
      </w:r>
      <w:r w:rsidR="0027526B" w:rsidRPr="0027526B">
        <w:rPr>
          <w:color w:val="000000"/>
          <w:sz w:val="26"/>
          <w:szCs w:val="26"/>
        </w:rPr>
        <w:t xml:space="preserve">в районе куста 24 Усть-Балыкского месторождения нефти, </w:t>
      </w:r>
      <w:r w:rsidR="00493D06">
        <w:rPr>
          <w:color w:val="000000"/>
          <w:sz w:val="26"/>
          <w:szCs w:val="26"/>
        </w:rPr>
        <w:br/>
      </w:r>
      <w:r w:rsidR="0027526B" w:rsidRPr="0027526B">
        <w:rPr>
          <w:color w:val="000000"/>
          <w:sz w:val="26"/>
          <w:szCs w:val="26"/>
        </w:rPr>
        <w:t>СНТ Заря, уч 6.</w:t>
      </w:r>
    </w:p>
    <w:p w:rsidR="003900EE" w:rsidRPr="0027526B" w:rsidRDefault="0027526B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86:08:0020801:16214</w:t>
      </w:r>
      <w:r w:rsidR="0079792C" w:rsidRPr="0027526B">
        <w:rPr>
          <w:color w:val="000000"/>
          <w:sz w:val="26"/>
          <w:szCs w:val="26"/>
        </w:rPr>
        <w:t>,</w:t>
      </w:r>
      <w:r w:rsidR="003900EE" w:rsidRPr="0027526B">
        <w:rPr>
          <w:color w:val="000000"/>
          <w:sz w:val="26"/>
          <w:szCs w:val="26"/>
        </w:rPr>
        <w:t xml:space="preserve"> площадью </w:t>
      </w:r>
      <w:r w:rsidRPr="0027526B">
        <w:rPr>
          <w:color w:val="000000"/>
          <w:sz w:val="26"/>
          <w:szCs w:val="26"/>
        </w:rPr>
        <w:t>525</w:t>
      </w:r>
      <w:r w:rsidR="003900EE" w:rsidRPr="0027526B">
        <w:rPr>
          <w:color w:val="000000"/>
          <w:sz w:val="26"/>
          <w:szCs w:val="26"/>
        </w:rPr>
        <w:t xml:space="preserve"> кв.м, расположенного по адресу: Ханты-Мансийский автономный округ </w:t>
      </w:r>
      <w:r w:rsidR="003900EE" w:rsidRPr="0027526B">
        <w:rPr>
          <w:sz w:val="26"/>
          <w:szCs w:val="26"/>
        </w:rPr>
        <w:t xml:space="preserve"> – </w:t>
      </w:r>
      <w:r w:rsidR="003900EE" w:rsidRPr="0027526B">
        <w:rPr>
          <w:color w:val="000000"/>
          <w:sz w:val="26"/>
          <w:szCs w:val="26"/>
        </w:rPr>
        <w:t xml:space="preserve"> Югра, Нефтеюганский район, </w:t>
      </w:r>
      <w:r w:rsidR="00493D06">
        <w:rPr>
          <w:color w:val="000000"/>
          <w:sz w:val="26"/>
          <w:szCs w:val="26"/>
        </w:rPr>
        <w:br/>
      </w:r>
      <w:r w:rsidRPr="0027526B">
        <w:rPr>
          <w:color w:val="000000"/>
          <w:sz w:val="26"/>
          <w:szCs w:val="26"/>
        </w:rPr>
        <w:t>СНТ «Северный», участок № 550.</w:t>
      </w:r>
    </w:p>
    <w:p w:rsidR="005D6EA0" w:rsidRPr="00103320" w:rsidRDefault="005D6EA0" w:rsidP="005D6EA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</w:t>
      </w:r>
      <w:r w:rsidR="0027526B" w:rsidRPr="0027526B">
        <w:rPr>
          <w:color w:val="000000"/>
          <w:sz w:val="26"/>
          <w:szCs w:val="26"/>
        </w:rPr>
        <w:t>8385</w:t>
      </w:r>
      <w:r w:rsidR="001829D4">
        <w:rPr>
          <w:color w:val="000000"/>
          <w:sz w:val="26"/>
          <w:szCs w:val="26"/>
        </w:rPr>
        <w:t>, площадью 1157</w:t>
      </w:r>
      <w:r w:rsidRPr="0027526B">
        <w:rPr>
          <w:color w:val="000000"/>
          <w:sz w:val="26"/>
          <w:szCs w:val="26"/>
        </w:rPr>
        <w:t xml:space="preserve"> кв.м, расположенного по адресу: </w:t>
      </w:r>
      <w:r w:rsidR="0027526B" w:rsidRPr="0027526B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в границах участка. </w:t>
      </w:r>
      <w:r w:rsidR="0027526B" w:rsidRPr="00103320">
        <w:rPr>
          <w:color w:val="000000"/>
          <w:sz w:val="26"/>
          <w:szCs w:val="26"/>
        </w:rPr>
        <w:t xml:space="preserve">Почтовый адрес ориентира: </w:t>
      </w:r>
      <w:r w:rsidRPr="00103320">
        <w:rPr>
          <w:color w:val="000000"/>
          <w:sz w:val="26"/>
          <w:szCs w:val="26"/>
        </w:rPr>
        <w:t xml:space="preserve">Ханты-Мансийский автономный округ – Югра, </w:t>
      </w:r>
      <w:r w:rsidR="0027526B" w:rsidRPr="00103320">
        <w:rPr>
          <w:color w:val="000000"/>
          <w:sz w:val="26"/>
          <w:szCs w:val="26"/>
        </w:rPr>
        <w:t>р-н Нефтеюганский</w:t>
      </w:r>
      <w:r w:rsidRPr="00103320">
        <w:rPr>
          <w:color w:val="000000"/>
          <w:sz w:val="26"/>
          <w:szCs w:val="26"/>
        </w:rPr>
        <w:t xml:space="preserve">, </w:t>
      </w:r>
      <w:r w:rsidR="0027526B" w:rsidRPr="00103320">
        <w:rPr>
          <w:color w:val="000000"/>
          <w:sz w:val="26"/>
          <w:szCs w:val="26"/>
        </w:rPr>
        <w:t>на берегу пр. Сингапайская, в районе 91 куста Усть-Балыкского месторождения нефти, СНТ «Энергетик», участок № 340</w:t>
      </w:r>
      <w:r w:rsidRPr="00103320">
        <w:rPr>
          <w:color w:val="000000"/>
          <w:sz w:val="26"/>
          <w:szCs w:val="26"/>
        </w:rPr>
        <w:t>.</w:t>
      </w:r>
    </w:p>
    <w:p w:rsidR="005D6EA0" w:rsidRPr="00103320" w:rsidRDefault="005D6EA0" w:rsidP="005D6EA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103320">
        <w:rPr>
          <w:color w:val="000000"/>
          <w:sz w:val="26"/>
          <w:szCs w:val="26"/>
        </w:rPr>
        <w:t>86:08:0020801:</w:t>
      </w:r>
      <w:r w:rsidR="00103320" w:rsidRPr="00103320">
        <w:rPr>
          <w:color w:val="000000"/>
          <w:sz w:val="26"/>
          <w:szCs w:val="26"/>
        </w:rPr>
        <w:t>16218</w:t>
      </w:r>
      <w:r w:rsidRPr="00103320">
        <w:rPr>
          <w:color w:val="000000"/>
          <w:sz w:val="26"/>
          <w:szCs w:val="26"/>
        </w:rPr>
        <w:t xml:space="preserve">, площадью </w:t>
      </w:r>
      <w:r w:rsidR="00103320" w:rsidRPr="00103320">
        <w:rPr>
          <w:color w:val="000000"/>
          <w:sz w:val="26"/>
          <w:szCs w:val="26"/>
        </w:rPr>
        <w:t>509</w:t>
      </w:r>
      <w:r w:rsidRPr="00103320">
        <w:rPr>
          <w:color w:val="000000"/>
          <w:sz w:val="26"/>
          <w:szCs w:val="26"/>
        </w:rPr>
        <w:t xml:space="preserve"> кв.м, расположенного по адресу: Ханты-Мансийский автономный округ </w:t>
      </w:r>
      <w:r w:rsidRPr="00103320">
        <w:rPr>
          <w:sz w:val="26"/>
          <w:szCs w:val="26"/>
        </w:rPr>
        <w:t xml:space="preserve">– </w:t>
      </w:r>
      <w:r w:rsidRPr="00103320">
        <w:rPr>
          <w:color w:val="000000"/>
          <w:sz w:val="26"/>
          <w:szCs w:val="26"/>
        </w:rPr>
        <w:t xml:space="preserve">Югра, Нефтеюганский район, </w:t>
      </w:r>
      <w:r w:rsidR="00493D06">
        <w:rPr>
          <w:color w:val="000000"/>
          <w:sz w:val="26"/>
          <w:szCs w:val="26"/>
        </w:rPr>
        <w:br/>
      </w:r>
      <w:r w:rsidR="00103320" w:rsidRPr="00103320">
        <w:rPr>
          <w:color w:val="000000"/>
          <w:sz w:val="26"/>
          <w:szCs w:val="26"/>
        </w:rPr>
        <w:t>Усть-Балыкское месторождение нефти, куст 24, ТСН «Сибиряк», участок № 38</w:t>
      </w:r>
      <w:r w:rsidRPr="00103320">
        <w:rPr>
          <w:color w:val="000000"/>
          <w:sz w:val="26"/>
          <w:szCs w:val="26"/>
        </w:rPr>
        <w:t>.</w:t>
      </w:r>
    </w:p>
    <w:p w:rsidR="005D6EA0" w:rsidRPr="004124D3" w:rsidRDefault="00103320" w:rsidP="005D6EA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124D3">
        <w:rPr>
          <w:color w:val="000000"/>
          <w:sz w:val="26"/>
          <w:szCs w:val="26"/>
        </w:rPr>
        <w:t>86:08:0020801:16177</w:t>
      </w:r>
      <w:r w:rsidR="005D6EA0" w:rsidRPr="004124D3">
        <w:rPr>
          <w:color w:val="000000"/>
          <w:sz w:val="26"/>
          <w:szCs w:val="26"/>
        </w:rPr>
        <w:t xml:space="preserve">, площадью </w:t>
      </w:r>
      <w:r w:rsidRPr="004124D3">
        <w:rPr>
          <w:color w:val="000000"/>
          <w:sz w:val="26"/>
          <w:szCs w:val="26"/>
        </w:rPr>
        <w:t>401</w:t>
      </w:r>
      <w:r w:rsidR="005D6EA0" w:rsidRPr="004124D3">
        <w:rPr>
          <w:color w:val="000000"/>
          <w:sz w:val="26"/>
          <w:szCs w:val="26"/>
        </w:rPr>
        <w:t xml:space="preserve"> кв.м, расположенного по адресу: Ханты-Мансийский автономный округ </w:t>
      </w:r>
      <w:r w:rsidR="005D6EA0" w:rsidRPr="004124D3">
        <w:rPr>
          <w:sz w:val="26"/>
          <w:szCs w:val="26"/>
        </w:rPr>
        <w:t xml:space="preserve">– </w:t>
      </w:r>
      <w:r w:rsidR="005D6EA0" w:rsidRPr="004124D3">
        <w:rPr>
          <w:color w:val="000000"/>
          <w:sz w:val="26"/>
          <w:szCs w:val="26"/>
        </w:rPr>
        <w:t xml:space="preserve">Югра, Нефтеюганский район, </w:t>
      </w:r>
      <w:r w:rsidR="00493D06">
        <w:rPr>
          <w:color w:val="000000"/>
          <w:sz w:val="26"/>
          <w:szCs w:val="26"/>
        </w:rPr>
        <w:br/>
      </w:r>
      <w:r w:rsidRPr="004124D3">
        <w:rPr>
          <w:color w:val="000000"/>
          <w:sz w:val="26"/>
          <w:szCs w:val="26"/>
        </w:rPr>
        <w:t>СНТ «Северный», участок № 83</w:t>
      </w:r>
      <w:r w:rsidR="005D6EA0" w:rsidRPr="004124D3">
        <w:rPr>
          <w:color w:val="000000"/>
          <w:sz w:val="26"/>
          <w:szCs w:val="26"/>
        </w:rPr>
        <w:t>.</w:t>
      </w:r>
    </w:p>
    <w:p w:rsidR="00447888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Срок пр</w:t>
      </w:r>
      <w:r w:rsidR="00F12069" w:rsidRPr="004124D3">
        <w:rPr>
          <w:sz w:val="26"/>
          <w:szCs w:val="26"/>
        </w:rPr>
        <w:t>оведения публи</w:t>
      </w:r>
      <w:r w:rsidR="00A9759B" w:rsidRPr="004124D3">
        <w:rPr>
          <w:sz w:val="26"/>
          <w:szCs w:val="26"/>
        </w:rPr>
        <w:t xml:space="preserve">чных слушаний с </w:t>
      </w:r>
      <w:r w:rsidR="004124D3" w:rsidRPr="004124D3">
        <w:rPr>
          <w:sz w:val="26"/>
          <w:szCs w:val="26"/>
        </w:rPr>
        <w:t>23</w:t>
      </w:r>
      <w:r w:rsidR="0079792C" w:rsidRPr="004124D3">
        <w:rPr>
          <w:sz w:val="26"/>
          <w:szCs w:val="26"/>
        </w:rPr>
        <w:t>.05</w:t>
      </w:r>
      <w:r w:rsidR="00124A63" w:rsidRPr="004124D3">
        <w:rPr>
          <w:sz w:val="26"/>
          <w:szCs w:val="26"/>
        </w:rPr>
        <w:t xml:space="preserve">.2019 по </w:t>
      </w:r>
      <w:r w:rsidR="004124D3" w:rsidRPr="004124D3">
        <w:rPr>
          <w:sz w:val="26"/>
          <w:szCs w:val="26"/>
        </w:rPr>
        <w:t>14.06</w:t>
      </w:r>
      <w:r w:rsidR="00527AD7" w:rsidRPr="004124D3">
        <w:rPr>
          <w:sz w:val="26"/>
          <w:szCs w:val="26"/>
        </w:rPr>
        <w:t>.2019</w:t>
      </w:r>
      <w:r w:rsidRPr="004124D3">
        <w:rPr>
          <w:sz w:val="26"/>
          <w:szCs w:val="26"/>
        </w:rPr>
        <w:t xml:space="preserve">. </w:t>
      </w:r>
    </w:p>
    <w:p w:rsidR="00481640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Назначить собрание уча</w:t>
      </w:r>
      <w:r w:rsidR="00024861" w:rsidRPr="004124D3">
        <w:rPr>
          <w:sz w:val="26"/>
          <w:szCs w:val="26"/>
        </w:rPr>
        <w:t>стников публичных слушаний на</w:t>
      </w:r>
      <w:r w:rsidR="006437D5" w:rsidRPr="004124D3">
        <w:rPr>
          <w:sz w:val="26"/>
          <w:szCs w:val="26"/>
        </w:rPr>
        <w:t xml:space="preserve"> </w:t>
      </w:r>
      <w:r w:rsidR="004124D3" w:rsidRPr="004124D3">
        <w:rPr>
          <w:sz w:val="26"/>
          <w:szCs w:val="26"/>
        </w:rPr>
        <w:t>04.06</w:t>
      </w:r>
      <w:r w:rsidR="00527AD7" w:rsidRPr="004124D3">
        <w:rPr>
          <w:sz w:val="26"/>
          <w:szCs w:val="26"/>
        </w:rPr>
        <w:t>.2019</w:t>
      </w:r>
      <w:r w:rsidR="00F6608D" w:rsidRPr="004124D3">
        <w:rPr>
          <w:sz w:val="26"/>
          <w:szCs w:val="26"/>
        </w:rPr>
        <w:t>,</w:t>
      </w:r>
      <w:r w:rsidRPr="004124D3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4124D3">
        <w:rPr>
          <w:sz w:val="26"/>
          <w:szCs w:val="26"/>
        </w:rPr>
        <w:t xml:space="preserve">Ханты-Мансийский автономный округ – </w:t>
      </w:r>
      <w:r w:rsidR="00964752" w:rsidRPr="004124D3">
        <w:rPr>
          <w:sz w:val="26"/>
          <w:szCs w:val="26"/>
        </w:rPr>
        <w:t>Югра, г.</w:t>
      </w:r>
      <w:r w:rsidR="00F6608D" w:rsidRPr="004124D3">
        <w:rPr>
          <w:sz w:val="26"/>
          <w:szCs w:val="26"/>
        </w:rPr>
        <w:t>Нефтеюганск, мкр.3, д</w:t>
      </w:r>
      <w:r w:rsidR="0042401A" w:rsidRPr="004124D3">
        <w:rPr>
          <w:sz w:val="26"/>
          <w:szCs w:val="26"/>
        </w:rPr>
        <w:t>.</w:t>
      </w:r>
      <w:r w:rsidR="00F6608D" w:rsidRPr="004124D3">
        <w:rPr>
          <w:sz w:val="26"/>
          <w:szCs w:val="26"/>
        </w:rPr>
        <w:t xml:space="preserve">21 (4 этаж, </w:t>
      </w:r>
      <w:r w:rsidR="0042401A" w:rsidRPr="004124D3">
        <w:rPr>
          <w:sz w:val="26"/>
          <w:szCs w:val="26"/>
        </w:rPr>
        <w:t>каб.</w:t>
      </w:r>
      <w:r w:rsidR="00F6608D" w:rsidRPr="004124D3">
        <w:rPr>
          <w:sz w:val="26"/>
          <w:szCs w:val="26"/>
        </w:rPr>
        <w:t>430)</w:t>
      </w:r>
      <w:r w:rsidR="00481640" w:rsidRPr="004124D3">
        <w:rPr>
          <w:sz w:val="26"/>
          <w:szCs w:val="26"/>
        </w:rPr>
        <w:t>.</w:t>
      </w:r>
    </w:p>
    <w:p w:rsidR="00447888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4124D3" w:rsidRDefault="00493D06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93D06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493D0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93D06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Pr="004124D3" w:rsidRDefault="00EE069C" w:rsidP="00447888">
      <w:pPr>
        <w:jc w:val="both"/>
        <w:rPr>
          <w:sz w:val="26"/>
          <w:szCs w:val="26"/>
        </w:rPr>
      </w:pPr>
    </w:p>
    <w:p w:rsidR="00493D06" w:rsidRPr="006E07F5" w:rsidRDefault="00493D0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493D06" w:rsidRPr="004C2088" w:rsidRDefault="00493D06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93D06" w:rsidRPr="004C2088" w:rsidRDefault="00493D06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493D06" w:rsidRPr="004C2088" w:rsidRDefault="00493D06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B4CC2">
        <w:rPr>
          <w:sz w:val="26"/>
          <w:szCs w:val="26"/>
        </w:rPr>
        <w:t xml:space="preserve"> 14.05.2019</w:t>
      </w:r>
      <w:r w:rsidRPr="004C2088">
        <w:rPr>
          <w:sz w:val="26"/>
          <w:szCs w:val="26"/>
        </w:rPr>
        <w:t xml:space="preserve"> №</w:t>
      </w:r>
      <w:r w:rsidR="007B4CC2">
        <w:rPr>
          <w:sz w:val="26"/>
          <w:szCs w:val="26"/>
        </w:rPr>
        <w:t xml:space="preserve"> 66-пг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4124D3" w:rsidRPr="00AD026A">
        <w:rPr>
          <w:bCs/>
          <w:sz w:val="26"/>
          <w:szCs w:val="26"/>
        </w:rPr>
        <w:t>Топала Юрия Александрович</w:t>
      </w:r>
      <w:r w:rsidR="00734BFE">
        <w:rPr>
          <w:bCs/>
          <w:sz w:val="26"/>
          <w:szCs w:val="26"/>
        </w:rPr>
        <w:t>а, Тютюнника Олега Григорьевича</w:t>
      </w:r>
      <w:r w:rsidR="004124D3" w:rsidRPr="00AD026A">
        <w:rPr>
          <w:bCs/>
          <w:sz w:val="26"/>
          <w:szCs w:val="26"/>
        </w:rPr>
        <w:t xml:space="preserve">, Коневича </w:t>
      </w:r>
      <w:r w:rsidR="000859E8">
        <w:rPr>
          <w:bCs/>
          <w:sz w:val="26"/>
          <w:szCs w:val="26"/>
        </w:rPr>
        <w:br/>
      </w:r>
      <w:r w:rsidR="004124D3" w:rsidRPr="00AD026A">
        <w:rPr>
          <w:bCs/>
          <w:sz w:val="26"/>
          <w:szCs w:val="26"/>
        </w:rPr>
        <w:t xml:space="preserve">Богдана Иосифовича, Смирнова Михаила Алексеевича, Жуковиной </w:t>
      </w:r>
      <w:r w:rsidR="004124D3" w:rsidRPr="00AE12CA">
        <w:rPr>
          <w:bCs/>
          <w:sz w:val="26"/>
          <w:szCs w:val="26"/>
        </w:rPr>
        <w:t xml:space="preserve">Татьяны Васильевны, Рыбниковой Евгении Николаевны,  Гецуша Сергея Виссарионовича </w:t>
      </w:r>
      <w:r w:rsidR="000859E8">
        <w:rPr>
          <w:bCs/>
          <w:sz w:val="26"/>
          <w:szCs w:val="26"/>
        </w:rPr>
        <w:br/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4124D3" w:rsidRPr="00AE12CA" w:rsidRDefault="004124D3" w:rsidP="004124D3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86:08:0020801:8971, площадью 1058 кв.м, расположенного по адресу:</w:t>
      </w:r>
      <w:r w:rsidRPr="00AE12CA">
        <w:rPr>
          <w:color w:val="000000"/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 р-н Нефтеюганский,</w:t>
      </w:r>
      <w:r w:rsidRPr="00AE12CA">
        <w:rPr>
          <w:sz w:val="26"/>
          <w:szCs w:val="26"/>
        </w:rPr>
        <w:t xml:space="preserve"> урочище «Олений остров»,  СНТ «Северный», участок № 761.</w:t>
      </w:r>
    </w:p>
    <w:p w:rsidR="004124D3" w:rsidRPr="0027526B" w:rsidRDefault="004124D3" w:rsidP="004124D3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 w:rsidRPr="005D6EA0">
        <w:rPr>
          <w:color w:val="000000"/>
          <w:sz w:val="26"/>
          <w:szCs w:val="26"/>
        </w:rPr>
        <w:t>86:08:0020801:9409, площадью 803 кв.м,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 автономный округ</w:t>
      </w:r>
      <w:r w:rsidRPr="005D6EA0">
        <w:rPr>
          <w:sz w:val="26"/>
          <w:szCs w:val="26"/>
        </w:rPr>
        <w:t xml:space="preserve"> – </w:t>
      </w:r>
      <w:r w:rsidRPr="005D6EA0">
        <w:rPr>
          <w:color w:val="000000"/>
          <w:sz w:val="26"/>
          <w:szCs w:val="26"/>
        </w:rPr>
        <w:t xml:space="preserve">Югра, р-н </w:t>
      </w:r>
      <w:r w:rsidRPr="0027526B">
        <w:rPr>
          <w:color w:val="000000"/>
          <w:sz w:val="26"/>
          <w:szCs w:val="26"/>
        </w:rPr>
        <w:t>Нефтеюганский.</w:t>
      </w:r>
    </w:p>
    <w:p w:rsidR="004124D3" w:rsidRPr="0027526B" w:rsidRDefault="004124D3" w:rsidP="004124D3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 xml:space="preserve">86:08:0020801:9490, площадью 447 кв.м,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Pr="0027526B">
        <w:rPr>
          <w:sz w:val="26"/>
          <w:szCs w:val="26"/>
        </w:rPr>
        <w:t xml:space="preserve"> – </w:t>
      </w:r>
      <w:r w:rsidRPr="0027526B">
        <w:rPr>
          <w:color w:val="000000"/>
          <w:sz w:val="26"/>
          <w:szCs w:val="26"/>
        </w:rPr>
        <w:t xml:space="preserve"> Югра, р-н Нефтеюганский, в районе куста 24 Усть-Балыкского месторождения нефти, </w:t>
      </w:r>
      <w:r w:rsidR="000859E8">
        <w:rPr>
          <w:color w:val="000000"/>
          <w:sz w:val="26"/>
          <w:szCs w:val="26"/>
        </w:rPr>
        <w:br/>
      </w:r>
      <w:r w:rsidRPr="0027526B">
        <w:rPr>
          <w:color w:val="000000"/>
          <w:sz w:val="26"/>
          <w:szCs w:val="26"/>
        </w:rPr>
        <w:t>СНТ Заря, уч 6.</w:t>
      </w:r>
    </w:p>
    <w:p w:rsidR="004124D3" w:rsidRPr="0027526B" w:rsidRDefault="004124D3" w:rsidP="004124D3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 xml:space="preserve">86:08:0020801:16214, площадью 525 кв.м, расположенного по адресу: Ханты-Мансийский автономный округ </w:t>
      </w:r>
      <w:r w:rsidRPr="0027526B">
        <w:rPr>
          <w:sz w:val="26"/>
          <w:szCs w:val="26"/>
        </w:rPr>
        <w:t xml:space="preserve">– </w:t>
      </w:r>
      <w:r w:rsidRPr="0027526B">
        <w:rPr>
          <w:color w:val="000000"/>
          <w:sz w:val="26"/>
          <w:szCs w:val="26"/>
        </w:rPr>
        <w:t xml:space="preserve">Югра, Нефтеюганский район, </w:t>
      </w:r>
      <w:r w:rsidR="000859E8">
        <w:rPr>
          <w:color w:val="000000"/>
          <w:sz w:val="26"/>
          <w:szCs w:val="26"/>
        </w:rPr>
        <w:br/>
      </w:r>
      <w:r w:rsidRPr="0027526B">
        <w:rPr>
          <w:color w:val="000000"/>
          <w:sz w:val="26"/>
          <w:szCs w:val="26"/>
        </w:rPr>
        <w:t>СНТ «Северный», участок № 550.</w:t>
      </w:r>
    </w:p>
    <w:p w:rsidR="004124D3" w:rsidRPr="00103320" w:rsidRDefault="004124D3" w:rsidP="004124D3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86:08:0020801:8</w:t>
      </w:r>
      <w:r w:rsidR="001829D4">
        <w:rPr>
          <w:color w:val="000000"/>
          <w:sz w:val="26"/>
          <w:szCs w:val="26"/>
        </w:rPr>
        <w:t>385, площадью 1157</w:t>
      </w:r>
      <w:r w:rsidRPr="0027526B">
        <w:rPr>
          <w:color w:val="000000"/>
          <w:sz w:val="26"/>
          <w:szCs w:val="26"/>
        </w:rPr>
        <w:t xml:space="preserve"> кв.м, расположенного по адресу: местоположение установлено относительно ориентира, расположенного в границах участка. </w:t>
      </w:r>
      <w:r w:rsidRPr="00103320">
        <w:rPr>
          <w:color w:val="000000"/>
          <w:sz w:val="26"/>
          <w:szCs w:val="26"/>
        </w:rPr>
        <w:t>Почтовый адрес ориентира: Ханты-Мансийский автономный округ – Югра, р-н Нефтеюганский, на берегу пр. Сингапайская, в районе 91 куста Усть-Балыкского месторождения нефти, СНТ «Энергетик», участок № 340.</w:t>
      </w:r>
    </w:p>
    <w:p w:rsidR="004124D3" w:rsidRPr="00103320" w:rsidRDefault="004124D3" w:rsidP="004124D3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 w:rsidRPr="00103320">
        <w:rPr>
          <w:color w:val="000000"/>
          <w:sz w:val="26"/>
          <w:szCs w:val="26"/>
        </w:rPr>
        <w:t xml:space="preserve">86:08:0020801:16218, площадью 509 кв.м, расположенного по адресу: Ханты-Мансийский автономный округ </w:t>
      </w:r>
      <w:r w:rsidRPr="00103320">
        <w:rPr>
          <w:sz w:val="26"/>
          <w:szCs w:val="26"/>
        </w:rPr>
        <w:t xml:space="preserve">– </w:t>
      </w:r>
      <w:r w:rsidRPr="00103320">
        <w:rPr>
          <w:color w:val="000000"/>
          <w:sz w:val="26"/>
          <w:szCs w:val="26"/>
        </w:rPr>
        <w:t xml:space="preserve">Югра, Нефтеюганский район, </w:t>
      </w:r>
      <w:r w:rsidR="000859E8">
        <w:rPr>
          <w:color w:val="000000"/>
          <w:sz w:val="26"/>
          <w:szCs w:val="26"/>
        </w:rPr>
        <w:br/>
      </w:r>
      <w:r w:rsidRPr="00103320">
        <w:rPr>
          <w:color w:val="000000"/>
          <w:sz w:val="26"/>
          <w:szCs w:val="26"/>
        </w:rPr>
        <w:t>Усть-Балыкское месторождение нефти, куст 24, ТСН «Сибиряк», участок № 38.</w:t>
      </w:r>
    </w:p>
    <w:p w:rsidR="004124D3" w:rsidRPr="00103320" w:rsidRDefault="004124D3" w:rsidP="004124D3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 w:rsidRPr="00103320">
        <w:rPr>
          <w:color w:val="000000"/>
          <w:sz w:val="26"/>
          <w:szCs w:val="26"/>
        </w:rPr>
        <w:t xml:space="preserve">86:08:0020801:16177, площадью 401 кв.м, расположенного по адресу: Ханты-Мансийский автономный округ </w:t>
      </w:r>
      <w:r w:rsidRPr="00103320">
        <w:rPr>
          <w:sz w:val="26"/>
          <w:szCs w:val="26"/>
        </w:rPr>
        <w:t xml:space="preserve">– </w:t>
      </w:r>
      <w:r w:rsidRPr="00103320">
        <w:rPr>
          <w:color w:val="000000"/>
          <w:sz w:val="26"/>
          <w:szCs w:val="26"/>
        </w:rPr>
        <w:t xml:space="preserve">Югра, Нефтеюганский район, </w:t>
      </w:r>
      <w:r w:rsidR="000859E8">
        <w:rPr>
          <w:color w:val="000000"/>
          <w:sz w:val="26"/>
          <w:szCs w:val="26"/>
        </w:rPr>
        <w:br/>
      </w:r>
      <w:r w:rsidRPr="00103320">
        <w:rPr>
          <w:color w:val="000000"/>
          <w:sz w:val="26"/>
          <w:szCs w:val="26"/>
        </w:rPr>
        <w:t>СНТ «Северный», участок № 83.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0859E8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59E8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859E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859E8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0859E8" w:rsidRPr="006E07F5" w:rsidRDefault="000859E8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0407D5" w:rsidRDefault="000407D5" w:rsidP="000407D5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EF449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FA" w:rsidRDefault="000D7AFA" w:rsidP="0066353A">
      <w:r>
        <w:separator/>
      </w:r>
    </w:p>
  </w:endnote>
  <w:endnote w:type="continuationSeparator" w:id="0">
    <w:p w:rsidR="000D7AFA" w:rsidRDefault="000D7AF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FA" w:rsidRDefault="000D7AFA" w:rsidP="0066353A">
      <w:r>
        <w:separator/>
      </w:r>
    </w:p>
  </w:footnote>
  <w:footnote w:type="continuationSeparator" w:id="0">
    <w:p w:rsidR="000D7AFA" w:rsidRDefault="000D7AF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145">
          <w:rPr>
            <w:noProof/>
          </w:rPr>
          <w:t>4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07D5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59E8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AFA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29D4"/>
    <w:rsid w:val="001856DE"/>
    <w:rsid w:val="0018595C"/>
    <w:rsid w:val="001A477D"/>
    <w:rsid w:val="001A6453"/>
    <w:rsid w:val="001A6B71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4465"/>
    <w:rsid w:val="002B5A69"/>
    <w:rsid w:val="002B6879"/>
    <w:rsid w:val="002C362A"/>
    <w:rsid w:val="002D0122"/>
    <w:rsid w:val="002D2D27"/>
    <w:rsid w:val="002D4681"/>
    <w:rsid w:val="002E2434"/>
    <w:rsid w:val="002E7C75"/>
    <w:rsid w:val="002F0E60"/>
    <w:rsid w:val="002F5CFA"/>
    <w:rsid w:val="0030136E"/>
    <w:rsid w:val="00302145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315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93D06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27BF1"/>
    <w:rsid w:val="00637E68"/>
    <w:rsid w:val="006403A2"/>
    <w:rsid w:val="006437D5"/>
    <w:rsid w:val="00646C83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4BFE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B4CC2"/>
    <w:rsid w:val="007C3E0F"/>
    <w:rsid w:val="007D0902"/>
    <w:rsid w:val="007E1E84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7382"/>
    <w:rsid w:val="00887420"/>
    <w:rsid w:val="00887E1E"/>
    <w:rsid w:val="00890A63"/>
    <w:rsid w:val="00890A81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7BB7"/>
    <w:rsid w:val="00C51A66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A86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49B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12A92-F353-43EC-B5FA-08B67AE9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2019-05-20T07:41:00Z</dcterms:created>
  <dcterms:modified xsi:type="dcterms:W3CDTF">2019-05-20T07:41:00Z</dcterms:modified>
</cp:coreProperties>
</file>