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EF60BF" w:rsidP="004D3790">
      <w:pPr>
        <w:pStyle w:val="6"/>
        <w:tabs>
          <w:tab w:val="left" w:pos="567"/>
          <w:tab w:val="left" w:pos="1560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6.1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D54A79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28.01.2016</w:t>
            </w:r>
          </w:p>
        </w:tc>
        <w:tc>
          <w:tcPr>
            <w:tcW w:w="7560" w:type="dxa"/>
          </w:tcPr>
          <w:p w:rsidR="00023FE4" w:rsidRPr="009816BE" w:rsidRDefault="002F723D" w:rsidP="00D54A79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D54A79">
              <w:rPr>
                <w:sz w:val="26"/>
                <w:szCs w:val="26"/>
                <w:u w:val="single"/>
              </w:rPr>
              <w:t>4-п-нпа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195896" w:rsidRDefault="00023FE4" w:rsidP="00B658DE">
      <w:pPr>
        <w:ind w:right="4422"/>
        <w:jc w:val="both"/>
        <w:rPr>
          <w:sz w:val="26"/>
          <w:szCs w:val="26"/>
        </w:rPr>
      </w:pPr>
    </w:p>
    <w:p w:rsidR="009816BE" w:rsidRPr="00195896" w:rsidRDefault="009816BE" w:rsidP="00B658DE">
      <w:pPr>
        <w:ind w:right="4422"/>
        <w:jc w:val="both"/>
        <w:rPr>
          <w:sz w:val="26"/>
          <w:szCs w:val="26"/>
        </w:rPr>
      </w:pPr>
    </w:p>
    <w:p w:rsidR="00023FE4" w:rsidRPr="00195896" w:rsidRDefault="00023FE4" w:rsidP="00B658DE">
      <w:pPr>
        <w:jc w:val="both"/>
        <w:rPr>
          <w:sz w:val="26"/>
          <w:szCs w:val="26"/>
        </w:rPr>
      </w:pPr>
    </w:p>
    <w:p w:rsidR="00195896" w:rsidRPr="00195896" w:rsidRDefault="00195896" w:rsidP="00195896">
      <w:pPr>
        <w:jc w:val="center"/>
        <w:rPr>
          <w:sz w:val="26"/>
          <w:szCs w:val="26"/>
        </w:rPr>
      </w:pPr>
      <w:r w:rsidRPr="00195896">
        <w:rPr>
          <w:sz w:val="26"/>
          <w:szCs w:val="26"/>
        </w:rPr>
        <w:t xml:space="preserve">О внесении изменений в постановление </w:t>
      </w:r>
    </w:p>
    <w:p w:rsidR="00195896" w:rsidRPr="00195896" w:rsidRDefault="00195896" w:rsidP="00195896">
      <w:pPr>
        <w:jc w:val="center"/>
        <w:rPr>
          <w:sz w:val="26"/>
          <w:szCs w:val="26"/>
        </w:rPr>
      </w:pPr>
      <w:r w:rsidRPr="00195896">
        <w:rPr>
          <w:sz w:val="26"/>
          <w:szCs w:val="26"/>
        </w:rPr>
        <w:t>Главы Нефтеюганского района от 04.04.2012 № 17-п</w:t>
      </w:r>
    </w:p>
    <w:p w:rsidR="00195896" w:rsidRPr="00195896" w:rsidRDefault="00195896" w:rsidP="00195896">
      <w:pPr>
        <w:jc w:val="center"/>
        <w:rPr>
          <w:sz w:val="26"/>
          <w:szCs w:val="26"/>
        </w:rPr>
      </w:pPr>
    </w:p>
    <w:p w:rsidR="00195896" w:rsidRPr="00195896" w:rsidRDefault="00195896" w:rsidP="00195896">
      <w:pPr>
        <w:jc w:val="both"/>
        <w:rPr>
          <w:sz w:val="26"/>
          <w:szCs w:val="26"/>
        </w:rPr>
      </w:pPr>
    </w:p>
    <w:p w:rsidR="00195896" w:rsidRPr="00195896" w:rsidRDefault="00195896" w:rsidP="001958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5896">
        <w:rPr>
          <w:sz w:val="26"/>
          <w:szCs w:val="26"/>
        </w:rPr>
        <w:t xml:space="preserve">В соответствии со статьей 46 Федерального закона от 06.10.2003 № 131-ФЗ </w:t>
      </w:r>
      <w:r>
        <w:rPr>
          <w:sz w:val="26"/>
          <w:szCs w:val="26"/>
        </w:rPr>
        <w:t xml:space="preserve">        </w:t>
      </w:r>
      <w:r w:rsidRPr="00195896">
        <w:rPr>
          <w:sz w:val="26"/>
          <w:szCs w:val="26"/>
        </w:rPr>
        <w:t>«Об общих принципах организации местного самоуправления в Российской Федерации», статьей 43.1 Устава муниципального образования Нефтеюганский район, п о с т а н о в л я ю:</w:t>
      </w:r>
    </w:p>
    <w:p w:rsidR="00195896" w:rsidRPr="00195896" w:rsidRDefault="00195896" w:rsidP="001958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896" w:rsidRPr="00195896" w:rsidRDefault="00195896" w:rsidP="008874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5896">
        <w:rPr>
          <w:sz w:val="26"/>
          <w:szCs w:val="26"/>
        </w:rPr>
        <w:t>1.</w:t>
      </w:r>
      <w:r w:rsidRPr="00195896">
        <w:rPr>
          <w:sz w:val="26"/>
          <w:szCs w:val="26"/>
        </w:rPr>
        <w:tab/>
        <w:t>Внест</w:t>
      </w:r>
      <w:r w:rsidR="00663C42">
        <w:rPr>
          <w:sz w:val="26"/>
          <w:szCs w:val="26"/>
        </w:rPr>
        <w:t>и в приложение к постановлению Г</w:t>
      </w:r>
      <w:r w:rsidRPr="00195896">
        <w:rPr>
          <w:sz w:val="26"/>
          <w:szCs w:val="26"/>
        </w:rPr>
        <w:t>лавы Нефтеюганского района от 04.04.2012 № 17-п «Об утверждении порядка внесения проекто</w:t>
      </w:r>
      <w:r w:rsidR="00663C42">
        <w:rPr>
          <w:sz w:val="26"/>
          <w:szCs w:val="26"/>
        </w:rPr>
        <w:t>в муниципальных правовых актов Г</w:t>
      </w:r>
      <w:r w:rsidRPr="00195896">
        <w:rPr>
          <w:sz w:val="26"/>
          <w:szCs w:val="26"/>
        </w:rPr>
        <w:t>лавы Нефтеюганского района» следующие изменения:</w:t>
      </w:r>
    </w:p>
    <w:p w:rsidR="00195896" w:rsidRPr="00195896" w:rsidRDefault="00195896" w:rsidP="00887488">
      <w:pPr>
        <w:tabs>
          <w:tab w:val="left" w:pos="1247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1.1</w:t>
      </w:r>
      <w:r>
        <w:rPr>
          <w:sz w:val="26"/>
          <w:szCs w:val="26"/>
        </w:rPr>
        <w:t>.</w:t>
      </w:r>
      <w:r w:rsidR="00CC43C2">
        <w:rPr>
          <w:sz w:val="26"/>
          <w:szCs w:val="26"/>
        </w:rPr>
        <w:tab/>
      </w:r>
      <w:r w:rsidRPr="00195896">
        <w:rPr>
          <w:sz w:val="26"/>
          <w:szCs w:val="26"/>
        </w:rPr>
        <w:t xml:space="preserve">В разделе </w:t>
      </w:r>
      <w:r w:rsidRPr="00195896">
        <w:rPr>
          <w:sz w:val="26"/>
          <w:szCs w:val="26"/>
          <w:lang w:val="en-US"/>
        </w:rPr>
        <w:t>I</w:t>
      </w:r>
      <w:r w:rsidRPr="00195896">
        <w:rPr>
          <w:sz w:val="26"/>
          <w:szCs w:val="26"/>
        </w:rPr>
        <w:t>:</w:t>
      </w:r>
    </w:p>
    <w:p w:rsidR="00195896" w:rsidRPr="00195896" w:rsidRDefault="00195896" w:rsidP="0088748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1.1.1.</w:t>
      </w:r>
      <w:r w:rsidR="00CC43C2">
        <w:rPr>
          <w:sz w:val="26"/>
          <w:szCs w:val="26"/>
        </w:rPr>
        <w:tab/>
      </w:r>
      <w:r w:rsidR="00573802">
        <w:rPr>
          <w:sz w:val="26"/>
          <w:szCs w:val="26"/>
        </w:rPr>
        <w:t>П</w:t>
      </w:r>
      <w:r w:rsidRPr="00195896">
        <w:rPr>
          <w:sz w:val="26"/>
          <w:szCs w:val="26"/>
        </w:rPr>
        <w:t>ункт 6:</w:t>
      </w:r>
    </w:p>
    <w:p w:rsidR="00195896" w:rsidRPr="00195896" w:rsidRDefault="00195896" w:rsidP="00CE4BB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1.1.1.1.</w:t>
      </w:r>
      <w:r w:rsidR="00CC43C2">
        <w:rPr>
          <w:sz w:val="26"/>
          <w:szCs w:val="26"/>
        </w:rPr>
        <w:tab/>
      </w:r>
      <w:r w:rsidR="00573802">
        <w:rPr>
          <w:sz w:val="26"/>
          <w:szCs w:val="26"/>
        </w:rPr>
        <w:t>Д</w:t>
      </w:r>
      <w:r w:rsidRPr="00195896">
        <w:rPr>
          <w:sz w:val="26"/>
          <w:szCs w:val="26"/>
        </w:rPr>
        <w:t>ополнить словами «,</w:t>
      </w:r>
      <w:r w:rsidR="00663C42">
        <w:rPr>
          <w:sz w:val="26"/>
          <w:szCs w:val="26"/>
        </w:rPr>
        <w:t xml:space="preserve"> заключение Контрольно-</w:t>
      </w:r>
      <w:r w:rsidRPr="00195896">
        <w:rPr>
          <w:sz w:val="26"/>
          <w:szCs w:val="26"/>
        </w:rPr>
        <w:t>счетной палаты Нефтеюганского района в случае, если Проект содержит вопросы, касающиеся расходных обязательств муниципального образования Нефтеюганский район»;</w:t>
      </w:r>
    </w:p>
    <w:p w:rsidR="00195896" w:rsidRPr="00195896" w:rsidRDefault="00195896" w:rsidP="00CC43C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1.1.1.2.</w:t>
      </w:r>
      <w:r w:rsidR="00CC43C2">
        <w:rPr>
          <w:sz w:val="26"/>
          <w:szCs w:val="26"/>
        </w:rPr>
        <w:tab/>
      </w:r>
      <w:r w:rsidR="00573802">
        <w:rPr>
          <w:sz w:val="26"/>
          <w:szCs w:val="26"/>
        </w:rPr>
        <w:t>Д</w:t>
      </w:r>
      <w:r w:rsidRPr="00195896">
        <w:rPr>
          <w:sz w:val="26"/>
          <w:szCs w:val="26"/>
        </w:rPr>
        <w:t>ополнить абзацем следующего содержания:</w:t>
      </w:r>
    </w:p>
    <w:p w:rsidR="00195896" w:rsidRPr="00195896" w:rsidRDefault="006C06A1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«Обязательным приложением к П</w:t>
      </w:r>
      <w:r w:rsidR="00195896" w:rsidRPr="00195896">
        <w:rPr>
          <w:sz w:val="26"/>
          <w:szCs w:val="26"/>
        </w:rPr>
        <w:t>роекту муниципального нормативного правового акта являются: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 xml:space="preserve">заключение об отсутствии необходимости проведения углубленной оценки регулирующего воздействия </w:t>
      </w:r>
      <w:r w:rsidR="006C06A1">
        <w:rPr>
          <w:sz w:val="26"/>
          <w:szCs w:val="26"/>
        </w:rPr>
        <w:t>П</w:t>
      </w:r>
      <w:r w:rsidRPr="00195896">
        <w:rPr>
          <w:sz w:val="26"/>
          <w:szCs w:val="26"/>
        </w:rPr>
        <w:t xml:space="preserve">роекта муниципального нормативного правового акта, либо экспертное заключение об оценке регулирующего воздействия </w:t>
      </w:r>
      <w:r w:rsidR="006C06A1">
        <w:rPr>
          <w:sz w:val="26"/>
          <w:szCs w:val="26"/>
        </w:rPr>
        <w:t>П</w:t>
      </w:r>
      <w:r w:rsidRPr="00195896">
        <w:rPr>
          <w:sz w:val="26"/>
          <w:szCs w:val="26"/>
        </w:rPr>
        <w:t>роекта муниципального нормативного правового акта, подготовленные комитетом по экономической политике и предпринимательству администрации Нефтеюганского района;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 xml:space="preserve">заключение юридическо-правового управления аппарата Думы района». </w:t>
      </w:r>
    </w:p>
    <w:p w:rsidR="00195896" w:rsidRPr="00195896" w:rsidRDefault="00195896" w:rsidP="0088748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1.</w:t>
      </w:r>
      <w:r>
        <w:rPr>
          <w:sz w:val="26"/>
          <w:szCs w:val="26"/>
        </w:rPr>
        <w:t>1.2.</w:t>
      </w:r>
      <w:r w:rsidR="00CC43C2">
        <w:rPr>
          <w:sz w:val="26"/>
          <w:szCs w:val="26"/>
        </w:rPr>
        <w:tab/>
      </w:r>
      <w:r w:rsidRPr="00195896">
        <w:rPr>
          <w:sz w:val="26"/>
          <w:szCs w:val="26"/>
        </w:rPr>
        <w:t>Дополнить пунктом 9.1 следующего содержания: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«9.1. Проекты муниципальных правовых актов подлежат рассмотрению на заседаниях общественных советов, созданных при органах местного самоуправления Нефтеюганского района, по инициативе руководителя структурного подразделения органа местного самоуправления, являющегося разработчиком Проекта.».</w:t>
      </w:r>
    </w:p>
    <w:p w:rsidR="00195896" w:rsidRPr="00195896" w:rsidRDefault="00195896" w:rsidP="00887488">
      <w:pPr>
        <w:tabs>
          <w:tab w:val="left" w:pos="1247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1.2.</w:t>
      </w:r>
      <w:r w:rsidR="00CC43C2">
        <w:rPr>
          <w:sz w:val="26"/>
          <w:szCs w:val="26"/>
        </w:rPr>
        <w:tab/>
      </w:r>
      <w:r w:rsidR="006C06A1">
        <w:rPr>
          <w:sz w:val="26"/>
          <w:szCs w:val="26"/>
        </w:rPr>
        <w:t xml:space="preserve">В абзаце втором </w:t>
      </w:r>
      <w:r w:rsidRPr="00195896">
        <w:rPr>
          <w:sz w:val="26"/>
          <w:szCs w:val="26"/>
        </w:rPr>
        <w:t xml:space="preserve">пункта 13 раздела </w:t>
      </w:r>
      <w:r w:rsidRPr="00195896">
        <w:rPr>
          <w:sz w:val="26"/>
          <w:szCs w:val="26"/>
          <w:lang w:val="en-US"/>
        </w:rPr>
        <w:t>II</w:t>
      </w:r>
      <w:r w:rsidRPr="00195896">
        <w:rPr>
          <w:sz w:val="26"/>
          <w:szCs w:val="26"/>
        </w:rPr>
        <w:t xml:space="preserve"> слова « и номер» заменить словами </w:t>
      </w:r>
      <w:r w:rsidR="006C06A1">
        <w:rPr>
          <w:sz w:val="26"/>
          <w:szCs w:val="26"/>
        </w:rPr>
        <w:t xml:space="preserve">            </w:t>
      </w:r>
      <w:r w:rsidRPr="00195896">
        <w:rPr>
          <w:sz w:val="26"/>
          <w:szCs w:val="26"/>
        </w:rPr>
        <w:t>«, номер и название»;</w:t>
      </w:r>
    </w:p>
    <w:p w:rsidR="00195896" w:rsidRPr="00195896" w:rsidRDefault="00195896" w:rsidP="00887488">
      <w:pPr>
        <w:tabs>
          <w:tab w:val="left" w:pos="1247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1.3.</w:t>
      </w:r>
      <w:r w:rsidR="00CC43C2">
        <w:rPr>
          <w:sz w:val="26"/>
          <w:szCs w:val="26"/>
        </w:rPr>
        <w:tab/>
      </w:r>
      <w:r w:rsidRPr="00195896">
        <w:rPr>
          <w:sz w:val="26"/>
          <w:szCs w:val="26"/>
        </w:rPr>
        <w:t xml:space="preserve">В разделе </w:t>
      </w:r>
      <w:r w:rsidRPr="00195896">
        <w:rPr>
          <w:sz w:val="26"/>
          <w:szCs w:val="26"/>
          <w:lang w:val="en-US"/>
        </w:rPr>
        <w:t>III</w:t>
      </w:r>
      <w:r w:rsidRPr="00195896">
        <w:rPr>
          <w:sz w:val="26"/>
          <w:szCs w:val="26"/>
        </w:rPr>
        <w:t xml:space="preserve">: </w:t>
      </w:r>
    </w:p>
    <w:p w:rsidR="00195896" w:rsidRPr="00195896" w:rsidRDefault="00195896" w:rsidP="0088748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1.3.1.</w:t>
      </w:r>
      <w:r w:rsidR="00CC43C2">
        <w:rPr>
          <w:sz w:val="26"/>
          <w:szCs w:val="26"/>
        </w:rPr>
        <w:tab/>
      </w:r>
      <w:r w:rsidR="00573802">
        <w:rPr>
          <w:sz w:val="26"/>
          <w:szCs w:val="26"/>
        </w:rPr>
        <w:t xml:space="preserve">Пункты 19-22 изложить </w:t>
      </w:r>
      <w:r w:rsidRPr="00195896">
        <w:rPr>
          <w:sz w:val="26"/>
          <w:szCs w:val="26"/>
        </w:rPr>
        <w:t>в следующей редакции: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«</w:t>
      </w:r>
      <w:r w:rsidR="00CC43C2">
        <w:rPr>
          <w:sz w:val="26"/>
          <w:szCs w:val="26"/>
        </w:rPr>
        <w:t xml:space="preserve">19. </w:t>
      </w:r>
      <w:r w:rsidRPr="00195896">
        <w:rPr>
          <w:sz w:val="26"/>
          <w:szCs w:val="26"/>
        </w:rPr>
        <w:t xml:space="preserve">Проект подлежит обязательному согласованию. 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 xml:space="preserve">В Проекте лист согласования (должности визирующих, личные подписи, расшифровка подписей, дата), рассылка муниципального правового акта (в перечень рассылки должны быть включены все заинтересованные лица), фамилия, инициалы, подпись и служебный телефон исполнителя, подготовившего Проект, оформляется на оборотной стороне листа, который будет подписан Главой района (лицом, исполняющим его полномочия) по форме, согласно приложению к настоящему Порядку. Исполнитель ставит свою подпись, подписывает у своего непосредственного руководителя и передает на экспертизу в юридическую службу органа местного самоуправления Нефтеюганского района, инициирующего Проект, затем Проект передается для проведения финансово-экономической экспертизы в Контрольно-счетную палату муниципального образования Нефтеюганский район (только для Проектов, касающихся расходных обязательств муниципального образования). 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 xml:space="preserve">Затем Проект направляется в юридическо-правовое управление аппарата Думы Нефтеюганского района (далее - юридическо-правовое управление аппарата Думы района) для проведения правовой и антикоррупционной экспертизы. 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После положительной резолюции юридическо-правового управления аппарата Думы района Проект визируют остальные согласующие лица в следующей последовательности: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должностное лицо, курирующее данное направление работы;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начальник отдела организационного обеспечения деятельности Главы;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заместители главы района, руководители заинтересованных подразделений, которым в Проекте предусматриваются задания или поручения.</w:t>
      </w:r>
    </w:p>
    <w:p w:rsidR="00195896" w:rsidRPr="00195896" w:rsidRDefault="00195896" w:rsidP="000D50F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20.</w:t>
      </w:r>
      <w:r w:rsidR="000D50F3">
        <w:rPr>
          <w:sz w:val="26"/>
          <w:szCs w:val="26"/>
        </w:rPr>
        <w:t xml:space="preserve"> </w:t>
      </w:r>
      <w:r w:rsidRPr="00195896">
        <w:rPr>
          <w:sz w:val="26"/>
          <w:szCs w:val="26"/>
        </w:rPr>
        <w:t xml:space="preserve">Согласованный Проект на бумажном носителе и в электронном виде текстового редактора </w:t>
      </w:r>
      <w:r w:rsidRPr="00195896">
        <w:rPr>
          <w:sz w:val="26"/>
          <w:szCs w:val="26"/>
          <w:lang w:val="en-US"/>
        </w:rPr>
        <w:t>Word</w:t>
      </w:r>
      <w:r w:rsidRPr="00195896">
        <w:rPr>
          <w:sz w:val="26"/>
          <w:szCs w:val="26"/>
        </w:rPr>
        <w:t xml:space="preserve"> </w:t>
      </w:r>
      <w:r w:rsidRPr="00195896">
        <w:rPr>
          <w:sz w:val="26"/>
          <w:szCs w:val="26"/>
          <w:lang w:val="en-US"/>
        </w:rPr>
        <w:t>for</w:t>
      </w:r>
      <w:r w:rsidRPr="00195896">
        <w:rPr>
          <w:sz w:val="26"/>
          <w:szCs w:val="26"/>
        </w:rPr>
        <w:t xml:space="preserve"> </w:t>
      </w:r>
      <w:r w:rsidRPr="00195896">
        <w:rPr>
          <w:sz w:val="26"/>
          <w:szCs w:val="26"/>
          <w:lang w:val="en-US"/>
        </w:rPr>
        <w:t>Windows</w:t>
      </w:r>
      <w:r w:rsidRPr="00195896">
        <w:rPr>
          <w:sz w:val="26"/>
          <w:szCs w:val="26"/>
        </w:rPr>
        <w:t xml:space="preserve"> (по локальной сети) передается исполнителем в отдел организационного обеспечения деятельности Главы аппарата Думы Нефтеюганского района (далее – отдел организационного обеспечения деятельности Главы). Специалист отдела организационного обеспечения деятельности Главы осуществляет редактирование текста в соответствии с правилами русского языка, требованиями ГОСТа, Инструкцией по делопроизводству (документационному обеспечению управления), настоящим Порядком, распечатывает Проект, оформленный на официальном бланке, и передает исполнителю для дальнейшего согласования.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21.</w:t>
      </w:r>
      <w:r w:rsidR="000D50F3">
        <w:rPr>
          <w:sz w:val="26"/>
          <w:szCs w:val="26"/>
        </w:rPr>
        <w:t xml:space="preserve"> </w:t>
      </w:r>
      <w:r w:rsidRPr="00195896">
        <w:rPr>
          <w:sz w:val="26"/>
          <w:szCs w:val="26"/>
        </w:rPr>
        <w:t>Исполнитель передает Проект, оформленный на официальном бланке, начальнику юридическо-правового управления аппарата Думы района, который проставляет визу в блоке согласования. Запись «Не противоречит действующему законодательству» допускается проставлять специальным штампом.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22.</w:t>
      </w:r>
      <w:r w:rsidR="000D50F3">
        <w:rPr>
          <w:sz w:val="26"/>
          <w:szCs w:val="26"/>
        </w:rPr>
        <w:t xml:space="preserve"> </w:t>
      </w:r>
      <w:r w:rsidRPr="00195896">
        <w:rPr>
          <w:sz w:val="26"/>
          <w:szCs w:val="26"/>
        </w:rPr>
        <w:t>Далее исполнитель согласовывает Проект, оформленный на официальном бланке, у непосредственного руководителя, должностного лица, курирующего данное направление работы; заместителя главы района, руководителей заинтересованных подразделений, которым в Проекте предусматриваются задания или поручения и, в последнюю очередь, - начальником отдела организационного обеспечения деятельности Главы.»;</w:t>
      </w:r>
    </w:p>
    <w:p w:rsidR="00195896" w:rsidRPr="00195896" w:rsidRDefault="00195896" w:rsidP="0088748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1.3.2.</w:t>
      </w:r>
      <w:r w:rsidR="000D50F3">
        <w:rPr>
          <w:sz w:val="26"/>
          <w:szCs w:val="26"/>
        </w:rPr>
        <w:tab/>
      </w:r>
      <w:r w:rsidRPr="00195896">
        <w:rPr>
          <w:sz w:val="26"/>
          <w:szCs w:val="26"/>
        </w:rPr>
        <w:t xml:space="preserve">Пункт 26 раздела </w:t>
      </w:r>
      <w:r w:rsidRPr="00195896">
        <w:rPr>
          <w:sz w:val="26"/>
          <w:szCs w:val="26"/>
          <w:lang w:val="en-US"/>
        </w:rPr>
        <w:t>III</w:t>
      </w:r>
      <w:r w:rsidRPr="00195896">
        <w:rPr>
          <w:sz w:val="26"/>
          <w:szCs w:val="26"/>
        </w:rPr>
        <w:t xml:space="preserve"> изложить в следующей редакции:</w:t>
      </w:r>
    </w:p>
    <w:p w:rsidR="00195896" w:rsidRPr="00195896" w:rsidRDefault="006C06A1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«26. В отношении П</w:t>
      </w:r>
      <w:r w:rsidR="00195896" w:rsidRPr="00195896">
        <w:rPr>
          <w:sz w:val="26"/>
          <w:szCs w:val="26"/>
        </w:rPr>
        <w:t>роектов нормативных правовых актов (далее – НПА) согласование оформляется на оборотной стороне листа, на</w:t>
      </w:r>
      <w:r w:rsidR="00FC3E0D">
        <w:rPr>
          <w:sz w:val="26"/>
          <w:szCs w:val="26"/>
        </w:rPr>
        <w:t xml:space="preserve"> котором проставляется подпись Г</w:t>
      </w:r>
      <w:r w:rsidR="00195896" w:rsidRPr="00195896">
        <w:rPr>
          <w:sz w:val="26"/>
          <w:szCs w:val="26"/>
        </w:rPr>
        <w:t xml:space="preserve">лавы района. Исполнитель ставит свою подпись, подписывает у своего непосредственного руководителя и должностного лица, курирующего данное направление </w:t>
      </w:r>
      <w:r w:rsidR="00FC3E0D">
        <w:rPr>
          <w:sz w:val="26"/>
          <w:szCs w:val="26"/>
        </w:rPr>
        <w:t xml:space="preserve">работы, а также у председателя </w:t>
      </w:r>
      <w:r>
        <w:rPr>
          <w:sz w:val="26"/>
          <w:szCs w:val="26"/>
        </w:rPr>
        <w:t>к</w:t>
      </w:r>
      <w:r w:rsidR="00195896" w:rsidRPr="00195896">
        <w:rPr>
          <w:sz w:val="26"/>
          <w:szCs w:val="26"/>
        </w:rPr>
        <w:t xml:space="preserve">онтрольно-счетной палаты в случае, если Проект содержит вопросы, касающиеся расходной и (или) доходной части бюджета Нефтеюганского района. 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Исполнитель проводит процедуры по оценке регулирующего воздействия Проекта НПА в порядке, утвержденном постановлением администрации Нефтеюганского района. По результатам проведенных процедур оценки регулирующего воздействия Проекта НПА комитет по экономической политике и предпринимательству администрации Нефтеюганского района выдает исполнителю заключение об отсутствии необходимости проведения углубленной оц</w:t>
      </w:r>
      <w:r w:rsidR="00FC3E0D">
        <w:rPr>
          <w:sz w:val="26"/>
          <w:szCs w:val="26"/>
        </w:rPr>
        <w:t>енки регулирующего воздействия П</w:t>
      </w:r>
      <w:r w:rsidRPr="00195896">
        <w:rPr>
          <w:sz w:val="26"/>
          <w:szCs w:val="26"/>
        </w:rPr>
        <w:t>роекта муниципального нормативного правового акта, либо экспертное заключение об оц</w:t>
      </w:r>
      <w:r w:rsidR="006C06A1">
        <w:rPr>
          <w:sz w:val="26"/>
          <w:szCs w:val="26"/>
        </w:rPr>
        <w:t>енке регулирующего воздействия П</w:t>
      </w:r>
      <w:r w:rsidRPr="00195896">
        <w:rPr>
          <w:sz w:val="26"/>
          <w:szCs w:val="26"/>
        </w:rPr>
        <w:t>роекта муниципального нормативного правового акта.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 xml:space="preserve">Затем Проект передается в юридическо-правового управления аппарата Думы района для проведения правовой и антикоррупционной экспертизы. 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При визировании начальником юридическо-правового управления аппарата Думы рай</w:t>
      </w:r>
      <w:r w:rsidR="00FC3E0D">
        <w:rPr>
          <w:sz w:val="26"/>
          <w:szCs w:val="26"/>
        </w:rPr>
        <w:t>она (или его заместителем)</w:t>
      </w:r>
      <w:r w:rsidRPr="00195896">
        <w:rPr>
          <w:sz w:val="26"/>
          <w:szCs w:val="26"/>
        </w:rPr>
        <w:t xml:space="preserve"> указывается отнесение данного акта к нормативному правовому, заверяется штампом в</w:t>
      </w:r>
      <w:r w:rsidR="00FC3E0D">
        <w:rPr>
          <w:sz w:val="26"/>
          <w:szCs w:val="26"/>
        </w:rPr>
        <w:t xml:space="preserve"> подтверждение об отсутствии в П</w:t>
      </w:r>
      <w:r w:rsidRPr="00195896">
        <w:rPr>
          <w:sz w:val="26"/>
          <w:szCs w:val="26"/>
        </w:rPr>
        <w:t xml:space="preserve">роекте НПА коррупциогенных факторов: «Проект НПА коррупциогенных факторов не содержит». Без наличия такого заверения Проект НПА не должен быть передан в Нефтеюганскую межрайонную прокуратуру. Результатом экспертизы Проекта НПА должно стать заключение о законности принимаемого НПА. 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 xml:space="preserve">Далее исполнитель направляет Проект НПА на бумажном носителе и в электронном виде текстового редактора </w:t>
      </w:r>
      <w:r w:rsidRPr="00195896">
        <w:rPr>
          <w:sz w:val="26"/>
          <w:szCs w:val="26"/>
          <w:lang w:val="en-US"/>
        </w:rPr>
        <w:t>Word</w:t>
      </w:r>
      <w:r w:rsidRPr="00195896">
        <w:rPr>
          <w:sz w:val="26"/>
          <w:szCs w:val="26"/>
        </w:rPr>
        <w:t xml:space="preserve"> </w:t>
      </w:r>
      <w:r w:rsidRPr="00195896">
        <w:rPr>
          <w:sz w:val="26"/>
          <w:szCs w:val="26"/>
          <w:lang w:val="en-US"/>
        </w:rPr>
        <w:t>for</w:t>
      </w:r>
      <w:r w:rsidRPr="00195896">
        <w:rPr>
          <w:sz w:val="26"/>
          <w:szCs w:val="26"/>
        </w:rPr>
        <w:t xml:space="preserve"> </w:t>
      </w:r>
      <w:r w:rsidRPr="00195896">
        <w:rPr>
          <w:sz w:val="26"/>
          <w:szCs w:val="26"/>
          <w:lang w:val="en-US"/>
        </w:rPr>
        <w:t>Windows</w:t>
      </w:r>
      <w:r w:rsidRPr="00195896">
        <w:rPr>
          <w:sz w:val="26"/>
          <w:szCs w:val="26"/>
        </w:rPr>
        <w:t xml:space="preserve"> (по локальной сети) с заключением (экспертным заключением) комитета по экономической политике и предпринимательству администрации Нефтеюганского района, заключением юридическо-правового управления аппарата Думы района, заключением Контрольно-счетной палаты Нефтеюганского района (при наличии) в отдел организационного обеспечения деятельности Главы в целях размещения на официальном сайте органов местного самоуправления Нефтеюганского района в сети Интернет для проведения независимой антикоррупционной экспертизы, а также для передачи в Нефтеюганскую межрайонную прокуратуру. 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 xml:space="preserve">Для проверки Проекта НПА на соответствие законодательству, Уставу муниципального образования Нефтеюганский район Проекты НПА направляются в Нефтеюганскую межрайонную прокуратуру с сопроводительным письмом (перечисляются названия Проектов НПА), подписанным </w:t>
      </w:r>
      <w:r w:rsidR="00887488">
        <w:rPr>
          <w:sz w:val="26"/>
          <w:szCs w:val="26"/>
        </w:rPr>
        <w:t xml:space="preserve">первым заместителем главы </w:t>
      </w:r>
      <w:r w:rsidRPr="00195896">
        <w:rPr>
          <w:sz w:val="26"/>
          <w:szCs w:val="26"/>
        </w:rPr>
        <w:t xml:space="preserve"> района. </w:t>
      </w:r>
    </w:p>
    <w:p w:rsidR="00195896" w:rsidRPr="00195896" w:rsidRDefault="00195896" w:rsidP="001958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 xml:space="preserve">Если по истечении 10 дней с даты отправки Проекта НПА в Нефтеюганскую межрайонную прокуратуру в адрес Главы района не поступило письмо о выявлении несоответствия действующему законодательству и (или) коррупциогенного фактора, то специалист отдела организационного обеспечения </w:t>
      </w:r>
      <w:r w:rsidR="00FC3E0D">
        <w:rPr>
          <w:sz w:val="26"/>
          <w:szCs w:val="26"/>
        </w:rPr>
        <w:t xml:space="preserve">деятельности </w:t>
      </w:r>
      <w:r w:rsidRPr="00195896">
        <w:rPr>
          <w:sz w:val="26"/>
          <w:szCs w:val="26"/>
        </w:rPr>
        <w:t xml:space="preserve">Главы осуществляет редактирование текста в соответствии с правилами русского языка, требованиями ГОСТа, Инструкцией по делопроизводству (документационному </w:t>
      </w:r>
      <w:r w:rsidRPr="00195896">
        <w:rPr>
          <w:sz w:val="26"/>
          <w:szCs w:val="26"/>
        </w:rPr>
        <w:lastRenderedPageBreak/>
        <w:t>обеспечению), настоящим Порядком и распечатывает на официальном бланке, передает исполнителю для согласования.»;</w:t>
      </w:r>
    </w:p>
    <w:p w:rsidR="00195896" w:rsidRPr="00195896" w:rsidRDefault="00195896" w:rsidP="0088748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1.3.3</w:t>
      </w:r>
      <w:r>
        <w:rPr>
          <w:sz w:val="26"/>
          <w:szCs w:val="26"/>
        </w:rPr>
        <w:t>.</w:t>
      </w:r>
      <w:r w:rsidR="000D50F3">
        <w:rPr>
          <w:sz w:val="26"/>
          <w:szCs w:val="26"/>
        </w:rPr>
        <w:tab/>
      </w:r>
      <w:r w:rsidR="00CE4BB2">
        <w:rPr>
          <w:sz w:val="26"/>
          <w:szCs w:val="26"/>
        </w:rPr>
        <w:t>В</w:t>
      </w:r>
      <w:r w:rsidRPr="00195896">
        <w:rPr>
          <w:sz w:val="26"/>
          <w:szCs w:val="26"/>
        </w:rPr>
        <w:t xml:space="preserve"> пункте 27 слова «обеспечения Думы» заменить словами «обеспечения </w:t>
      </w:r>
      <w:r w:rsidR="00FC3E0D">
        <w:rPr>
          <w:sz w:val="26"/>
          <w:szCs w:val="26"/>
        </w:rPr>
        <w:t xml:space="preserve">деятельности </w:t>
      </w:r>
      <w:r w:rsidRPr="00195896">
        <w:rPr>
          <w:sz w:val="26"/>
          <w:szCs w:val="26"/>
        </w:rPr>
        <w:t>Главы»;</w:t>
      </w:r>
    </w:p>
    <w:p w:rsidR="00195896" w:rsidRPr="00195896" w:rsidRDefault="00195896" w:rsidP="0088748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1.3.</w:t>
      </w:r>
      <w:r>
        <w:rPr>
          <w:sz w:val="26"/>
          <w:szCs w:val="26"/>
        </w:rPr>
        <w:t>4.</w:t>
      </w:r>
      <w:r w:rsidR="000D50F3">
        <w:rPr>
          <w:sz w:val="26"/>
          <w:szCs w:val="26"/>
        </w:rPr>
        <w:tab/>
      </w:r>
      <w:r w:rsidR="00CE4BB2">
        <w:rPr>
          <w:sz w:val="26"/>
          <w:szCs w:val="26"/>
        </w:rPr>
        <w:t>В</w:t>
      </w:r>
      <w:r w:rsidRPr="00195896">
        <w:rPr>
          <w:sz w:val="26"/>
          <w:szCs w:val="26"/>
        </w:rPr>
        <w:t xml:space="preserve"> пункте 28 слова «обеспечения Думы» заменить словами «обеспечения </w:t>
      </w:r>
      <w:r w:rsidR="00FC3E0D">
        <w:rPr>
          <w:sz w:val="26"/>
          <w:szCs w:val="26"/>
        </w:rPr>
        <w:t xml:space="preserve">деятельности </w:t>
      </w:r>
      <w:r w:rsidRPr="00195896">
        <w:rPr>
          <w:sz w:val="26"/>
          <w:szCs w:val="26"/>
        </w:rPr>
        <w:t>Главы»;</w:t>
      </w:r>
    </w:p>
    <w:p w:rsidR="00195896" w:rsidRPr="00195896" w:rsidRDefault="00195896" w:rsidP="0088748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1.</w:t>
      </w:r>
      <w:r>
        <w:rPr>
          <w:sz w:val="26"/>
          <w:szCs w:val="26"/>
        </w:rPr>
        <w:t>3.5.</w:t>
      </w:r>
      <w:r w:rsidR="000D50F3">
        <w:rPr>
          <w:sz w:val="26"/>
          <w:szCs w:val="26"/>
        </w:rPr>
        <w:tab/>
      </w:r>
      <w:r w:rsidR="00CE4BB2">
        <w:rPr>
          <w:sz w:val="26"/>
          <w:szCs w:val="26"/>
        </w:rPr>
        <w:t>В</w:t>
      </w:r>
      <w:r w:rsidRPr="00195896">
        <w:rPr>
          <w:sz w:val="26"/>
          <w:szCs w:val="26"/>
        </w:rPr>
        <w:t xml:space="preserve"> пункте 29 слова «обеспечения Думы» заменить словами «обеспечения </w:t>
      </w:r>
      <w:r w:rsidR="00FC3E0D">
        <w:rPr>
          <w:sz w:val="26"/>
          <w:szCs w:val="26"/>
        </w:rPr>
        <w:t xml:space="preserve">деятельности </w:t>
      </w:r>
      <w:r w:rsidRPr="00195896">
        <w:rPr>
          <w:sz w:val="26"/>
          <w:szCs w:val="26"/>
        </w:rPr>
        <w:t>Главы»;</w:t>
      </w:r>
    </w:p>
    <w:p w:rsidR="00195896" w:rsidRPr="00195896" w:rsidRDefault="00195896" w:rsidP="0088748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1.3.6.</w:t>
      </w:r>
      <w:r w:rsidR="000D50F3">
        <w:rPr>
          <w:sz w:val="26"/>
          <w:szCs w:val="26"/>
        </w:rPr>
        <w:tab/>
      </w:r>
      <w:r w:rsidR="00CE4BB2">
        <w:rPr>
          <w:sz w:val="26"/>
          <w:szCs w:val="26"/>
        </w:rPr>
        <w:t>П</w:t>
      </w:r>
      <w:r w:rsidRPr="00195896">
        <w:rPr>
          <w:sz w:val="26"/>
          <w:szCs w:val="26"/>
        </w:rPr>
        <w:t xml:space="preserve">ункт 31 дополнить абзацем следующего содержания: </w:t>
      </w:r>
    </w:p>
    <w:p w:rsidR="00195896" w:rsidRPr="00195896" w:rsidRDefault="00195896" w:rsidP="00FC3E0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«Сведения об источнике официального опубликования (обнародования) НПА подлежат направлению в Управление сопроводительным письмом Главы района (далее-Письмо) на бумажном носителе, подготовленным специалистом отдела организационного обеспечения деятельности Главы, в течение 15 дней со дня официального опубликования (обнародования) НПА. Юридический комитет администрации Нефтеюганского района обеспечивает направление письма в Управление в электронном виде.»;</w:t>
      </w:r>
    </w:p>
    <w:p w:rsidR="00195896" w:rsidRPr="00195896" w:rsidRDefault="00195896" w:rsidP="00CE4BB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1.3.7</w:t>
      </w:r>
      <w:r>
        <w:rPr>
          <w:sz w:val="26"/>
          <w:szCs w:val="26"/>
        </w:rPr>
        <w:t>.</w:t>
      </w:r>
      <w:r w:rsidR="000D50F3">
        <w:rPr>
          <w:sz w:val="26"/>
          <w:szCs w:val="26"/>
        </w:rPr>
        <w:tab/>
      </w:r>
      <w:r w:rsidR="00CE4BB2">
        <w:rPr>
          <w:sz w:val="26"/>
          <w:szCs w:val="26"/>
        </w:rPr>
        <w:t>В</w:t>
      </w:r>
      <w:r w:rsidRPr="00195896">
        <w:rPr>
          <w:sz w:val="26"/>
          <w:szCs w:val="26"/>
        </w:rPr>
        <w:t xml:space="preserve"> пункте 32 слова «обеспечения Думы» заменить словами «обеспечения </w:t>
      </w:r>
      <w:r w:rsidR="00FC3E0D">
        <w:rPr>
          <w:sz w:val="26"/>
          <w:szCs w:val="26"/>
        </w:rPr>
        <w:t xml:space="preserve">деятельности </w:t>
      </w:r>
      <w:r w:rsidRPr="00195896">
        <w:rPr>
          <w:sz w:val="26"/>
          <w:szCs w:val="26"/>
        </w:rPr>
        <w:t>Главы»;</w:t>
      </w:r>
    </w:p>
    <w:p w:rsidR="00195896" w:rsidRPr="00195896" w:rsidRDefault="00195896" w:rsidP="00CE4BB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1.3.8.</w:t>
      </w:r>
      <w:r w:rsidR="000D50F3">
        <w:rPr>
          <w:sz w:val="26"/>
          <w:szCs w:val="26"/>
        </w:rPr>
        <w:tab/>
      </w:r>
      <w:r w:rsidR="00CE4BB2">
        <w:rPr>
          <w:sz w:val="26"/>
          <w:szCs w:val="26"/>
        </w:rPr>
        <w:t>В</w:t>
      </w:r>
      <w:r w:rsidRPr="00195896">
        <w:rPr>
          <w:sz w:val="26"/>
          <w:szCs w:val="26"/>
        </w:rPr>
        <w:t xml:space="preserve"> пункте 33 слова «обеспечения Думы» заменить словами «обеспечения </w:t>
      </w:r>
      <w:r w:rsidR="00FC3E0D">
        <w:rPr>
          <w:sz w:val="26"/>
          <w:szCs w:val="26"/>
        </w:rPr>
        <w:t xml:space="preserve">деятельности </w:t>
      </w:r>
      <w:r w:rsidRPr="00195896">
        <w:rPr>
          <w:sz w:val="26"/>
          <w:szCs w:val="26"/>
        </w:rPr>
        <w:t>Главы».</w:t>
      </w:r>
    </w:p>
    <w:p w:rsidR="00195896" w:rsidRPr="00195896" w:rsidRDefault="00195896" w:rsidP="00887488">
      <w:pPr>
        <w:tabs>
          <w:tab w:val="left" w:pos="1247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5896">
        <w:rPr>
          <w:sz w:val="26"/>
          <w:szCs w:val="26"/>
        </w:rPr>
        <w:t>1.4</w:t>
      </w:r>
      <w:r>
        <w:rPr>
          <w:sz w:val="26"/>
          <w:szCs w:val="26"/>
        </w:rPr>
        <w:t>.</w:t>
      </w:r>
      <w:r w:rsidR="000D50F3">
        <w:rPr>
          <w:sz w:val="26"/>
          <w:szCs w:val="26"/>
        </w:rPr>
        <w:tab/>
      </w:r>
      <w:r w:rsidR="00FC3E0D">
        <w:rPr>
          <w:sz w:val="26"/>
          <w:szCs w:val="26"/>
        </w:rPr>
        <w:t>Приложение к Порядку внесения П</w:t>
      </w:r>
      <w:r w:rsidRPr="00195896">
        <w:rPr>
          <w:sz w:val="26"/>
          <w:szCs w:val="26"/>
        </w:rPr>
        <w:t>роекто</w:t>
      </w:r>
      <w:r w:rsidR="00FC3E0D">
        <w:rPr>
          <w:sz w:val="26"/>
          <w:szCs w:val="26"/>
        </w:rPr>
        <w:t>в муниципальных правовых актов Г</w:t>
      </w:r>
      <w:r w:rsidRPr="00195896">
        <w:rPr>
          <w:sz w:val="26"/>
          <w:szCs w:val="26"/>
        </w:rPr>
        <w:t>лавы Нефтеюганского района изложить в редакции согласно приложению к настоящему постановлению</w:t>
      </w:r>
    </w:p>
    <w:p w:rsidR="00195896" w:rsidRPr="00195896" w:rsidRDefault="00195896" w:rsidP="008874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 w:rsidR="000D50F3">
        <w:rPr>
          <w:sz w:val="26"/>
          <w:szCs w:val="26"/>
        </w:rPr>
        <w:tab/>
      </w:r>
      <w:r w:rsidRPr="00195896">
        <w:rPr>
          <w:sz w:val="26"/>
          <w:szCs w:val="26"/>
        </w:rPr>
        <w:t>Настоящее постановление подлежит официальному опубликованию в газете «Югорское обозрение</w:t>
      </w:r>
      <w:r w:rsidR="00FC3E0D">
        <w:rPr>
          <w:sz w:val="26"/>
          <w:szCs w:val="26"/>
        </w:rPr>
        <w:t>»</w:t>
      </w:r>
      <w:r w:rsidRPr="00195896">
        <w:rPr>
          <w:sz w:val="26"/>
          <w:szCs w:val="26"/>
        </w:rPr>
        <w:t xml:space="preserve"> и размещению на официальном сайте органов местного самоуправления Нефтеюганского района.</w:t>
      </w:r>
    </w:p>
    <w:p w:rsidR="00195896" w:rsidRPr="00195896" w:rsidRDefault="00195896" w:rsidP="0088748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D50F3">
        <w:rPr>
          <w:sz w:val="26"/>
          <w:szCs w:val="26"/>
        </w:rPr>
        <w:tab/>
      </w:r>
      <w:r w:rsidRPr="00195896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195896" w:rsidRPr="00195896" w:rsidRDefault="00195896" w:rsidP="00195896">
      <w:pPr>
        <w:ind w:firstLine="1080"/>
        <w:jc w:val="both"/>
        <w:rPr>
          <w:sz w:val="26"/>
          <w:szCs w:val="26"/>
        </w:rPr>
      </w:pPr>
    </w:p>
    <w:p w:rsidR="00195896" w:rsidRPr="00195896" w:rsidRDefault="00195896" w:rsidP="00195896">
      <w:pPr>
        <w:ind w:firstLine="1080"/>
        <w:jc w:val="both"/>
        <w:rPr>
          <w:sz w:val="26"/>
          <w:szCs w:val="26"/>
        </w:rPr>
      </w:pPr>
    </w:p>
    <w:p w:rsidR="00195896" w:rsidRPr="00195896" w:rsidRDefault="00195896" w:rsidP="00195896">
      <w:pPr>
        <w:ind w:firstLine="1080"/>
        <w:jc w:val="both"/>
        <w:rPr>
          <w:sz w:val="26"/>
          <w:szCs w:val="26"/>
        </w:rPr>
      </w:pPr>
    </w:p>
    <w:p w:rsidR="00195896" w:rsidRPr="00195896" w:rsidRDefault="00195896" w:rsidP="00195896">
      <w:pPr>
        <w:jc w:val="both"/>
        <w:rPr>
          <w:sz w:val="26"/>
          <w:szCs w:val="26"/>
        </w:rPr>
      </w:pPr>
      <w:r w:rsidRPr="00195896">
        <w:rPr>
          <w:sz w:val="26"/>
          <w:szCs w:val="26"/>
        </w:rPr>
        <w:t xml:space="preserve">Глава </w:t>
      </w:r>
    </w:p>
    <w:p w:rsidR="00195896" w:rsidRPr="00195896" w:rsidRDefault="00195896" w:rsidP="00195896">
      <w:pPr>
        <w:tabs>
          <w:tab w:val="left" w:pos="6660"/>
        </w:tabs>
        <w:jc w:val="both"/>
        <w:rPr>
          <w:sz w:val="26"/>
          <w:szCs w:val="26"/>
        </w:rPr>
      </w:pPr>
      <w:r w:rsidRPr="00195896">
        <w:rPr>
          <w:sz w:val="26"/>
          <w:szCs w:val="26"/>
        </w:rPr>
        <w:t xml:space="preserve">Нефтеюганского района </w:t>
      </w:r>
      <w:r w:rsidRPr="00195896">
        <w:rPr>
          <w:sz w:val="26"/>
          <w:szCs w:val="26"/>
        </w:rPr>
        <w:tab/>
        <w:t>В.Н.Семенов</w:t>
      </w:r>
    </w:p>
    <w:p w:rsidR="00195896" w:rsidRPr="00195896" w:rsidRDefault="00195896" w:rsidP="00195896">
      <w:pPr>
        <w:tabs>
          <w:tab w:val="left" w:pos="6660"/>
        </w:tabs>
        <w:jc w:val="both"/>
        <w:rPr>
          <w:sz w:val="26"/>
          <w:szCs w:val="26"/>
        </w:rPr>
      </w:pPr>
    </w:p>
    <w:p w:rsidR="00195896" w:rsidRPr="00195896" w:rsidRDefault="00195896" w:rsidP="00195896">
      <w:pPr>
        <w:tabs>
          <w:tab w:val="left" w:pos="6660"/>
        </w:tabs>
        <w:jc w:val="both"/>
        <w:rPr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4D3790" w:rsidRPr="004D3790" w:rsidRDefault="004D3790" w:rsidP="004D3790">
      <w:pPr>
        <w:shd w:val="clear" w:color="auto" w:fill="FFFFFF"/>
        <w:tabs>
          <w:tab w:val="left" w:pos="730"/>
        </w:tabs>
        <w:ind w:left="5954"/>
        <w:jc w:val="both"/>
        <w:rPr>
          <w:color w:val="000000"/>
          <w:sz w:val="26"/>
          <w:szCs w:val="26"/>
        </w:rPr>
      </w:pPr>
      <w:r w:rsidRPr="004D3790">
        <w:rPr>
          <w:color w:val="000000"/>
          <w:sz w:val="26"/>
          <w:szCs w:val="26"/>
        </w:rPr>
        <w:lastRenderedPageBreak/>
        <w:t xml:space="preserve">Приложение к постановлению </w:t>
      </w:r>
    </w:p>
    <w:p w:rsidR="004D3790" w:rsidRPr="004D3790" w:rsidRDefault="004D3790" w:rsidP="004D3790">
      <w:pPr>
        <w:shd w:val="clear" w:color="auto" w:fill="FFFFFF"/>
        <w:tabs>
          <w:tab w:val="left" w:pos="730"/>
        </w:tabs>
        <w:ind w:left="5954"/>
        <w:jc w:val="both"/>
        <w:rPr>
          <w:color w:val="000000"/>
          <w:sz w:val="26"/>
          <w:szCs w:val="26"/>
        </w:rPr>
      </w:pPr>
      <w:r w:rsidRPr="004D3790">
        <w:rPr>
          <w:color w:val="000000"/>
          <w:sz w:val="26"/>
          <w:szCs w:val="26"/>
        </w:rPr>
        <w:t>Главы Нефтеюганского района</w:t>
      </w:r>
    </w:p>
    <w:p w:rsidR="00195896" w:rsidRPr="00195896" w:rsidRDefault="004D3790" w:rsidP="004D3790">
      <w:pPr>
        <w:shd w:val="clear" w:color="auto" w:fill="FFFFFF"/>
        <w:tabs>
          <w:tab w:val="left" w:pos="730"/>
        </w:tabs>
        <w:ind w:left="5954"/>
        <w:jc w:val="both"/>
        <w:rPr>
          <w:color w:val="000000"/>
          <w:sz w:val="26"/>
          <w:szCs w:val="26"/>
        </w:rPr>
      </w:pPr>
      <w:r w:rsidRPr="004D3790">
        <w:rPr>
          <w:color w:val="000000"/>
          <w:sz w:val="26"/>
          <w:szCs w:val="26"/>
        </w:rPr>
        <w:t xml:space="preserve">от </w:t>
      </w:r>
      <w:r w:rsidRPr="004D3790">
        <w:rPr>
          <w:color w:val="000000"/>
          <w:sz w:val="26"/>
          <w:szCs w:val="26"/>
          <w:u w:val="single"/>
        </w:rPr>
        <w:t xml:space="preserve">   </w:t>
      </w:r>
      <w:r w:rsidR="00D54A79">
        <w:rPr>
          <w:color w:val="000000"/>
          <w:sz w:val="26"/>
          <w:szCs w:val="26"/>
          <w:u w:val="single"/>
        </w:rPr>
        <w:t xml:space="preserve">28.01.2016 </w:t>
      </w:r>
      <w:bookmarkStart w:id="0" w:name="_GoBack"/>
      <w:bookmarkEnd w:id="0"/>
      <w:r w:rsidRPr="004D3790">
        <w:rPr>
          <w:color w:val="000000"/>
          <w:sz w:val="26"/>
          <w:szCs w:val="26"/>
          <w:u w:val="single"/>
        </w:rPr>
        <w:t xml:space="preserve">    </w:t>
      </w:r>
      <w:r w:rsidRPr="004D3790">
        <w:rPr>
          <w:color w:val="000000"/>
          <w:sz w:val="26"/>
          <w:szCs w:val="26"/>
        </w:rPr>
        <w:t xml:space="preserve">№ </w:t>
      </w:r>
      <w:r w:rsidRPr="004D3790">
        <w:rPr>
          <w:color w:val="000000"/>
          <w:sz w:val="26"/>
          <w:szCs w:val="26"/>
          <w:u w:val="single"/>
        </w:rPr>
        <w:t xml:space="preserve"> </w:t>
      </w:r>
      <w:r w:rsidR="00D54A79">
        <w:rPr>
          <w:color w:val="000000"/>
          <w:sz w:val="26"/>
          <w:szCs w:val="26"/>
          <w:u w:val="single"/>
        </w:rPr>
        <w:t>4-п-нпа</w:t>
      </w:r>
      <w:r>
        <w:rPr>
          <w:color w:val="000000"/>
          <w:sz w:val="26"/>
          <w:szCs w:val="26"/>
          <w:u w:val="single"/>
        </w:rPr>
        <w:t xml:space="preserve">   </w:t>
      </w:r>
      <w:r w:rsidRPr="00BF4A05">
        <w:rPr>
          <w:color w:val="FFFFFF"/>
          <w:sz w:val="26"/>
          <w:szCs w:val="26"/>
          <w:u w:val="single"/>
        </w:rPr>
        <w:t>.</w:t>
      </w:r>
      <w:r w:rsidRPr="004D3790">
        <w:rPr>
          <w:color w:val="000000"/>
          <w:sz w:val="26"/>
          <w:szCs w:val="26"/>
          <w:u w:val="single"/>
        </w:rPr>
        <w:t xml:space="preserve">    </w:t>
      </w:r>
    </w:p>
    <w:p w:rsid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4D3790" w:rsidRPr="00195896" w:rsidRDefault="004D3790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 w:rsidRPr="00195896">
        <w:rPr>
          <w:color w:val="000000"/>
          <w:sz w:val="26"/>
          <w:szCs w:val="26"/>
        </w:rPr>
        <w:t>Лист согласования к проекту постановления (распоряжения)</w:t>
      </w: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 w:rsidRPr="00195896">
        <w:rPr>
          <w:color w:val="000000"/>
          <w:sz w:val="26"/>
          <w:szCs w:val="26"/>
        </w:rPr>
        <w:t>______________________________________________</w:t>
      </w: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center"/>
        <w:rPr>
          <w:color w:val="000000"/>
          <w:sz w:val="16"/>
          <w:szCs w:val="16"/>
        </w:rPr>
      </w:pPr>
      <w:r w:rsidRPr="00195896">
        <w:rPr>
          <w:color w:val="000000"/>
          <w:sz w:val="16"/>
          <w:szCs w:val="16"/>
        </w:rPr>
        <w:t>(наименование)</w:t>
      </w: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195896">
        <w:rPr>
          <w:color w:val="000000"/>
          <w:sz w:val="26"/>
          <w:szCs w:val="26"/>
        </w:rPr>
        <w:t>СОГЛАСОВАНО: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7"/>
        <w:gridCol w:w="3236"/>
        <w:gridCol w:w="2076"/>
      </w:tblGrid>
      <w:tr w:rsidR="00195896" w:rsidRPr="00195896" w:rsidTr="00195896">
        <w:tc>
          <w:tcPr>
            <w:tcW w:w="2808" w:type="dxa"/>
            <w:vAlign w:val="center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Фамилия, инициалы, должность</w:t>
            </w:r>
          </w:p>
        </w:tc>
        <w:tc>
          <w:tcPr>
            <w:tcW w:w="1627" w:type="dxa"/>
            <w:vAlign w:val="center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Дата</w:t>
            </w:r>
          </w:p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поступления</w:t>
            </w:r>
          </w:p>
        </w:tc>
        <w:tc>
          <w:tcPr>
            <w:tcW w:w="3236" w:type="dxa"/>
            <w:vAlign w:val="center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Замечания</w:t>
            </w:r>
          </w:p>
        </w:tc>
        <w:tc>
          <w:tcPr>
            <w:tcW w:w="2076" w:type="dxa"/>
            <w:vAlign w:val="center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Подпись,</w:t>
            </w:r>
          </w:p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дата выдачи</w:t>
            </w:r>
          </w:p>
        </w:tc>
      </w:tr>
      <w:tr w:rsidR="00195896" w:rsidRPr="00195896" w:rsidTr="00195896">
        <w:trPr>
          <w:trHeight w:val="924"/>
        </w:trPr>
        <w:tc>
          <w:tcPr>
            <w:tcW w:w="2808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27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36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6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95896" w:rsidRPr="00195896" w:rsidTr="00195896">
        <w:trPr>
          <w:trHeight w:val="924"/>
        </w:trPr>
        <w:tc>
          <w:tcPr>
            <w:tcW w:w="2808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27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36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6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95896" w:rsidRPr="00195896" w:rsidTr="00195896">
        <w:trPr>
          <w:trHeight w:val="924"/>
        </w:trPr>
        <w:tc>
          <w:tcPr>
            <w:tcW w:w="2808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27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36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6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195896">
        <w:rPr>
          <w:color w:val="000000"/>
          <w:sz w:val="26"/>
          <w:szCs w:val="26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118"/>
        <w:gridCol w:w="2126"/>
      </w:tblGrid>
      <w:tr w:rsidR="00195896" w:rsidRPr="00195896" w:rsidTr="00195896">
        <w:tc>
          <w:tcPr>
            <w:tcW w:w="4503" w:type="dxa"/>
            <w:vAlign w:val="center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Подразделение,</w:t>
            </w:r>
          </w:p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3118" w:type="dxa"/>
            <w:vAlign w:val="center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126" w:type="dxa"/>
            <w:vAlign w:val="center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Электронная</w:t>
            </w:r>
          </w:p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195896" w:rsidRPr="00195896" w:rsidTr="00195896">
        <w:tc>
          <w:tcPr>
            <w:tcW w:w="4503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195896">
              <w:rPr>
                <w:sz w:val="26"/>
                <w:szCs w:val="26"/>
              </w:rPr>
              <w:t xml:space="preserve">отдел организационного обеспечения </w:t>
            </w:r>
            <w:r w:rsidR="004D3790">
              <w:rPr>
                <w:sz w:val="26"/>
                <w:szCs w:val="26"/>
              </w:rPr>
              <w:t xml:space="preserve">деятельности </w:t>
            </w:r>
            <w:r w:rsidRPr="00195896">
              <w:rPr>
                <w:sz w:val="26"/>
                <w:szCs w:val="26"/>
              </w:rPr>
              <w:t>Главы аппарата Думы района</w:t>
            </w:r>
          </w:p>
        </w:tc>
        <w:tc>
          <w:tcPr>
            <w:tcW w:w="3118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1</w:t>
            </w:r>
          </w:p>
        </w:tc>
      </w:tr>
      <w:tr w:rsidR="00195896" w:rsidRPr="00195896" w:rsidTr="00195896">
        <w:tc>
          <w:tcPr>
            <w:tcW w:w="4503" w:type="dxa"/>
          </w:tcPr>
          <w:p w:rsidR="00195896" w:rsidRPr="00195896" w:rsidRDefault="00195896" w:rsidP="00195896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5896" w:rsidRPr="00195896" w:rsidTr="00195896">
        <w:tc>
          <w:tcPr>
            <w:tcW w:w="4503" w:type="dxa"/>
          </w:tcPr>
          <w:p w:rsidR="00195896" w:rsidRPr="00195896" w:rsidRDefault="00195896" w:rsidP="00195896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5896" w:rsidRPr="00195896" w:rsidTr="00195896">
        <w:tc>
          <w:tcPr>
            <w:tcW w:w="4503" w:type="dxa"/>
          </w:tcPr>
          <w:p w:rsidR="00195896" w:rsidRPr="00195896" w:rsidRDefault="00195896" w:rsidP="00195896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5896" w:rsidRPr="00195896" w:rsidTr="00195896">
        <w:tc>
          <w:tcPr>
            <w:tcW w:w="4503" w:type="dxa"/>
          </w:tcPr>
          <w:p w:rsidR="00195896" w:rsidRPr="00195896" w:rsidRDefault="00195896" w:rsidP="00195896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5896" w:rsidRPr="00195896" w:rsidTr="00195896">
        <w:tc>
          <w:tcPr>
            <w:tcW w:w="4503" w:type="dxa"/>
          </w:tcPr>
          <w:p w:rsidR="00195896" w:rsidRPr="00195896" w:rsidRDefault="00195896" w:rsidP="00195896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118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95896" w:rsidRPr="00195896" w:rsidRDefault="00195896" w:rsidP="004D3790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195896"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195896">
        <w:rPr>
          <w:color w:val="000000"/>
          <w:sz w:val="26"/>
          <w:szCs w:val="26"/>
        </w:rPr>
        <w:t>И.О.Фамилия</w:t>
      </w:r>
    </w:p>
    <w:p w:rsidR="00195896" w:rsidRPr="00195896" w:rsidRDefault="00195896" w:rsidP="00195896">
      <w:pPr>
        <w:jc w:val="both"/>
        <w:rPr>
          <w:color w:val="000000"/>
          <w:sz w:val="26"/>
          <w:szCs w:val="26"/>
        </w:rPr>
      </w:pPr>
      <w:r w:rsidRPr="00195896">
        <w:rPr>
          <w:color w:val="000000"/>
          <w:sz w:val="26"/>
          <w:szCs w:val="26"/>
        </w:rPr>
        <w:t xml:space="preserve">№ телефона </w:t>
      </w:r>
    </w:p>
    <w:p w:rsidR="00195896" w:rsidRPr="00195896" w:rsidRDefault="00195896" w:rsidP="00195896">
      <w:pPr>
        <w:jc w:val="both"/>
        <w:rPr>
          <w:color w:val="000000"/>
          <w:sz w:val="26"/>
          <w:szCs w:val="26"/>
        </w:rPr>
      </w:pPr>
    </w:p>
    <w:p w:rsidR="00195896" w:rsidRPr="00195896" w:rsidRDefault="00195896" w:rsidP="00195896">
      <w:pPr>
        <w:tabs>
          <w:tab w:val="left" w:pos="6660"/>
        </w:tabs>
        <w:jc w:val="both"/>
        <w:rPr>
          <w:bCs/>
          <w:sz w:val="26"/>
          <w:szCs w:val="26"/>
        </w:rPr>
      </w:pPr>
    </w:p>
    <w:p w:rsidR="00195896" w:rsidRPr="00195896" w:rsidRDefault="00195896" w:rsidP="00195896">
      <w:pPr>
        <w:tabs>
          <w:tab w:val="left" w:pos="6660"/>
        </w:tabs>
        <w:jc w:val="both"/>
        <w:rPr>
          <w:bCs/>
          <w:sz w:val="26"/>
          <w:szCs w:val="26"/>
        </w:rPr>
      </w:pPr>
    </w:p>
    <w:p w:rsidR="00195896" w:rsidRPr="00195896" w:rsidRDefault="00195896" w:rsidP="00195896">
      <w:pPr>
        <w:tabs>
          <w:tab w:val="left" w:pos="6660"/>
        </w:tabs>
        <w:jc w:val="both"/>
        <w:rPr>
          <w:bCs/>
          <w:sz w:val="26"/>
          <w:szCs w:val="26"/>
        </w:rPr>
      </w:pPr>
    </w:p>
    <w:p w:rsidR="00195896" w:rsidRPr="00195896" w:rsidRDefault="00195896" w:rsidP="00195896">
      <w:pPr>
        <w:tabs>
          <w:tab w:val="left" w:pos="6660"/>
        </w:tabs>
        <w:jc w:val="both"/>
        <w:rPr>
          <w:bCs/>
          <w:sz w:val="26"/>
          <w:szCs w:val="26"/>
        </w:rPr>
      </w:pPr>
    </w:p>
    <w:p w:rsidR="00195896" w:rsidRPr="00195896" w:rsidRDefault="00195896" w:rsidP="00195896">
      <w:pPr>
        <w:tabs>
          <w:tab w:val="left" w:pos="6660"/>
        </w:tabs>
        <w:jc w:val="both"/>
        <w:rPr>
          <w:bCs/>
          <w:sz w:val="26"/>
          <w:szCs w:val="26"/>
        </w:rPr>
      </w:pPr>
    </w:p>
    <w:sectPr w:rsidR="00195896" w:rsidRPr="00195896" w:rsidSect="00DC5EB2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BF" w:rsidRDefault="00EF60BF">
      <w:r>
        <w:separator/>
      </w:r>
    </w:p>
  </w:endnote>
  <w:endnote w:type="continuationSeparator" w:id="0">
    <w:p w:rsidR="00EF60BF" w:rsidRDefault="00EF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BF" w:rsidRDefault="00EF60BF">
      <w:r>
        <w:separator/>
      </w:r>
    </w:p>
  </w:footnote>
  <w:footnote w:type="continuationSeparator" w:id="0">
    <w:p w:rsidR="00EF60BF" w:rsidRDefault="00EF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B2" w:rsidRDefault="00DC5E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4A7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7"/>
  </w:num>
  <w:num w:numId="5">
    <w:abstractNumId w:val="15"/>
  </w:num>
  <w:num w:numId="6">
    <w:abstractNumId w:val="18"/>
  </w:num>
  <w:num w:numId="7">
    <w:abstractNumId w:val="22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3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250F3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D50F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5896"/>
    <w:rsid w:val="00196FC3"/>
    <w:rsid w:val="001A2960"/>
    <w:rsid w:val="001A771F"/>
    <w:rsid w:val="001B583B"/>
    <w:rsid w:val="001B655B"/>
    <w:rsid w:val="001C667D"/>
    <w:rsid w:val="001D1B05"/>
    <w:rsid w:val="001D2152"/>
    <w:rsid w:val="001D414F"/>
    <w:rsid w:val="001E0B6E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297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4F66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3679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21F8C"/>
    <w:rsid w:val="0042358C"/>
    <w:rsid w:val="00427618"/>
    <w:rsid w:val="00432F37"/>
    <w:rsid w:val="00450D10"/>
    <w:rsid w:val="00453E80"/>
    <w:rsid w:val="0045479F"/>
    <w:rsid w:val="00456D3C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D3790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73802"/>
    <w:rsid w:val="00583605"/>
    <w:rsid w:val="005839E5"/>
    <w:rsid w:val="00584101"/>
    <w:rsid w:val="00587E26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3C42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6A1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488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0B29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83929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2D78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15C"/>
    <w:rsid w:val="00B56868"/>
    <w:rsid w:val="00B60181"/>
    <w:rsid w:val="00B605B0"/>
    <w:rsid w:val="00B62326"/>
    <w:rsid w:val="00B6236C"/>
    <w:rsid w:val="00B62BA7"/>
    <w:rsid w:val="00B658DE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4A05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43C2"/>
    <w:rsid w:val="00CC69C7"/>
    <w:rsid w:val="00CD0688"/>
    <w:rsid w:val="00CD795E"/>
    <w:rsid w:val="00CD7BB3"/>
    <w:rsid w:val="00CE0E9E"/>
    <w:rsid w:val="00CE48E8"/>
    <w:rsid w:val="00CE4BB2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4A79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5EB2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2245"/>
    <w:rsid w:val="00EF60BF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C3E0D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FD31-2AEE-4A73-BA6E-B7078AD7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278</cp:revision>
  <cp:lastPrinted>2016-02-02T07:13:00Z</cp:lastPrinted>
  <dcterms:created xsi:type="dcterms:W3CDTF">2013-05-22T02:59:00Z</dcterms:created>
  <dcterms:modified xsi:type="dcterms:W3CDTF">2016-02-02T09:08:00Z</dcterms:modified>
</cp:coreProperties>
</file>