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3CD4" w14:textId="77777777" w:rsidR="007E0499" w:rsidRPr="00113983" w:rsidRDefault="007E0499" w:rsidP="0058094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220212BE" wp14:editId="4495CDA7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2690E" w14:textId="77777777" w:rsidR="007E0499" w:rsidRPr="00113983" w:rsidRDefault="007E0499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F752855" w14:textId="77777777" w:rsidR="007E0499" w:rsidRPr="00113983" w:rsidRDefault="007E0499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7C993498" w14:textId="77777777" w:rsidR="007E0499" w:rsidRPr="00113983" w:rsidRDefault="007E0499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1C83A4D4" w14:textId="77777777" w:rsidR="007E0499" w:rsidRPr="00113983" w:rsidRDefault="007E0499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01572B5E" w14:textId="77777777" w:rsidR="007E0499" w:rsidRPr="00113983" w:rsidRDefault="007E0499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08275A2B" w14:textId="77777777" w:rsidR="007E0499" w:rsidRPr="00113983" w:rsidRDefault="007E0499" w:rsidP="0058094B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E0499" w:rsidRPr="00113983" w14:paraId="09C00BB5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8BACCC1" w14:textId="77777777" w:rsidR="007E0499" w:rsidRPr="00D05D14" w:rsidRDefault="007E0499" w:rsidP="0058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5D14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D05D14">
              <w:rPr>
                <w:rFonts w:ascii="Times New Roman" w:hAnsi="Times New Roman"/>
                <w:sz w:val="26"/>
                <w:szCs w:val="26"/>
              </w:rPr>
              <w:t>.04.2023</w:t>
            </w:r>
          </w:p>
        </w:tc>
        <w:tc>
          <w:tcPr>
            <w:tcW w:w="6595" w:type="dxa"/>
            <w:vMerge w:val="restart"/>
          </w:tcPr>
          <w:p w14:paraId="614E091A" w14:textId="39C74972" w:rsidR="007E0499" w:rsidRPr="00D05D14" w:rsidRDefault="007E0499" w:rsidP="00580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D05D14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D05D14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526</w:t>
            </w:r>
            <w:r w:rsidRPr="00D05D14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7E0499" w:rsidRPr="00113983" w14:paraId="6DA476D3" w14:textId="77777777" w:rsidTr="0058094B">
        <w:trPr>
          <w:cantSplit/>
          <w:trHeight w:val="70"/>
        </w:trPr>
        <w:tc>
          <w:tcPr>
            <w:tcW w:w="3119" w:type="dxa"/>
          </w:tcPr>
          <w:p w14:paraId="278DC964" w14:textId="77777777" w:rsidR="007E0499" w:rsidRPr="00113983" w:rsidRDefault="007E0499" w:rsidP="0058094B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0573C25F" w14:textId="77777777" w:rsidR="007E0499" w:rsidRPr="00113983" w:rsidRDefault="007E0499" w:rsidP="0058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4F45D1A" w14:textId="77777777" w:rsidR="007E0499" w:rsidRPr="00113983" w:rsidRDefault="007E0499" w:rsidP="00580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596F6853" w14:textId="77777777" w:rsidR="007E0499" w:rsidRDefault="007E0499" w:rsidP="0058094B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  <w:proofErr w:type="spellEnd"/>
    </w:p>
    <w:p w14:paraId="6E78089A" w14:textId="7BA0429B" w:rsidR="0034113C" w:rsidRDefault="0034113C" w:rsidP="009D6B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2D6605E" w14:textId="77777777" w:rsidR="0034113C" w:rsidRDefault="0034113C" w:rsidP="009D6B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5C55CC2" w14:textId="0F4E29B8" w:rsidR="008760BC" w:rsidRPr="0034113C" w:rsidRDefault="00912034" w:rsidP="009D6B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113C">
        <w:rPr>
          <w:rFonts w:ascii="Times New Roman" w:hAnsi="Times New Roman" w:cs="Times New Roman"/>
          <w:sz w:val="26"/>
          <w:szCs w:val="26"/>
        </w:rPr>
        <w:t xml:space="preserve">О </w:t>
      </w:r>
      <w:r w:rsidR="008760BC" w:rsidRPr="0034113C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Нефтеюганского района </w:t>
      </w:r>
      <w:r w:rsidR="0034113C">
        <w:rPr>
          <w:rFonts w:ascii="Times New Roman" w:hAnsi="Times New Roman" w:cs="Times New Roman"/>
          <w:sz w:val="26"/>
          <w:szCs w:val="26"/>
        </w:rPr>
        <w:br/>
      </w:r>
      <w:r w:rsidR="008760BC" w:rsidRPr="0034113C">
        <w:rPr>
          <w:rFonts w:ascii="Times New Roman" w:hAnsi="Times New Roman" w:cs="Times New Roman"/>
          <w:sz w:val="26"/>
          <w:szCs w:val="26"/>
        </w:rPr>
        <w:t>от 1</w:t>
      </w:r>
      <w:r w:rsidR="00D319FA" w:rsidRPr="0034113C">
        <w:rPr>
          <w:rFonts w:ascii="Times New Roman" w:hAnsi="Times New Roman" w:cs="Times New Roman"/>
          <w:sz w:val="26"/>
          <w:szCs w:val="26"/>
        </w:rPr>
        <w:t xml:space="preserve">6.07.2015 № 1385-па-нпа </w:t>
      </w:r>
      <w:r w:rsidR="008760BC" w:rsidRPr="0034113C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D319FA" w:rsidRPr="0034113C">
        <w:rPr>
          <w:rFonts w:ascii="Times New Roman" w:hAnsi="Times New Roman" w:cs="Times New Roman"/>
          <w:sz w:val="26"/>
          <w:szCs w:val="26"/>
        </w:rPr>
        <w:t>п</w:t>
      </w:r>
      <w:r w:rsidR="008760BC" w:rsidRPr="0034113C">
        <w:rPr>
          <w:rFonts w:ascii="Times New Roman" w:hAnsi="Times New Roman" w:cs="Times New Roman"/>
          <w:sz w:val="26"/>
          <w:szCs w:val="26"/>
        </w:rPr>
        <w:t>оложения о порядке</w:t>
      </w:r>
      <w:r w:rsidR="00D319FA" w:rsidRPr="0034113C">
        <w:rPr>
          <w:rFonts w:ascii="Times New Roman" w:hAnsi="Times New Roman" w:cs="Times New Roman"/>
          <w:sz w:val="26"/>
          <w:szCs w:val="26"/>
        </w:rPr>
        <w:t xml:space="preserve"> и размерах возмещения расходов, связанных со служебными командировками, </w:t>
      </w:r>
      <w:r w:rsidR="0034113C">
        <w:rPr>
          <w:rFonts w:ascii="Times New Roman" w:hAnsi="Times New Roman" w:cs="Times New Roman"/>
          <w:sz w:val="26"/>
          <w:szCs w:val="26"/>
        </w:rPr>
        <w:br/>
      </w:r>
      <w:r w:rsidR="00D319FA" w:rsidRPr="0034113C">
        <w:rPr>
          <w:rFonts w:ascii="Times New Roman" w:hAnsi="Times New Roman" w:cs="Times New Roman"/>
          <w:sz w:val="26"/>
          <w:szCs w:val="26"/>
        </w:rPr>
        <w:t xml:space="preserve">работникам муниципальных учреждений Нефтеюганского района» </w:t>
      </w:r>
    </w:p>
    <w:p w14:paraId="1DC931D1" w14:textId="77777777" w:rsidR="00912034" w:rsidRPr="0034113C" w:rsidRDefault="00912034" w:rsidP="009D6B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A88CE81" w14:textId="77777777" w:rsidR="00C43114" w:rsidRPr="0034113C" w:rsidRDefault="00C43114" w:rsidP="009D6B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D6711D0" w14:textId="3DA48E37" w:rsidR="00912034" w:rsidRPr="0034113C" w:rsidRDefault="008760BC" w:rsidP="00341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13C">
        <w:rPr>
          <w:rFonts w:ascii="Times New Roman" w:hAnsi="Times New Roman" w:cs="Times New Roman"/>
          <w:sz w:val="26"/>
          <w:szCs w:val="26"/>
        </w:rPr>
        <w:t>В соответствии со стать</w:t>
      </w:r>
      <w:r w:rsidR="00D319FA" w:rsidRPr="0034113C">
        <w:rPr>
          <w:rFonts w:ascii="Times New Roman" w:hAnsi="Times New Roman" w:cs="Times New Roman"/>
          <w:sz w:val="26"/>
          <w:szCs w:val="26"/>
        </w:rPr>
        <w:t xml:space="preserve">ями 166-168 Трудового </w:t>
      </w:r>
      <w:r w:rsidRPr="0034113C">
        <w:rPr>
          <w:rFonts w:ascii="Times New Roman" w:hAnsi="Times New Roman" w:cs="Times New Roman"/>
          <w:sz w:val="26"/>
          <w:szCs w:val="26"/>
        </w:rPr>
        <w:t xml:space="preserve">кодекса Российской </w:t>
      </w:r>
      <w:r w:rsidR="0034113C">
        <w:rPr>
          <w:rFonts w:ascii="Times New Roman" w:hAnsi="Times New Roman" w:cs="Times New Roman"/>
          <w:sz w:val="26"/>
          <w:szCs w:val="26"/>
        </w:rPr>
        <w:br/>
      </w:r>
      <w:r w:rsidRPr="0034113C">
        <w:rPr>
          <w:rFonts w:ascii="Times New Roman" w:hAnsi="Times New Roman" w:cs="Times New Roman"/>
          <w:sz w:val="26"/>
          <w:szCs w:val="26"/>
        </w:rPr>
        <w:t>Федерации</w:t>
      </w:r>
      <w:r w:rsidR="00D319FA" w:rsidRPr="0034113C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Российской Федерации от 13.10.2008 </w:t>
      </w:r>
      <w:r w:rsidR="0034113C">
        <w:rPr>
          <w:rFonts w:ascii="Times New Roman" w:hAnsi="Times New Roman" w:cs="Times New Roman"/>
          <w:sz w:val="26"/>
          <w:szCs w:val="26"/>
        </w:rPr>
        <w:br/>
      </w:r>
      <w:r w:rsidR="00D319FA" w:rsidRPr="0034113C">
        <w:rPr>
          <w:rFonts w:ascii="Times New Roman" w:hAnsi="Times New Roman" w:cs="Times New Roman"/>
          <w:sz w:val="26"/>
          <w:szCs w:val="26"/>
        </w:rPr>
        <w:t>№ 749 «Об особенностях направления работников в служебные командировки»</w:t>
      </w:r>
      <w:r w:rsidR="00350542" w:rsidRPr="0034113C">
        <w:rPr>
          <w:rFonts w:ascii="Times New Roman" w:hAnsi="Times New Roman" w:cs="Times New Roman"/>
          <w:sz w:val="26"/>
          <w:szCs w:val="26"/>
        </w:rPr>
        <w:t xml:space="preserve"> </w:t>
      </w:r>
      <w:r w:rsidR="0034113C">
        <w:rPr>
          <w:rFonts w:ascii="Times New Roman" w:hAnsi="Times New Roman" w:cs="Times New Roman"/>
          <w:sz w:val="26"/>
          <w:szCs w:val="26"/>
        </w:rPr>
        <w:br/>
      </w:r>
      <w:r w:rsidR="00350542" w:rsidRPr="0034113C">
        <w:rPr>
          <w:rFonts w:ascii="Times New Roman" w:hAnsi="Times New Roman" w:cs="Times New Roman"/>
          <w:sz w:val="26"/>
          <w:szCs w:val="26"/>
        </w:rPr>
        <w:t>п</w:t>
      </w:r>
      <w:r w:rsidR="0034113C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4113C">
        <w:rPr>
          <w:rFonts w:ascii="Times New Roman" w:hAnsi="Times New Roman" w:cs="Times New Roman"/>
          <w:sz w:val="26"/>
          <w:szCs w:val="26"/>
        </w:rPr>
        <w:t>о</w:t>
      </w:r>
      <w:r w:rsidR="0034113C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4113C">
        <w:rPr>
          <w:rFonts w:ascii="Times New Roman" w:hAnsi="Times New Roman" w:cs="Times New Roman"/>
          <w:sz w:val="26"/>
          <w:szCs w:val="26"/>
        </w:rPr>
        <w:t>с</w:t>
      </w:r>
      <w:r w:rsidR="0034113C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4113C">
        <w:rPr>
          <w:rFonts w:ascii="Times New Roman" w:hAnsi="Times New Roman" w:cs="Times New Roman"/>
          <w:sz w:val="26"/>
          <w:szCs w:val="26"/>
        </w:rPr>
        <w:t>т</w:t>
      </w:r>
      <w:r w:rsidR="0034113C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4113C">
        <w:rPr>
          <w:rFonts w:ascii="Times New Roman" w:hAnsi="Times New Roman" w:cs="Times New Roman"/>
          <w:sz w:val="26"/>
          <w:szCs w:val="26"/>
        </w:rPr>
        <w:t>а</w:t>
      </w:r>
      <w:r w:rsidR="0034113C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4113C">
        <w:rPr>
          <w:rFonts w:ascii="Times New Roman" w:hAnsi="Times New Roman" w:cs="Times New Roman"/>
          <w:sz w:val="26"/>
          <w:szCs w:val="26"/>
        </w:rPr>
        <w:t>н</w:t>
      </w:r>
      <w:r w:rsidR="0034113C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4113C">
        <w:rPr>
          <w:rFonts w:ascii="Times New Roman" w:hAnsi="Times New Roman" w:cs="Times New Roman"/>
          <w:sz w:val="26"/>
          <w:szCs w:val="26"/>
        </w:rPr>
        <w:t>о</w:t>
      </w:r>
      <w:r w:rsidR="0034113C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4113C">
        <w:rPr>
          <w:rFonts w:ascii="Times New Roman" w:hAnsi="Times New Roman" w:cs="Times New Roman"/>
          <w:sz w:val="26"/>
          <w:szCs w:val="26"/>
        </w:rPr>
        <w:t>в</w:t>
      </w:r>
      <w:r w:rsidR="0034113C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4113C">
        <w:rPr>
          <w:rFonts w:ascii="Times New Roman" w:hAnsi="Times New Roman" w:cs="Times New Roman"/>
          <w:sz w:val="26"/>
          <w:szCs w:val="26"/>
        </w:rPr>
        <w:t>л</w:t>
      </w:r>
      <w:r w:rsidR="0034113C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4113C">
        <w:rPr>
          <w:rFonts w:ascii="Times New Roman" w:hAnsi="Times New Roman" w:cs="Times New Roman"/>
          <w:sz w:val="26"/>
          <w:szCs w:val="26"/>
        </w:rPr>
        <w:t>я</w:t>
      </w:r>
      <w:r w:rsidR="0034113C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4113C">
        <w:rPr>
          <w:rFonts w:ascii="Times New Roman" w:hAnsi="Times New Roman" w:cs="Times New Roman"/>
          <w:sz w:val="26"/>
          <w:szCs w:val="26"/>
        </w:rPr>
        <w:t>ю</w:t>
      </w:r>
      <w:r w:rsidR="00B54D5F" w:rsidRPr="0034113C">
        <w:rPr>
          <w:rFonts w:ascii="Times New Roman" w:hAnsi="Times New Roman" w:cs="Times New Roman"/>
          <w:sz w:val="26"/>
          <w:szCs w:val="26"/>
        </w:rPr>
        <w:t>:</w:t>
      </w:r>
    </w:p>
    <w:p w14:paraId="7623486D" w14:textId="77777777" w:rsidR="00912034" w:rsidRPr="0034113C" w:rsidRDefault="00912034" w:rsidP="009D6B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324086" w14:textId="5A54CD95" w:rsidR="00D319FA" w:rsidRDefault="008760BC" w:rsidP="0034113C">
      <w:pPr>
        <w:pStyle w:val="a3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13C">
        <w:rPr>
          <w:rFonts w:ascii="Times New Roman" w:hAnsi="Times New Roman" w:cs="Times New Roman"/>
          <w:sz w:val="26"/>
          <w:szCs w:val="26"/>
        </w:rPr>
        <w:t>Внести</w:t>
      </w:r>
      <w:r w:rsidR="00A54B1B" w:rsidRPr="0034113C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297F64" w:rsidRPr="0034113C">
        <w:rPr>
          <w:rFonts w:ascii="Times New Roman" w:hAnsi="Times New Roman" w:cs="Times New Roman"/>
          <w:sz w:val="26"/>
          <w:szCs w:val="26"/>
        </w:rPr>
        <w:t>е</w:t>
      </w:r>
      <w:r w:rsidRPr="0034113C">
        <w:rPr>
          <w:rFonts w:ascii="Times New Roman" w:hAnsi="Times New Roman" w:cs="Times New Roman"/>
          <w:sz w:val="26"/>
          <w:szCs w:val="26"/>
        </w:rPr>
        <w:t xml:space="preserve"> в приложение к постановлению администрации Нефтеюганского района от </w:t>
      </w:r>
      <w:r w:rsidR="00D319FA" w:rsidRPr="0034113C">
        <w:rPr>
          <w:rFonts w:ascii="Times New Roman" w:hAnsi="Times New Roman" w:cs="Times New Roman"/>
          <w:sz w:val="26"/>
          <w:szCs w:val="26"/>
        </w:rPr>
        <w:t xml:space="preserve">16.07.2015 № 1385-па-нпа «Об утверждении положения </w:t>
      </w:r>
      <w:r w:rsidR="0034113C">
        <w:rPr>
          <w:rFonts w:ascii="Times New Roman" w:hAnsi="Times New Roman" w:cs="Times New Roman"/>
          <w:sz w:val="26"/>
          <w:szCs w:val="26"/>
        </w:rPr>
        <w:br/>
      </w:r>
      <w:r w:rsidR="00D319FA" w:rsidRPr="0034113C">
        <w:rPr>
          <w:rFonts w:ascii="Times New Roman" w:hAnsi="Times New Roman" w:cs="Times New Roman"/>
          <w:sz w:val="26"/>
          <w:szCs w:val="26"/>
        </w:rPr>
        <w:t>о порядке и размерах возмещения расходов, связанных со служебными командировками, работникам муниципальных учреждений Нефтеюганского района», заменив в абзаце первом пункта 8 слова «квитанцией (талоном) либо иным документом, подтверждающим</w:t>
      </w:r>
      <w:r w:rsidR="00695D79" w:rsidRPr="0034113C">
        <w:rPr>
          <w:rFonts w:ascii="Times New Roman" w:hAnsi="Times New Roman" w:cs="Times New Roman"/>
          <w:sz w:val="26"/>
          <w:szCs w:val="26"/>
        </w:rPr>
        <w:t xml:space="preserve"> заключение договора на оказание гостиничных услуг по месту командирования,</w:t>
      </w:r>
      <w:r w:rsidR="00D319FA" w:rsidRPr="0034113C">
        <w:rPr>
          <w:rFonts w:ascii="Times New Roman" w:hAnsi="Times New Roman" w:cs="Times New Roman"/>
          <w:sz w:val="26"/>
          <w:szCs w:val="26"/>
        </w:rPr>
        <w:t>»</w:t>
      </w:r>
      <w:r w:rsidR="00695D79" w:rsidRPr="0034113C">
        <w:rPr>
          <w:rFonts w:ascii="Times New Roman" w:hAnsi="Times New Roman" w:cs="Times New Roman"/>
          <w:sz w:val="26"/>
          <w:szCs w:val="26"/>
        </w:rPr>
        <w:t xml:space="preserve"> словами «договором,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и».</w:t>
      </w:r>
    </w:p>
    <w:p w14:paraId="025FC53E" w14:textId="652A5451" w:rsidR="0034113C" w:rsidRPr="0034113C" w:rsidRDefault="0034113C" w:rsidP="0034113C">
      <w:pPr>
        <w:pStyle w:val="a3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официальн6ом сайте органов местного самоуправления Нефтеюганского района.</w:t>
      </w:r>
    </w:p>
    <w:p w14:paraId="7FB7B6FB" w14:textId="1A509D25" w:rsidR="00695D79" w:rsidRPr="0034113C" w:rsidRDefault="00695D79" w:rsidP="0034113C">
      <w:pPr>
        <w:pStyle w:val="a3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13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14:paraId="08E488A0" w14:textId="5948B5F5" w:rsidR="009D6BF9" w:rsidRPr="0034113C" w:rsidRDefault="009D6BF9" w:rsidP="0034113C">
      <w:pPr>
        <w:pStyle w:val="a3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34113C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Контроль за выполнением </w:t>
      </w:r>
      <w:r w:rsidR="00A54B1B" w:rsidRPr="0034113C">
        <w:rPr>
          <w:rFonts w:ascii="Times New Roman" w:eastAsia="MS Mincho" w:hAnsi="Times New Roman" w:cs="Times New Roman"/>
          <w:sz w:val="26"/>
          <w:szCs w:val="26"/>
          <w:lang w:eastAsia="ja-JP"/>
        </w:rPr>
        <w:t>постановления</w:t>
      </w:r>
      <w:r w:rsidRPr="0034113C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возложить на</w:t>
      </w:r>
      <w:r w:rsidR="00A54B1B" w:rsidRPr="0034113C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Pr="0034113C">
        <w:rPr>
          <w:rFonts w:ascii="Times New Roman" w:eastAsia="MS Mincho" w:hAnsi="Times New Roman" w:cs="Times New Roman"/>
          <w:sz w:val="26"/>
          <w:szCs w:val="26"/>
          <w:lang w:eastAsia="ja-JP"/>
        </w:rPr>
        <w:t>заместител</w:t>
      </w:r>
      <w:r w:rsidR="00695D79" w:rsidRPr="0034113C">
        <w:rPr>
          <w:rFonts w:ascii="Times New Roman" w:eastAsia="MS Mincho" w:hAnsi="Times New Roman" w:cs="Times New Roman"/>
          <w:sz w:val="26"/>
          <w:szCs w:val="26"/>
          <w:lang w:eastAsia="ja-JP"/>
        </w:rPr>
        <w:t>ей</w:t>
      </w:r>
      <w:r w:rsidRPr="0034113C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главы</w:t>
      </w:r>
      <w:r w:rsidR="00695D79" w:rsidRPr="0034113C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Pr="0034113C">
        <w:rPr>
          <w:rFonts w:ascii="Times New Roman" w:eastAsia="MS Mincho" w:hAnsi="Times New Roman" w:cs="Times New Roman"/>
          <w:sz w:val="26"/>
          <w:szCs w:val="26"/>
          <w:lang w:eastAsia="ja-JP"/>
        </w:rPr>
        <w:t>Нефтеюганского района</w:t>
      </w:r>
      <w:r w:rsidR="00695D79" w:rsidRPr="0034113C">
        <w:rPr>
          <w:rFonts w:ascii="Times New Roman" w:eastAsia="MS Mincho" w:hAnsi="Times New Roman" w:cs="Times New Roman"/>
          <w:sz w:val="26"/>
          <w:szCs w:val="26"/>
          <w:lang w:eastAsia="ja-JP"/>
        </w:rPr>
        <w:t>,</w:t>
      </w:r>
      <w:r w:rsidRPr="0034113C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695D79" w:rsidRPr="0034113C">
        <w:rPr>
          <w:rFonts w:ascii="Times New Roman" w:eastAsia="MS Mincho" w:hAnsi="Times New Roman" w:cs="Times New Roman"/>
          <w:sz w:val="26"/>
          <w:szCs w:val="26"/>
          <w:lang w:eastAsia="ja-JP"/>
        </w:rPr>
        <w:t>управляющего делами по направлениям деятельности.</w:t>
      </w:r>
      <w:r w:rsidR="00A54B1B" w:rsidRPr="0034113C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</w:p>
    <w:p w14:paraId="425A1FDE" w14:textId="77777777" w:rsidR="009D6BF9" w:rsidRPr="0034113C" w:rsidRDefault="009D6BF9" w:rsidP="009D6BF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14:paraId="168554E7" w14:textId="77777777" w:rsidR="009D6BF9" w:rsidRPr="0034113C" w:rsidRDefault="009D6BF9" w:rsidP="009D6BF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14:paraId="1416DFD0" w14:textId="77777777" w:rsidR="009D6BF9" w:rsidRPr="0034113C" w:rsidRDefault="009D6BF9" w:rsidP="009D6BF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14:paraId="785119B9" w14:textId="77777777" w:rsidR="0034113C" w:rsidRPr="00D61F66" w:rsidRDefault="0034113C" w:rsidP="00A36330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Глава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61F6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sectPr w:rsidR="0034113C" w:rsidRPr="00D61F66" w:rsidSect="00341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2E87"/>
    <w:multiLevelType w:val="multilevel"/>
    <w:tmpl w:val="55FADF54"/>
    <w:lvl w:ilvl="0">
      <w:start w:val="1"/>
      <w:numFmt w:val="decimal"/>
      <w:lvlText w:val="%1."/>
      <w:lvlJc w:val="left"/>
      <w:pPr>
        <w:tabs>
          <w:tab w:val="num" w:pos="2126"/>
        </w:tabs>
        <w:ind w:left="1048" w:hanging="3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 w15:restartNumberingAfterBreak="0">
    <w:nsid w:val="1E6A0CC4"/>
    <w:multiLevelType w:val="multilevel"/>
    <w:tmpl w:val="E87680F2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34736FC2"/>
    <w:multiLevelType w:val="hybridMultilevel"/>
    <w:tmpl w:val="AF667AD4"/>
    <w:lvl w:ilvl="0" w:tplc="6E9E01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14990"/>
    <w:multiLevelType w:val="hybridMultilevel"/>
    <w:tmpl w:val="970638E6"/>
    <w:lvl w:ilvl="0" w:tplc="95B84FA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A73201"/>
    <w:multiLevelType w:val="hybridMultilevel"/>
    <w:tmpl w:val="B8E4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F6903"/>
    <w:multiLevelType w:val="hybridMultilevel"/>
    <w:tmpl w:val="B15EE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34"/>
    <w:rsid w:val="001824EF"/>
    <w:rsid w:val="00254317"/>
    <w:rsid w:val="00297F64"/>
    <w:rsid w:val="002E08AD"/>
    <w:rsid w:val="0034113C"/>
    <w:rsid w:val="00350542"/>
    <w:rsid w:val="00422DD7"/>
    <w:rsid w:val="00451D04"/>
    <w:rsid w:val="00477840"/>
    <w:rsid w:val="004F34FB"/>
    <w:rsid w:val="00695D79"/>
    <w:rsid w:val="006B6E7B"/>
    <w:rsid w:val="007E0499"/>
    <w:rsid w:val="008760BC"/>
    <w:rsid w:val="00886D8F"/>
    <w:rsid w:val="00896B14"/>
    <w:rsid w:val="00912034"/>
    <w:rsid w:val="00921F1B"/>
    <w:rsid w:val="00950304"/>
    <w:rsid w:val="009D6BF9"/>
    <w:rsid w:val="00A54B1B"/>
    <w:rsid w:val="00B54D5F"/>
    <w:rsid w:val="00B85CE2"/>
    <w:rsid w:val="00BC74C6"/>
    <w:rsid w:val="00BE7C5E"/>
    <w:rsid w:val="00BF0999"/>
    <w:rsid w:val="00C43114"/>
    <w:rsid w:val="00CF1E4D"/>
    <w:rsid w:val="00D319FA"/>
    <w:rsid w:val="00DB69A9"/>
    <w:rsid w:val="00E17124"/>
    <w:rsid w:val="00E173B5"/>
    <w:rsid w:val="00EA0685"/>
    <w:rsid w:val="00EB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7957"/>
  <w15:docId w15:val="{9260A11F-4363-4EBC-9CA9-46B5F9E0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34"/>
    <w:pPr>
      <w:ind w:left="720"/>
      <w:contextualSpacing/>
    </w:pPr>
  </w:style>
  <w:style w:type="table" w:styleId="a4">
    <w:name w:val="Table Grid"/>
    <w:basedOn w:val="a1"/>
    <w:uiPriority w:val="59"/>
    <w:rsid w:val="00E1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171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71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54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542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Чокан Татьяна Петровна</dc:creator>
  <cp:lastModifiedBy>Аманалиева Акмоор Айбековна</cp:lastModifiedBy>
  <cp:revision>5</cp:revision>
  <cp:lastPrinted>2020-11-19T09:34:00Z</cp:lastPrinted>
  <dcterms:created xsi:type="dcterms:W3CDTF">2023-04-11T03:41:00Z</dcterms:created>
  <dcterms:modified xsi:type="dcterms:W3CDTF">2023-04-18T10:42:00Z</dcterms:modified>
</cp:coreProperties>
</file>