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942C" w14:textId="1D728107" w:rsidR="006D5BC6" w:rsidRPr="0024203C" w:rsidRDefault="006D5BC6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47341DAF" wp14:editId="232354A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82E68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2E591E21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BE5A35E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23B91CA6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0F8CDB6F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29CADD9C" w14:textId="77777777" w:rsidR="006D5BC6" w:rsidRPr="0024203C" w:rsidRDefault="006D5BC6" w:rsidP="002067F2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D5BC6" w:rsidRPr="00996834" w14:paraId="1E3CC82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6A46A8F" w14:textId="77777777" w:rsidR="006D5BC6" w:rsidRPr="00996834" w:rsidRDefault="006D5BC6" w:rsidP="002067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996834">
              <w:rPr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4C98D554" w14:textId="7EBF868E" w:rsidR="006D5BC6" w:rsidRPr="00996834" w:rsidRDefault="006D5BC6" w:rsidP="002067F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996834">
              <w:rPr>
                <w:sz w:val="26"/>
                <w:szCs w:val="26"/>
              </w:rPr>
              <w:t>№</w:t>
            </w:r>
            <w:r w:rsidRPr="00996834">
              <w:rPr>
                <w:sz w:val="26"/>
                <w:szCs w:val="26"/>
                <w:u w:val="single"/>
              </w:rPr>
              <w:t xml:space="preserve"> 236</w:t>
            </w:r>
            <w:r>
              <w:rPr>
                <w:sz w:val="26"/>
                <w:szCs w:val="26"/>
                <w:u w:val="single"/>
              </w:rPr>
              <w:t>6</w:t>
            </w:r>
            <w:r w:rsidRPr="00996834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CD6D1A4" w14:textId="77777777" w:rsidR="006D5BC6" w:rsidRPr="00996834" w:rsidRDefault="006D5BC6" w:rsidP="002067F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4"/>
          <w:szCs w:val="24"/>
        </w:rPr>
      </w:pPr>
      <w:r w:rsidRPr="00996834">
        <w:rPr>
          <w:sz w:val="24"/>
          <w:szCs w:val="24"/>
        </w:rPr>
        <w:t>г.Нефтеюганск</w:t>
      </w:r>
      <w:bookmarkEnd w:id="0"/>
    </w:p>
    <w:p w14:paraId="2714D34B" w14:textId="4CCCA988" w:rsidR="001C483D" w:rsidRDefault="001C483D" w:rsidP="00B72F0D">
      <w:pPr>
        <w:spacing w:line="280" w:lineRule="exact"/>
        <w:jc w:val="center"/>
        <w:rPr>
          <w:sz w:val="26"/>
          <w:szCs w:val="26"/>
        </w:rPr>
      </w:pPr>
    </w:p>
    <w:p w14:paraId="6290A4E4" w14:textId="77777777" w:rsidR="006D5BC6" w:rsidRDefault="006D5BC6" w:rsidP="00B72F0D">
      <w:pPr>
        <w:spacing w:line="280" w:lineRule="exact"/>
        <w:jc w:val="center"/>
        <w:rPr>
          <w:sz w:val="26"/>
          <w:szCs w:val="26"/>
        </w:rPr>
      </w:pPr>
    </w:p>
    <w:p w14:paraId="4A0ECB25" w14:textId="7DAF5976" w:rsidR="005176AF" w:rsidRPr="005332FC" w:rsidRDefault="00AC10D9" w:rsidP="001C483D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1C483D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13E6A565" w14:textId="77777777" w:rsidR="001C483D" w:rsidRPr="00700781" w:rsidRDefault="001C483D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46102334" w14:textId="1263C05A" w:rsidR="00210EAC" w:rsidRPr="008719D2" w:rsidRDefault="001C483D" w:rsidP="009A69CF">
      <w:pPr>
        <w:tabs>
          <w:tab w:val="left" w:pos="0"/>
        </w:tabs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С.А.Кудашкин</w:t>
      </w: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1C483D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3C958670" w:rsidR="00AD2915" w:rsidRDefault="00896E73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от 24.12.2024 </w:t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Courier New"/>
                <w:color w:val="000000"/>
                <w:sz w:val="26"/>
                <w:szCs w:val="26"/>
              </w:rPr>
              <w:t>2366-па-нпа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8175BF">
        <w:trPr>
          <w:trHeight w:val="208"/>
        </w:trPr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62069057" w:rsidR="00AA36A2" w:rsidRPr="001C483D" w:rsidRDefault="00C56374" w:rsidP="000A41C5">
            <w:pPr>
              <w:rPr>
                <w:b/>
                <w:bCs/>
              </w:rPr>
            </w:pPr>
            <w:r w:rsidRPr="001C483D">
              <w:rPr>
                <w:b/>
                <w:bCs/>
              </w:rPr>
              <w:t xml:space="preserve">  </w:t>
            </w:r>
            <w:r w:rsidR="000A41C5" w:rsidRPr="001C483D">
              <w:rPr>
                <w:b/>
                <w:bCs/>
              </w:rPr>
              <w:t xml:space="preserve">3 778 672,33373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0661E623" w:rsidR="00AA36A2" w:rsidRPr="001C483D" w:rsidRDefault="00AA36A2" w:rsidP="008175BF">
            <w:pPr>
              <w:jc w:val="right"/>
              <w:rPr>
                <w:b/>
                <w:bCs/>
              </w:rPr>
            </w:pPr>
            <w:r w:rsidRPr="001C483D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7E1698F3" w:rsidR="00AA36A2" w:rsidRPr="001C483D" w:rsidRDefault="000A41C5" w:rsidP="00632705">
            <w:pPr>
              <w:jc w:val="right"/>
              <w:rPr>
                <w:b/>
                <w:bCs/>
              </w:rPr>
            </w:pPr>
            <w:r w:rsidRPr="001C483D">
              <w:rPr>
                <w:b/>
                <w:bCs/>
              </w:rPr>
              <w:t xml:space="preserve">622 299,96992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0184FC6E" w:rsidR="00AA36A2" w:rsidRPr="003A021B" w:rsidRDefault="008863D9" w:rsidP="00AA36A2">
            <w:pPr>
              <w:jc w:val="center"/>
              <w:rPr>
                <w:b/>
                <w:bCs/>
              </w:rPr>
            </w:pPr>
            <w:r w:rsidRPr="003A021B">
              <w:rPr>
                <w:b/>
                <w:bCs/>
              </w:rPr>
              <w:t xml:space="preserve">507 756,59594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1C483D" w:rsidRDefault="00EA7FC7" w:rsidP="00AA36A2">
            <w:pPr>
              <w:jc w:val="center"/>
            </w:pPr>
            <w:r w:rsidRPr="001C483D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1C483D" w:rsidRDefault="00AA36A2" w:rsidP="00AA36A2">
            <w:pPr>
              <w:jc w:val="right"/>
            </w:pPr>
            <w:r w:rsidRPr="001C483D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1C483D" w:rsidRDefault="00AA36A2" w:rsidP="004A3702">
            <w:pPr>
              <w:jc w:val="right"/>
            </w:pPr>
            <w:r w:rsidRPr="001C483D">
              <w:t>68,</w:t>
            </w:r>
            <w:r w:rsidR="002C6C4B" w:rsidRPr="001C483D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3A021B" w:rsidRDefault="00AA36A2" w:rsidP="00AA36A2">
            <w:pPr>
              <w:jc w:val="center"/>
            </w:pPr>
            <w:r w:rsidRPr="003A021B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411AF7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1C483D" w:rsidRDefault="00EA7FC7" w:rsidP="00EA7FC7">
            <w:pPr>
              <w:jc w:val="center"/>
            </w:pPr>
            <w:r w:rsidRPr="001C483D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1C483D" w:rsidRDefault="00AA36A2" w:rsidP="00AA36A2">
            <w:pPr>
              <w:jc w:val="right"/>
            </w:pPr>
            <w:r w:rsidRPr="001C483D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1C483D" w:rsidRDefault="00AA36A2" w:rsidP="004A3702">
            <w:pPr>
              <w:jc w:val="right"/>
            </w:pPr>
            <w:r w:rsidRPr="001C483D">
              <w:t>1</w:t>
            </w:r>
            <w:r w:rsidR="002C6C4B" w:rsidRPr="001C483D">
              <w:t xml:space="preserve"> </w:t>
            </w:r>
            <w:r w:rsidRPr="001C483D">
              <w:t>731,90</w:t>
            </w:r>
            <w:r w:rsidR="002C6C4B" w:rsidRPr="001C483D">
              <w:t>9</w:t>
            </w:r>
            <w:r w:rsidR="00B073AF" w:rsidRPr="001C483D">
              <w:t>9</w:t>
            </w:r>
            <w:r w:rsidRPr="001C483D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3A021B" w:rsidRDefault="00AA36A2" w:rsidP="00AA36A2">
            <w:pPr>
              <w:jc w:val="center"/>
            </w:pPr>
            <w:r w:rsidRPr="003A021B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6A5ED2F5" w:rsidR="00AA36A2" w:rsidRPr="001C483D" w:rsidRDefault="000A41C5" w:rsidP="00AA36A2">
            <w:pPr>
              <w:jc w:val="center"/>
            </w:pPr>
            <w:r w:rsidRPr="001C483D">
              <w:t xml:space="preserve">2 671 811,99373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1C483D" w:rsidRDefault="00AA36A2" w:rsidP="00AA36A2">
            <w:pPr>
              <w:jc w:val="right"/>
            </w:pPr>
            <w:r w:rsidRPr="001C483D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5BC00A89" w:rsidR="00AA36A2" w:rsidRPr="001C483D" w:rsidRDefault="000A41C5" w:rsidP="004A3702">
            <w:pPr>
              <w:jc w:val="right"/>
            </w:pPr>
            <w:r w:rsidRPr="001C483D">
              <w:t xml:space="preserve">615 327,80992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3CF66860" w:rsidR="00AA36A2" w:rsidRPr="003A021B" w:rsidRDefault="008863D9" w:rsidP="00AA36A2">
            <w:pPr>
              <w:jc w:val="center"/>
            </w:pPr>
            <w:r w:rsidRPr="003A021B">
              <w:t xml:space="preserve">324 922,81594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1C483D" w:rsidRDefault="00AA36A2" w:rsidP="00AA36A2">
            <w:pPr>
              <w:jc w:val="right"/>
            </w:pPr>
            <w:r w:rsidRPr="001C483D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1C483D" w:rsidRDefault="00AA36A2" w:rsidP="00AA36A2">
            <w:pPr>
              <w:jc w:val="right"/>
            </w:pPr>
            <w:r w:rsidRPr="001C483D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1C483D" w:rsidRDefault="00AA36A2" w:rsidP="004A3702">
            <w:pPr>
              <w:jc w:val="right"/>
            </w:pPr>
            <w:r w:rsidRPr="001C483D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411AF7" w:rsidRDefault="00AA36A2" w:rsidP="00EA7FC7">
            <w:pPr>
              <w:jc w:val="center"/>
            </w:pPr>
            <w:r w:rsidRPr="00411AF7">
              <w:t xml:space="preserve"> </w:t>
            </w:r>
            <w:r w:rsidR="00EA7FC7" w:rsidRPr="00411AF7">
              <w:t xml:space="preserve">1 094 064,34000   </w:t>
            </w:r>
            <w:r w:rsidRPr="00411AF7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411AF7" w:rsidRDefault="00AA36A2" w:rsidP="00AA36A2">
            <w:pPr>
              <w:jc w:val="right"/>
            </w:pPr>
            <w:r w:rsidRPr="00411AF7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411AF7" w:rsidRDefault="002C6C4B" w:rsidP="004A3702">
            <w:pPr>
              <w:jc w:val="right"/>
              <w:rPr>
                <w:highlight w:val="yellow"/>
              </w:rPr>
            </w:pPr>
            <w:r w:rsidRPr="00411AF7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411AF7" w:rsidRDefault="002C6C4B" w:rsidP="00AA36A2">
            <w:pPr>
              <w:jc w:val="right"/>
              <w:rPr>
                <w:highlight w:val="yellow"/>
              </w:rPr>
            </w:pPr>
            <w:r w:rsidRPr="00411AF7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2AAAC4C5" w:rsidR="00AA36A2" w:rsidRPr="001C483D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1C483D">
              <w:rPr>
                <w:rFonts w:eastAsia="Courier New"/>
                <w:b/>
                <w:bCs/>
              </w:rPr>
              <w:t xml:space="preserve">   </w:t>
            </w:r>
            <w:r w:rsidR="003E2D3E" w:rsidRPr="001C483D">
              <w:rPr>
                <w:rFonts w:eastAsia="Courier New"/>
                <w:b/>
                <w:bCs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1C483D" w:rsidRDefault="00AA36A2" w:rsidP="00AA36A2">
            <w:pPr>
              <w:suppressAutoHyphens/>
              <w:jc w:val="right"/>
              <w:rPr>
                <w:b/>
                <w:bCs/>
              </w:rPr>
            </w:pPr>
            <w:r w:rsidRPr="001C483D">
              <w:rPr>
                <w:b/>
                <w:bCs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5034A154" w:rsidR="00AA36A2" w:rsidRPr="001C483D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1C483D">
              <w:rPr>
                <w:rFonts w:eastAsia="Courier New"/>
                <w:b/>
                <w:bCs/>
              </w:rPr>
              <w:t xml:space="preserve">  </w:t>
            </w:r>
            <w:r w:rsidR="003E2D3E" w:rsidRPr="001C483D">
              <w:rPr>
                <w:rFonts w:eastAsia="Courier New"/>
                <w:b/>
                <w:bCs/>
              </w:rPr>
              <w:t xml:space="preserve">205 948,45290   </w:t>
            </w:r>
            <w:r w:rsidRPr="001C483D">
              <w:rPr>
                <w:rFonts w:eastAsia="Courier New"/>
                <w:b/>
                <w:bCs/>
              </w:rPr>
              <w:t xml:space="preserve">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60FE403C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100 </w:t>
            </w:r>
            <w:r w:rsidR="008863D9" w:rsidRPr="00C56374">
              <w:rPr>
                <w:rFonts w:eastAsia="Courier New"/>
                <w:b/>
                <w:bCs/>
              </w:rPr>
              <w:t>8</w:t>
            </w:r>
            <w:r w:rsidRPr="00C56374">
              <w:rPr>
                <w:rFonts w:eastAsia="Courier New"/>
                <w:b/>
                <w:bCs/>
              </w:rPr>
              <w:t>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C5637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C56374">
              <w:rPr>
                <w:rFonts w:eastAsia="Courier New"/>
                <w:b/>
                <w:bCs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1C483D" w:rsidRDefault="00AA36A2" w:rsidP="00AA36A2">
            <w:pPr>
              <w:suppressAutoHyphens/>
              <w:jc w:val="right"/>
            </w:pPr>
            <w:r w:rsidRPr="001C483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8863D9">
        <w:trPr>
          <w:trHeight w:val="553"/>
        </w:trPr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1C483D" w:rsidRDefault="00AA36A2" w:rsidP="00AA36A2">
            <w:pPr>
              <w:suppressAutoHyphens/>
              <w:jc w:val="right"/>
            </w:pPr>
            <w:r w:rsidRPr="001C483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60682E28" w:rsidR="00AA36A2" w:rsidRPr="001C483D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1C483D" w:rsidRDefault="00AA36A2" w:rsidP="00AA36A2">
            <w:pPr>
              <w:suppressAutoHyphens/>
              <w:jc w:val="right"/>
            </w:pPr>
            <w:r w:rsidRPr="001C483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5E4C30D0" w:rsidR="00AA36A2" w:rsidRPr="001C483D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 xml:space="preserve">205 948,45290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7A9F0E11" w:rsidR="00AA36A2" w:rsidRPr="009C19C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C19C5">
              <w:t xml:space="preserve">100 </w:t>
            </w:r>
            <w:r w:rsidR="008863D9" w:rsidRPr="009C19C5">
              <w:t>8</w:t>
            </w:r>
            <w:r w:rsidRPr="009C19C5">
              <w:t>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1C483D" w:rsidRDefault="00AA36A2" w:rsidP="00AA36A2">
            <w:pPr>
              <w:suppressAutoHyphens/>
              <w:jc w:val="right"/>
            </w:pPr>
            <w:r w:rsidRPr="001C483D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1C483D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411AF7" w:rsidRDefault="00AA36A2" w:rsidP="00AA36A2">
            <w:pPr>
              <w:suppressAutoHyphens/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411AF7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ab/>
            </w:r>
            <w:r w:rsidRPr="00411AF7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411AF7">
              <w:t>«Сельский Дом культуры/библиотека в сп.Куть-Ях»</w:t>
            </w:r>
            <w:r w:rsidRPr="00411AF7">
              <w:rPr>
                <w:rFonts w:eastAsia="Courier New"/>
                <w:bCs/>
                <w:iCs/>
              </w:rPr>
              <w:t xml:space="preserve"> (</w:t>
            </w:r>
            <w:r w:rsidR="003D511D" w:rsidRPr="00411AF7">
              <w:rPr>
                <w:rFonts w:eastAsia="Courier New"/>
                <w:bCs/>
                <w:iCs/>
              </w:rPr>
              <w:t>03.11.2022</w:t>
            </w:r>
            <w:r w:rsidRPr="00411AF7">
              <w:rPr>
                <w:rFonts w:eastAsia="Courier New"/>
                <w:bCs/>
                <w:iCs/>
              </w:rPr>
              <w:t>-31.12.20</w:t>
            </w:r>
            <w:r w:rsidR="003D511D" w:rsidRPr="00411AF7">
              <w:rPr>
                <w:rFonts w:eastAsia="Courier New"/>
                <w:bCs/>
                <w:iCs/>
              </w:rPr>
              <w:t>29</w:t>
            </w:r>
            <w:r w:rsidRPr="00411AF7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450C56" w:rsidRDefault="00450C56" w:rsidP="00450C56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  <w:r w:rsidR="00AA36A2" w:rsidRPr="00450C56">
              <w:rPr>
                <w:color w:val="FF0000"/>
              </w:rPr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0F55B7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0F55B7" w:rsidRDefault="00AA36A2" w:rsidP="00AA36A2">
            <w:pPr>
              <w:suppressAutoHyphens/>
              <w:jc w:val="right"/>
            </w:pPr>
            <w:r w:rsidRPr="000F55B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rFonts w:eastAsia="Courier New"/>
                <w:color w:val="FF0000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450C56" w:rsidRDefault="00450C56" w:rsidP="00AA36A2">
            <w:pPr>
              <w:suppressAutoHyphens/>
              <w:jc w:val="right"/>
              <w:outlineLvl w:val="1"/>
              <w:rPr>
                <w:rFonts w:eastAsia="Courier New"/>
                <w:color w:val="FF0000"/>
              </w:rPr>
            </w:pPr>
            <w:r w:rsidRPr="00450C56">
              <w:rPr>
                <w:color w:val="FF0000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411AF7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43859E50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1C483D">
              <w:rPr>
                <w:rFonts w:eastAsia="Courier New"/>
                <w:bCs/>
                <w:iCs/>
              </w:rPr>
              <w:t>31</w:t>
            </w:r>
            <w:r w:rsidRPr="001C483D">
              <w:rPr>
                <w:rFonts w:eastAsia="Courier New"/>
                <w:bCs/>
                <w:iCs/>
              </w:rPr>
              <w:t>.</w:t>
            </w:r>
            <w:r w:rsidR="00A92984" w:rsidRPr="001C483D">
              <w:rPr>
                <w:rFonts w:eastAsia="Courier New"/>
                <w:bCs/>
                <w:iCs/>
              </w:rPr>
              <w:t>12.2024</w:t>
            </w:r>
            <w:r w:rsidRPr="001C483D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0D8825E9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BCE3B95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E83B374" w14:textId="326A779D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A92984">
              <w:rPr>
                <w:rFonts w:eastAsia="Courier New"/>
                <w:bCs/>
                <w:iCs/>
              </w:rPr>
              <w:t>Проект Нефтеюганского района</w:t>
            </w:r>
            <w:r w:rsidRPr="00A92984">
              <w:t xml:space="preserve"> «</w:t>
            </w:r>
            <w:r w:rsidRPr="00A92984">
              <w:rPr>
                <w:rFonts w:eastAsia="Courier New"/>
                <w:bCs/>
                <w:iCs/>
              </w:rPr>
              <w:t>Ремонт объекта «Дом культуры «Гармония» в п. Юганская Обь (24.06.2024-31.10.2026)</w:t>
            </w:r>
          </w:p>
        </w:tc>
      </w:tr>
      <w:tr w:rsidR="00411AF7" w:rsidRPr="00110943" w14:paraId="741D220B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92E3269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C50AF34" w14:textId="6CA36F8B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5E1531" w14:textId="70AB0E60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>
              <w:rPr>
                <w:rFonts w:eastAsia="Courier New"/>
                <w:b/>
                <w:bCs/>
              </w:rPr>
              <w:t>600,0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FAE39" w14:textId="7DC449F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AE1A" w14:textId="228D57C3" w:rsidR="007B75E6" w:rsidRPr="007B75E6" w:rsidRDefault="007B75E6" w:rsidP="007B75E6">
            <w:pPr>
              <w:suppressAutoHyphens/>
              <w:jc w:val="right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FCC6" w14:textId="0169BFBA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E83643" w14:textId="50ECED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766568" w14:textId="2C660A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249D3A6E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999AC3B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7710D34" w14:textId="54FB2B72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77145F73" w14:textId="61AE5001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9EBDA1" w14:textId="77401F5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BDDB742" w14:textId="71FF1270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3CC3CC9" w14:textId="6173379D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D44D4BF" w14:textId="1C2975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A2622D" w14:textId="7D93458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42C6AE13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E0BA1E1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F4DF4CD" w14:textId="42BE894F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CB541ED" w14:textId="15E05A24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0AEF8B0" w14:textId="5AEECCC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3875EBE" w14:textId="1633B762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B4A5A97" w14:textId="590ED51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823C33" w14:textId="2911867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54C7F90" w14:textId="20600BB3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7F04A3EA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A364FFC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0A73CC2" w14:textId="22A66DD3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2AD29986" w14:textId="2A5572FA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600,0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C586240" w14:textId="61ECB4BF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5BE1BEA" w14:textId="05E247DE" w:rsidR="00411AF7" w:rsidRPr="001C483D" w:rsidRDefault="00A92984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rPr>
                <w:rFonts w:eastAsia="Courier New"/>
              </w:rPr>
              <w:t>600,0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419608" w14:textId="1160E5AB" w:rsidR="00411AF7" w:rsidRPr="001C483D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C483D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258953" w14:textId="4D578246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11F584" w14:textId="312D9744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2ECD977D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49E093D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54DA3" w14:textId="65CFEE20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B105650" w14:textId="3D10CB65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CBE45A" w14:textId="4857A44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040766" w14:textId="65470A2B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69C7819" w14:textId="715DF88C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BB818B8" w14:textId="3D15066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099292E" w14:textId="6AA3547D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09AF18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68FCD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877CE" w14:textId="74EF1D7C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BD90069" w14:textId="16ED2CA9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F1AF9C" w14:textId="23D6FC6E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ACA11" w14:textId="099EC1CF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6B236" w14:textId="2A7DDE5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FF98C2" w14:textId="39C890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942DD6" w14:textId="5E5D0605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42C94262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EE05436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B6486" w14:textId="144B126A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31C3868" w14:textId="31BCE780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CAB72" w14:textId="3709F2BE" w:rsidR="00411AF7" w:rsidRPr="00DB4FF5" w:rsidRDefault="00411AF7" w:rsidP="00411AF7">
            <w:pPr>
              <w:suppressAutoHyphens/>
              <w:jc w:val="right"/>
            </w:pPr>
            <w:r w:rsidRPr="00DB4FF5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A210F" w14:textId="13B22351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24D3" w14:textId="3401880F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788D77" w14:textId="39CD72A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D7EDC4" w14:textId="19B53EC7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411AF7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411AF7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411AF7" w:rsidRPr="00110943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44D7" w14:textId="77777777" w:rsidR="002E5CF9" w:rsidRDefault="002E5CF9" w:rsidP="000F60C8">
      <w:r>
        <w:separator/>
      </w:r>
    </w:p>
  </w:endnote>
  <w:endnote w:type="continuationSeparator" w:id="0">
    <w:p w14:paraId="2259B11F" w14:textId="77777777" w:rsidR="002E5CF9" w:rsidRDefault="002E5CF9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3C775" w14:textId="77777777" w:rsidR="002E5CF9" w:rsidRDefault="002E5CF9" w:rsidP="000F60C8">
      <w:r>
        <w:separator/>
      </w:r>
    </w:p>
  </w:footnote>
  <w:footnote w:type="continuationSeparator" w:id="0">
    <w:p w14:paraId="6391138B" w14:textId="77777777" w:rsidR="002E5CF9" w:rsidRDefault="002E5CF9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A92984" w:rsidRPr="00386128" w:rsidRDefault="00A92984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A92984" w:rsidRDefault="00A92984">
    <w:pPr>
      <w:pStyle w:val="ad"/>
      <w:jc w:val="center"/>
    </w:pPr>
  </w:p>
  <w:p w14:paraId="080F515F" w14:textId="77777777" w:rsidR="00A92984" w:rsidRDefault="00A9298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1CE2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C3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1C5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483D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455C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5CF9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21B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2D3E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1AF7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1BD3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871A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901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2705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5C22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5BC6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4B48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5E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259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175BF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3D9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6E73"/>
    <w:rsid w:val="008973C9"/>
    <w:rsid w:val="0089773F"/>
    <w:rsid w:val="00897E84"/>
    <w:rsid w:val="008A052C"/>
    <w:rsid w:val="008A0EF2"/>
    <w:rsid w:val="008A1606"/>
    <w:rsid w:val="008A240F"/>
    <w:rsid w:val="008A29B7"/>
    <w:rsid w:val="008A3895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19C5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84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73"/>
    <w:rsid w:val="00B52036"/>
    <w:rsid w:val="00B5244A"/>
    <w:rsid w:val="00B525AB"/>
    <w:rsid w:val="00B52BED"/>
    <w:rsid w:val="00B53324"/>
    <w:rsid w:val="00B538FE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8CE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37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4FF5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773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C07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C48E-8FBD-4E69-B65A-DE13BC59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1139</Words>
  <Characters>7426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8548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4</cp:revision>
  <cp:lastPrinted>2024-12-24T05:22:00Z</cp:lastPrinted>
  <dcterms:created xsi:type="dcterms:W3CDTF">2024-12-24T05:23:00Z</dcterms:created>
  <dcterms:modified xsi:type="dcterms:W3CDTF">2024-12-24T06:28:00Z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