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4D" w:rsidRDefault="00AC04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</w:rPr>
        <w:t xml:space="preserve">Меры </w:t>
      </w:r>
      <w:proofErr w:type="gramStart"/>
      <w:r>
        <w:rPr>
          <w:rFonts w:ascii="Times New Roman" w:hAnsi="Times New Roman" w:cs="Times New Roman"/>
          <w:sz w:val="32"/>
        </w:rPr>
        <w:t xml:space="preserve">поддержи, </w:t>
      </w:r>
      <w:r w:rsidR="00D012FE"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установленные</w:t>
      </w:r>
      <w:proofErr w:type="gramEnd"/>
      <w:r>
        <w:rPr>
          <w:rFonts w:ascii="Times New Roman" w:hAnsi="Times New Roman" w:cs="Times New Roman"/>
          <w:sz w:val="32"/>
        </w:rPr>
        <w:t xml:space="preserve"> в Ханты-Мансийском автономном округе – Югре </w:t>
      </w:r>
      <w:r>
        <w:rPr>
          <w:rFonts w:ascii="Times New Roman" w:hAnsi="Times New Roman" w:cs="Times New Roman"/>
          <w:sz w:val="32"/>
        </w:rPr>
        <w:br/>
        <w:t>участникам специальной военной операции и членам их семей</w:t>
      </w:r>
    </w:p>
    <w:p w:rsidR="000C434D" w:rsidRDefault="00AC04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</w:rPr>
        <w:t xml:space="preserve">(с перечнем мер поддержки можно ознакомиться по ссылке: </w:t>
      </w:r>
      <w:r>
        <w:rPr>
          <w:rFonts w:ascii="Times New Roman" w:hAnsi="Times New Roman" w:cs="Times New Roman"/>
          <w:b/>
          <w:bCs/>
          <w:sz w:val="32"/>
        </w:rPr>
        <w:t>svo.admhmao.ru</w:t>
      </w:r>
      <w:r>
        <w:rPr>
          <w:rFonts w:ascii="Times New Roman" w:hAnsi="Times New Roman" w:cs="Times New Roman"/>
          <w:sz w:val="32"/>
        </w:rPr>
        <w:t>)</w:t>
      </w:r>
    </w:p>
    <w:p w:rsidR="000C434D" w:rsidRDefault="000C43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11622"/>
        <w:gridCol w:w="2976"/>
      </w:tblGrid>
      <w:tr w:rsidR="000C434D">
        <w:tc>
          <w:tcPr>
            <w:tcW w:w="11622" w:type="dxa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Наименование меры поддержки</w:t>
            </w:r>
          </w:p>
        </w:tc>
        <w:tc>
          <w:tcPr>
            <w:tcW w:w="2976" w:type="dxa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Размер меры поддержки</w:t>
            </w:r>
          </w:p>
        </w:tc>
      </w:tr>
      <w:tr w:rsidR="000C434D">
        <w:tc>
          <w:tcPr>
            <w:tcW w:w="11622" w:type="dxa"/>
          </w:tcPr>
          <w:p w:rsidR="000C434D" w:rsidRDefault="00AC04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Денежная выплата гражданам:</w:t>
            </w:r>
          </w:p>
          <w:p w:rsidR="000C434D" w:rsidRDefault="000C43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34D" w:rsidRDefault="00AC04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заключившим с 24.02.2022 с Министерством обороны Российской Федерации (через военный комиссариат Ханты-Мансийского автономного округа – Югры, пункт отбора на военную службу по контракту 3 разряда, г. Ханты-Мансийск) контрак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о прохождении военной службы для участия в выполнении задач в ходе специальной военной операции (далее – контракт);</w:t>
            </w:r>
          </w:p>
          <w:p w:rsidR="000C434D" w:rsidRDefault="00AC04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призванным на военную службу по частичной мобилизации в Вооруженные Силы Российской Федерации;</w:t>
            </w:r>
          </w:p>
          <w:p w:rsidR="000C434D" w:rsidRDefault="00AC04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заключившим контракт о добровольном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одействии в выполнении задач, возложенных на Вооруженные Силы Российской Федерации</w:t>
            </w:r>
          </w:p>
        </w:tc>
        <w:tc>
          <w:tcPr>
            <w:tcW w:w="2976" w:type="dxa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400 000</w:t>
            </w:r>
          </w:p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рублей</w:t>
            </w: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34D">
        <w:trPr>
          <w:trHeight w:val="322"/>
        </w:trPr>
        <w:tc>
          <w:tcPr>
            <w:tcW w:w="11622" w:type="dxa"/>
            <w:vMerge w:val="restart"/>
          </w:tcPr>
          <w:p w:rsidR="000C434D" w:rsidRDefault="00AC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Денежная выплата гражданам, заключившим контракт в период после 31.07.2024 по 31.12.2025, выбравшим получение денежной выплаты взамен денежных выплат в разм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 400 000 рублей и 150 000 рублей (в первые 12 месяцев прохождения военной службы)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1 300 000</w:t>
            </w:r>
          </w:p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рублей</w:t>
            </w: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34D">
        <w:trPr>
          <w:trHeight w:val="322"/>
        </w:trPr>
        <w:tc>
          <w:tcPr>
            <w:tcW w:w="11622" w:type="dxa"/>
            <w:vMerge w:val="restart"/>
          </w:tcPr>
          <w:p w:rsidR="000C434D" w:rsidRDefault="00AC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выплата гражданам, заключившим контракт в период после 30.09.2024 по 31.12.2025, выбравшим получение денежной выплаты взамен денежных выплат в размере 400 000 рублей и 150 000 рублей (в первые 24 месяца прохождения военной службы)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2 200 000</w:t>
            </w:r>
          </w:p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рублей</w:t>
            </w: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34D">
        <w:tc>
          <w:tcPr>
            <w:tcW w:w="11622" w:type="dxa"/>
          </w:tcPr>
          <w:p w:rsidR="000C434D" w:rsidRDefault="00AC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выплата каждый первый месяц двухмесячного периода прохождения военной службы по контракту для выполнения задач специальной военной операции</w:t>
            </w:r>
          </w:p>
        </w:tc>
        <w:tc>
          <w:tcPr>
            <w:tcW w:w="2976" w:type="dxa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150 000</w:t>
            </w:r>
          </w:p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рублей</w:t>
            </w:r>
          </w:p>
        </w:tc>
      </w:tr>
      <w:tr w:rsidR="000C434D">
        <w:tc>
          <w:tcPr>
            <w:tcW w:w="11622" w:type="dxa"/>
          </w:tcPr>
          <w:p w:rsidR="000C434D" w:rsidRDefault="00AC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Денежная выплата гражданам, принимающим (принимавшим) участие в специальной военной операции и 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вляющихся военнослужащими 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 при направлении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выполнения служебно-боевых задач в зоне проведения специальной военной операции</w:t>
            </w:r>
          </w:p>
        </w:tc>
        <w:tc>
          <w:tcPr>
            <w:tcW w:w="2976" w:type="dxa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400 000</w:t>
            </w:r>
          </w:p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рублей</w:t>
            </w: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34D">
        <w:tc>
          <w:tcPr>
            <w:tcW w:w="11622" w:type="dxa"/>
          </w:tcPr>
          <w:p w:rsidR="000C434D" w:rsidRDefault="00AC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Денежная выплата гражданам при увольнении с военной службы, окончании срока действия контракта о добровольном содействии, окончании периода частичной мобили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зации</w:t>
            </w:r>
          </w:p>
        </w:tc>
        <w:tc>
          <w:tcPr>
            <w:tcW w:w="2976" w:type="dxa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100 000 рублей</w:t>
            </w: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34D">
        <w:tc>
          <w:tcPr>
            <w:tcW w:w="11622" w:type="dxa"/>
          </w:tcPr>
          <w:p w:rsidR="000C434D" w:rsidRDefault="00AC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Единовременная денежная выплата при получении ранения (контузии, травмы, увечья) при выполнении задач в ходе специальной военной операции</w:t>
            </w:r>
          </w:p>
        </w:tc>
        <w:tc>
          <w:tcPr>
            <w:tcW w:w="2976" w:type="dxa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500 000 рублей</w:t>
            </w: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34D">
        <w:tc>
          <w:tcPr>
            <w:tcW w:w="11622" w:type="dxa"/>
          </w:tcPr>
          <w:p w:rsidR="000C434D" w:rsidRDefault="00AC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Компенсация расходов на оплату жилого помещения и коммунальных услуг семьям граждан Российской Федерации, принимающих участие в специальной военной операции, граждан Российской Федерации, призванных на военную службу по частичной мобилизации</w:t>
            </w:r>
          </w:p>
        </w:tc>
        <w:tc>
          <w:tcPr>
            <w:tcW w:w="2976" w:type="dxa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50% (от тарифа</w:t>
            </w:r>
            <w:r>
              <w:rPr>
                <w:rFonts w:ascii="Times New Roman" w:hAnsi="Times New Roman" w:cs="Times New Roman"/>
                <w:sz w:val="28"/>
              </w:rPr>
              <w:t xml:space="preserve"> и норматива потребления, но не более 5 000 руб. в месяц)</w:t>
            </w:r>
          </w:p>
        </w:tc>
      </w:tr>
      <w:tr w:rsidR="000C434D">
        <w:tc>
          <w:tcPr>
            <w:tcW w:w="11622" w:type="dxa"/>
          </w:tcPr>
          <w:p w:rsidR="000C434D" w:rsidRDefault="00AC04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Денежная выплата на детей, в отношении которых осуществляется уплата алиментных обязательств мобилизованными гражданами, ежемесячно в период прохождения ими военной службы, но не более 12 месяцев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размере 2 040 рублей</w:t>
            </w:r>
          </w:p>
        </w:tc>
        <w:tc>
          <w:tcPr>
            <w:tcW w:w="2976" w:type="dxa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24 480 рублей</w:t>
            </w:r>
          </w:p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 год)</w:t>
            </w:r>
          </w:p>
        </w:tc>
      </w:tr>
      <w:tr w:rsidR="000C434D">
        <w:tc>
          <w:tcPr>
            <w:tcW w:w="11622" w:type="dxa"/>
          </w:tcPr>
          <w:p w:rsidR="000C434D" w:rsidRDefault="00AC04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Денежная выплата при награждении наградами, входящими в государственную наградную систему Российской Федерации, в ходе участия в специальной военной операции</w:t>
            </w:r>
          </w:p>
        </w:tc>
        <w:tc>
          <w:tcPr>
            <w:tcW w:w="2976" w:type="dxa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100 000 рублей</w:t>
            </w:r>
            <w:r w:rsidR="00D012F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34D">
        <w:tc>
          <w:tcPr>
            <w:tcW w:w="11622" w:type="dxa"/>
          </w:tcPr>
          <w:p w:rsidR="000C434D" w:rsidRDefault="00AC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Оплата газификации жилых помещений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ражданам Российской Федерации, принимающим участие в специальной военной операции, и их семьям</w:t>
            </w:r>
          </w:p>
        </w:tc>
        <w:tc>
          <w:tcPr>
            <w:tcW w:w="2976" w:type="dxa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размере планируемых или понесенных расходов, но не более 120 000 рублей</w:t>
            </w:r>
          </w:p>
        </w:tc>
      </w:tr>
      <w:tr w:rsidR="000C434D">
        <w:tc>
          <w:tcPr>
            <w:tcW w:w="11622" w:type="dxa"/>
          </w:tcPr>
          <w:p w:rsidR="000C434D" w:rsidRDefault="00AC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Компенсация на оплату стоимости проезда от места жительства (пребывания) на территории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Российской Федерации, иностранного государства к месту поступления в автономном округе на военную службу по контракту в Вооруженные Силы Российской Федерации гражданам, прибывшим с 1 января 2023 года в автономный округ для поступления на военную службу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 и направленным для выполнения задач в ходе специальной военной операции</w:t>
            </w:r>
          </w:p>
        </w:tc>
        <w:tc>
          <w:tcPr>
            <w:tcW w:w="2976" w:type="dxa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фактически п</w:t>
            </w:r>
            <w:r>
              <w:rPr>
                <w:rFonts w:ascii="Times New Roman" w:hAnsi="Times New Roman" w:cs="Times New Roman"/>
                <w:sz w:val="28"/>
              </w:rPr>
              <w:t>онесенные расходы</w:t>
            </w: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34D">
        <w:tc>
          <w:tcPr>
            <w:tcW w:w="11622" w:type="dxa"/>
          </w:tcPr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Денежная выплата семьям, имеющим детей, поступающих на обучение по образовательным программам среднего профессионального образования, высшего образования (программам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один из родителей которых или оба принимают (прин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имали) участие в специальной военной операции</w:t>
            </w:r>
          </w:p>
        </w:tc>
        <w:tc>
          <w:tcPr>
            <w:tcW w:w="2976" w:type="dxa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100 000 рублей</w:t>
            </w: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34D">
        <w:tc>
          <w:tcPr>
            <w:tcW w:w="11622" w:type="dxa"/>
          </w:tcPr>
          <w:p w:rsidR="000C434D" w:rsidRDefault="00AC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Материальная помощь на проезд от места прохождения военной службы, пребывания в добровольческом формировании, к месту использования отпуска (отдыха) в автономном округе и обратно</w:t>
            </w:r>
          </w:p>
        </w:tc>
        <w:tc>
          <w:tcPr>
            <w:tcW w:w="2976" w:type="dxa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25 000 рублей</w:t>
            </w: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34D">
        <w:trPr>
          <w:trHeight w:val="322"/>
        </w:trPr>
        <w:tc>
          <w:tcPr>
            <w:tcW w:w="11622" w:type="dxa"/>
            <w:vMerge w:val="restart"/>
          </w:tcPr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Материальная помощь членам семей мобилизованных граждан (супруга (супруг), состоящая (состоящий) в зарегистрированном браке с мобилизованным гражданином, ребенок (дети), не достигший возраста 18 лет или старше этого возраста, если он стал инвалидом до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стижения им возраста 18 лет, а также ребенок (дети), обучающийся в образовательной организации по очной форме обучения, но не старше 23 лет) на проезд от места жительства (пребывания) в автономном округе к месту использования отпуска мобилизованным граждан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ином и обратно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25 000 рублей</w:t>
            </w: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34D">
        <w:trPr>
          <w:trHeight w:val="322"/>
        </w:trPr>
        <w:tc>
          <w:tcPr>
            <w:tcW w:w="11622" w:type="dxa"/>
            <w:vMerge w:val="restart"/>
          </w:tcPr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социальных услуг в форме социального обслуживания на дому и в полустационарной форме социального обслуживания бесплатно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</w:tr>
      <w:tr w:rsidR="000C434D">
        <w:trPr>
          <w:trHeight w:val="322"/>
        </w:trPr>
        <w:tc>
          <w:tcPr>
            <w:tcW w:w="11622" w:type="dxa"/>
            <w:vMerge w:val="restart"/>
          </w:tcPr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Комплексное сопровождение в автономном округе граждан Российской Федерации,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ерации, призванных на военную службу по частичной мобилизации в Вооруженные Силы Российской Федерации, ветеранов боевых действий, лиц, проходящих службу в войсках национальной гвардии Российской Федерации и имеющих специальное звание полиции, принимающих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частие в специальной военной операции, получивших ранения (контузии, травмы, увечья), и членов их семей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сопровождение</w:t>
            </w:r>
          </w:p>
        </w:tc>
      </w:tr>
      <w:tr w:rsidR="000C434D">
        <w:trPr>
          <w:trHeight w:val="322"/>
        </w:trPr>
        <w:tc>
          <w:tcPr>
            <w:tcW w:w="11622" w:type="dxa"/>
            <w:vMerge w:val="restart"/>
          </w:tcPr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Первичная медико-санитарная и специализированная медицинская помощь, в том числе высокотехнологичная медицинская помощь, санаторно-курорт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 лечение и медицинская реабилитация граждан, имеющих медицинские показания и проживающих в автономном округе, направленных для обеспечения выполнения задач в ходе специальной военной операции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</w:tr>
      <w:tr w:rsidR="000C434D">
        <w:trPr>
          <w:trHeight w:val="342"/>
        </w:trPr>
        <w:tc>
          <w:tcPr>
            <w:tcW w:w="11622" w:type="dxa"/>
            <w:vMerge w:val="restart"/>
          </w:tcPr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профессионального обучения и дополнительн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профессионального образования гражданам Российской Федерации, завершившим участие в специальной военной операции, и членам семей участников специальной военной операции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434D">
        <w:trPr>
          <w:trHeight w:val="342"/>
        </w:trPr>
        <w:tc>
          <w:tcPr>
            <w:tcW w:w="11622" w:type="dxa"/>
            <w:vMerge w:val="restart"/>
          </w:tcPr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Федерации, в отношении жилых помещений, расположенных на территории автономного округа, военнослужащих и членов их семей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льгота в натуральном выражении</w:t>
            </w: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434D">
        <w:trPr>
          <w:trHeight w:val="322"/>
        </w:trPr>
        <w:tc>
          <w:tcPr>
            <w:tcW w:w="11622" w:type="dxa"/>
            <w:vMerge w:val="restart"/>
          </w:tcPr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бесплатной юридической помощи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</w:tr>
      <w:tr w:rsidR="000C434D">
        <w:trPr>
          <w:trHeight w:val="322"/>
        </w:trPr>
        <w:tc>
          <w:tcPr>
            <w:tcW w:w="11622" w:type="dxa"/>
            <w:vMerge w:val="restart"/>
          </w:tcPr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Освобождение от уплаты налога за автомобили легковые независимо от мощности двигателя, мотоциклы и мотороллеры независимо от мощности двигателя, снегоходы и мотосани с мощностью двигателя до 50 лошадиных сил включительно, моторные лодки с мощностью двигате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до 50 лошадиных сил включительно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льгота в натуральном выражении</w:t>
            </w: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434D">
        <w:trPr>
          <w:trHeight w:val="322"/>
        </w:trPr>
        <w:tc>
          <w:tcPr>
            <w:tcW w:w="11622" w:type="dxa"/>
            <w:vMerge w:val="restart"/>
          </w:tcPr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Отсрочка внесения платы по договорам аренды государственного имущества автономного округа (за исключением жилых помещений жилищного фонда автономного округа, переданных во временное влад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 и пользование по договорам аренды (найма)) и (или) земельных участков, находящихся в государственной собственности автономного округа, или государственная собственность на которые не разграничена (далее - договор аренды), начисленной за период прохожд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 гражданами, принимающими (принявшими) участие в специальной военной операции, военной службы или оказания ими добровольного содействия в выполнении задач, возложенных на Вооруженные Силы Российской Федерации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льгота в натуральном выражении</w:t>
            </w: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434D">
        <w:trPr>
          <w:trHeight w:val="342"/>
        </w:trPr>
        <w:tc>
          <w:tcPr>
            <w:tcW w:w="11622" w:type="dxa"/>
            <w:vMerge w:val="restart"/>
          </w:tcPr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 расторжения договора аренды или односторонний отказ от исполнения указанного договора без применения штрафных санкций, за исключением договоров аренды земельных участков, на которых расположены объекты недвижимого имущества, не являющиеся госуд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арственной или муниципальной собственностью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льгота в натуральном выражении</w:t>
            </w: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434D">
        <w:trPr>
          <w:trHeight w:val="342"/>
        </w:trPr>
        <w:tc>
          <w:tcPr>
            <w:tcW w:w="11622" w:type="dxa"/>
            <w:vMerge w:val="restart"/>
          </w:tcPr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Освобождение граждан от начисления пени, штрафов, неустойки, иных санкций за просрочку платежей по договорам купли-продажи жилых помещений, находящихся в залоге автономного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льгота в натуральном выражении</w:t>
            </w: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434D">
        <w:trPr>
          <w:trHeight w:val="322"/>
        </w:trPr>
        <w:tc>
          <w:tcPr>
            <w:tcW w:w="11622" w:type="dxa"/>
            <w:vMerge w:val="restart"/>
          </w:tcPr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бесплатно во внеочередном порядке земельных участков для индивидуального жилищного строительства.</w:t>
            </w:r>
          </w:p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Вправе граждане, нуждающиеся в улучшении жилищных условий и не имеющие в собственности земельных участков для индивидуального жилищного строительства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мера поддержки в натуральном выражении</w:t>
            </w:r>
          </w:p>
        </w:tc>
      </w:tr>
      <w:tr w:rsidR="000C434D">
        <w:trPr>
          <w:trHeight w:val="322"/>
        </w:trPr>
        <w:tc>
          <w:tcPr>
            <w:tcW w:w="11622" w:type="dxa"/>
            <w:vMerge w:val="restart"/>
          </w:tcPr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Переселение в первоочередном порядке из жилых помещений, расположе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 в жилых домах, признанных аварийными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льгота в натуральном выражении</w:t>
            </w:r>
          </w:p>
        </w:tc>
      </w:tr>
      <w:tr w:rsidR="000C434D">
        <w:trPr>
          <w:trHeight w:val="322"/>
        </w:trPr>
        <w:tc>
          <w:tcPr>
            <w:tcW w:w="11622" w:type="dxa"/>
            <w:vMerge w:val="restart"/>
          </w:tcPr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субсидии гражданам, состоящим на учете в качестве нуждающихся в жилых помещениях, предоставляемых по договорам социального найма, на приобретение (строительство) жилых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помещений в собственность, в порядке и на условиях, установленных органами местного самоуправления муниципальных образований автономного округа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индивидуален</w:t>
            </w:r>
          </w:p>
        </w:tc>
      </w:tr>
      <w:tr w:rsidR="000C434D">
        <w:trPr>
          <w:trHeight w:val="342"/>
        </w:trPr>
        <w:tc>
          <w:tcPr>
            <w:tcW w:w="11622" w:type="dxa"/>
            <w:vMerge w:val="restart"/>
          </w:tcPr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первоочередном порядке в список участников мероприятия «Обеспечение жильем 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ждан из числа коренных малочисленных народов Ханты-Мансийского автономного округа – Югры, признанных до 31 декабря 2014 года участниками подпрограмм» государственной программы автономного округа «Развитие жилищной сферы», изъявивших желание получить субсид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в текущем году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льгота в натуральном выражении</w:t>
            </w:r>
          </w:p>
          <w:p w:rsidR="000C434D" w:rsidRDefault="000C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434D">
        <w:trPr>
          <w:trHeight w:val="322"/>
        </w:trPr>
        <w:tc>
          <w:tcPr>
            <w:tcW w:w="11622" w:type="dxa"/>
            <w:vMerge w:val="restart"/>
          </w:tcPr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Единовременная помощь при возникновении экстремальной жизненной ситуации при необходимости в медицинской пом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ощи и мероприятиях реабилитации участниками специальной военной операции, получившими при выполнении задач в ходе ее проведения увечье (ранение, травму контузию) тяжелой степени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250 000 рублей</w:t>
            </w:r>
          </w:p>
        </w:tc>
      </w:tr>
      <w:tr w:rsidR="000C434D">
        <w:trPr>
          <w:trHeight w:val="342"/>
        </w:trPr>
        <w:tc>
          <w:tcPr>
            <w:tcW w:w="11622" w:type="dxa"/>
            <w:vMerge w:val="restart"/>
          </w:tcPr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двухразового питания в учебное время по месту нахождения образовательной организации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льгота в натуральном выражении</w:t>
            </w:r>
          </w:p>
        </w:tc>
      </w:tr>
      <w:tr w:rsidR="000C434D">
        <w:trPr>
          <w:trHeight w:val="342"/>
        </w:trPr>
        <w:tc>
          <w:tcPr>
            <w:tcW w:w="11622" w:type="dxa"/>
            <w:vMerge w:val="restart"/>
          </w:tcPr>
          <w:p w:rsidR="000C434D" w:rsidRDefault="00AC0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Компенсация части родительской платы за присмотр и уход за детьми в организациях, осуществляющих образовательную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по реализации образовательной программы дошкольного образования</w:t>
            </w:r>
          </w:p>
        </w:tc>
        <w:tc>
          <w:tcPr>
            <w:tcW w:w="2976" w:type="dxa"/>
            <w:vMerge w:val="restart"/>
          </w:tcPr>
          <w:p w:rsidR="000C434D" w:rsidRDefault="00AC04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размере расходов</w:t>
            </w:r>
          </w:p>
        </w:tc>
      </w:tr>
    </w:tbl>
    <w:p w:rsidR="000C434D" w:rsidRDefault="000C434D">
      <w:pPr>
        <w:ind w:firstLine="708"/>
        <w:jc w:val="both"/>
      </w:pPr>
    </w:p>
    <w:p w:rsidR="000C434D" w:rsidRDefault="00AC045E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возникновении дополнительных вопросов о порядке и условиях предоставления мер социальной поддержки, социальных услуг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обратиться по бесплатному номеру горячей линии «Контакт-центр»: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8 800 301 44 43.  Звонки принимаются с понедельника по субботу с 09-00 до 19-00 (без перерыва).</w:t>
      </w:r>
    </w:p>
    <w:sectPr w:rsidR="000C434D">
      <w:headerReference w:type="default" r:id="rId7"/>
      <w:headerReference w:type="first" r:id="rId8"/>
      <w:footerReference w:type="firs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5E" w:rsidRDefault="00AC045E">
      <w:pPr>
        <w:spacing w:after="0" w:line="240" w:lineRule="auto"/>
      </w:pPr>
      <w:r>
        <w:separator/>
      </w:r>
    </w:p>
  </w:endnote>
  <w:endnote w:type="continuationSeparator" w:id="0">
    <w:p w:rsidR="00AC045E" w:rsidRDefault="00AC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34D" w:rsidRDefault="000C434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5E" w:rsidRDefault="00AC045E">
      <w:pPr>
        <w:spacing w:after="0" w:line="240" w:lineRule="auto"/>
      </w:pPr>
      <w:r>
        <w:separator/>
      </w:r>
    </w:p>
  </w:footnote>
  <w:footnote w:type="continuationSeparator" w:id="0">
    <w:p w:rsidR="00AC045E" w:rsidRDefault="00AC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34D" w:rsidRDefault="00AC045E">
    <w:pPr>
      <w:pStyle w:val="ab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D012FE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0C434D" w:rsidRDefault="000C434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34D" w:rsidRDefault="000C434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616"/>
    <w:multiLevelType w:val="hybridMultilevel"/>
    <w:tmpl w:val="B18CEA3E"/>
    <w:lvl w:ilvl="0" w:tplc="FB24157E">
      <w:start w:val="1"/>
      <w:numFmt w:val="decimal"/>
      <w:lvlText w:val="%1)"/>
      <w:lvlJc w:val="left"/>
    </w:lvl>
    <w:lvl w:ilvl="1" w:tplc="C9601C54">
      <w:start w:val="1"/>
      <w:numFmt w:val="lowerLetter"/>
      <w:lvlText w:val="%2."/>
      <w:lvlJc w:val="left"/>
      <w:pPr>
        <w:ind w:left="1440" w:hanging="360"/>
      </w:pPr>
    </w:lvl>
    <w:lvl w:ilvl="2" w:tplc="42E81E26">
      <w:start w:val="1"/>
      <w:numFmt w:val="lowerRoman"/>
      <w:lvlText w:val="%3."/>
      <w:lvlJc w:val="right"/>
      <w:pPr>
        <w:ind w:left="2160" w:hanging="180"/>
      </w:pPr>
    </w:lvl>
    <w:lvl w:ilvl="3" w:tplc="EF2E6620">
      <w:start w:val="1"/>
      <w:numFmt w:val="decimal"/>
      <w:lvlText w:val="%4."/>
      <w:lvlJc w:val="left"/>
      <w:pPr>
        <w:ind w:left="2880" w:hanging="360"/>
      </w:pPr>
    </w:lvl>
    <w:lvl w:ilvl="4" w:tplc="542EBB3E">
      <w:start w:val="1"/>
      <w:numFmt w:val="lowerLetter"/>
      <w:lvlText w:val="%5."/>
      <w:lvlJc w:val="left"/>
      <w:pPr>
        <w:ind w:left="3600" w:hanging="360"/>
      </w:pPr>
    </w:lvl>
    <w:lvl w:ilvl="5" w:tplc="D3866C08">
      <w:start w:val="1"/>
      <w:numFmt w:val="lowerRoman"/>
      <w:lvlText w:val="%6."/>
      <w:lvlJc w:val="right"/>
      <w:pPr>
        <w:ind w:left="4320" w:hanging="180"/>
      </w:pPr>
    </w:lvl>
    <w:lvl w:ilvl="6" w:tplc="E330620E">
      <w:start w:val="1"/>
      <w:numFmt w:val="decimal"/>
      <w:lvlText w:val="%7."/>
      <w:lvlJc w:val="left"/>
      <w:pPr>
        <w:ind w:left="5040" w:hanging="360"/>
      </w:pPr>
    </w:lvl>
    <w:lvl w:ilvl="7" w:tplc="0C4AF90A">
      <w:start w:val="1"/>
      <w:numFmt w:val="lowerLetter"/>
      <w:lvlText w:val="%8."/>
      <w:lvlJc w:val="left"/>
      <w:pPr>
        <w:ind w:left="5760" w:hanging="360"/>
      </w:pPr>
    </w:lvl>
    <w:lvl w:ilvl="8" w:tplc="974829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38F4"/>
    <w:multiLevelType w:val="hybridMultilevel"/>
    <w:tmpl w:val="73B8C942"/>
    <w:lvl w:ilvl="0" w:tplc="97A2916E">
      <w:start w:val="1"/>
      <w:numFmt w:val="decimal"/>
      <w:lvlText w:val="%1)"/>
      <w:lvlJc w:val="left"/>
    </w:lvl>
    <w:lvl w:ilvl="1" w:tplc="A11EA37C">
      <w:start w:val="1"/>
      <w:numFmt w:val="lowerLetter"/>
      <w:lvlText w:val="%2."/>
      <w:lvlJc w:val="left"/>
      <w:pPr>
        <w:ind w:left="1440" w:hanging="360"/>
      </w:pPr>
    </w:lvl>
    <w:lvl w:ilvl="2" w:tplc="46C6773C">
      <w:start w:val="1"/>
      <w:numFmt w:val="lowerRoman"/>
      <w:lvlText w:val="%3."/>
      <w:lvlJc w:val="right"/>
      <w:pPr>
        <w:ind w:left="2160" w:hanging="180"/>
      </w:pPr>
    </w:lvl>
    <w:lvl w:ilvl="3" w:tplc="DF22A182">
      <w:start w:val="1"/>
      <w:numFmt w:val="decimal"/>
      <w:lvlText w:val="%4."/>
      <w:lvlJc w:val="left"/>
      <w:pPr>
        <w:ind w:left="2880" w:hanging="360"/>
      </w:pPr>
    </w:lvl>
    <w:lvl w:ilvl="4" w:tplc="6ACC821E">
      <w:start w:val="1"/>
      <w:numFmt w:val="lowerLetter"/>
      <w:lvlText w:val="%5."/>
      <w:lvlJc w:val="left"/>
      <w:pPr>
        <w:ind w:left="3600" w:hanging="360"/>
      </w:pPr>
    </w:lvl>
    <w:lvl w:ilvl="5" w:tplc="5A82A44C">
      <w:start w:val="1"/>
      <w:numFmt w:val="lowerRoman"/>
      <w:lvlText w:val="%6."/>
      <w:lvlJc w:val="right"/>
      <w:pPr>
        <w:ind w:left="4320" w:hanging="180"/>
      </w:pPr>
    </w:lvl>
    <w:lvl w:ilvl="6" w:tplc="65B2C1E6">
      <w:start w:val="1"/>
      <w:numFmt w:val="decimal"/>
      <w:lvlText w:val="%7."/>
      <w:lvlJc w:val="left"/>
      <w:pPr>
        <w:ind w:left="5040" w:hanging="360"/>
      </w:pPr>
    </w:lvl>
    <w:lvl w:ilvl="7" w:tplc="0B4CC178">
      <w:start w:val="1"/>
      <w:numFmt w:val="lowerLetter"/>
      <w:lvlText w:val="%8."/>
      <w:lvlJc w:val="left"/>
      <w:pPr>
        <w:ind w:left="5760" w:hanging="360"/>
      </w:pPr>
    </w:lvl>
    <w:lvl w:ilvl="8" w:tplc="B33ED1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4D"/>
    <w:rsid w:val="000C434D"/>
    <w:rsid w:val="0043385A"/>
    <w:rsid w:val="00AC045E"/>
    <w:rsid w:val="00D0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2C508-DB2B-4B75-996F-12FF9F04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Ивушкин Никита Павлович</dc:creator>
  <cp:keywords/>
  <dc:description/>
  <cp:lastModifiedBy>Учетная запись Майкрософт</cp:lastModifiedBy>
  <cp:revision>10</cp:revision>
  <dcterms:created xsi:type="dcterms:W3CDTF">2024-10-09T10:38:00Z</dcterms:created>
  <dcterms:modified xsi:type="dcterms:W3CDTF">2025-02-27T07:28:00Z</dcterms:modified>
</cp:coreProperties>
</file>