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26" w:rsidRDefault="00B26426" w:rsidP="00D43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Segoe UI"/>
          <w:color w:val="000000"/>
          <w:sz w:val="28"/>
          <w:szCs w:val="28"/>
          <w:highlight w:val="white"/>
        </w:rPr>
      </w:pPr>
      <w:bookmarkStart w:id="0" w:name="_GoBack"/>
      <w:bookmarkEnd w:id="0"/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Segoe UI"/>
          <w:color w:val="000000"/>
          <w:sz w:val="28"/>
          <w:szCs w:val="28"/>
        </w:rPr>
      </w:pPr>
      <w:r>
        <w:rPr>
          <w:rFonts w:eastAsia="Segoe UI"/>
          <w:color w:val="000000"/>
          <w:sz w:val="28"/>
          <w:szCs w:val="28"/>
        </w:rPr>
        <w:t xml:space="preserve">Информация о региональных мерах поддержки 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Segoe UI"/>
          <w:color w:val="000000"/>
          <w:sz w:val="28"/>
          <w:szCs w:val="28"/>
        </w:rPr>
      </w:pPr>
      <w:r>
        <w:rPr>
          <w:rFonts w:eastAsia="Segoe UI"/>
          <w:color w:val="000000"/>
          <w:sz w:val="28"/>
          <w:szCs w:val="28"/>
        </w:rPr>
        <w:t>участников специальной военной операции и членов их семей</w:t>
      </w:r>
    </w:p>
    <w:p w:rsidR="00B26426" w:rsidRDefault="00B26426">
      <w:pPr>
        <w:spacing w:line="336" w:lineRule="auto"/>
        <w:ind w:firstLine="709"/>
        <w:contextualSpacing/>
        <w:jc w:val="both"/>
      </w:pPr>
    </w:p>
    <w:p w:rsidR="00B26426" w:rsidRDefault="002041E6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Ханты-Мансийском автономном округе – Югре </w:t>
      </w:r>
      <w:r>
        <w:rPr>
          <w:sz w:val="28"/>
          <w:szCs w:val="28"/>
        </w:rPr>
        <w:br/>
        <w:t>(далее – ав</w:t>
      </w:r>
      <w:r>
        <w:rPr>
          <w:sz w:val="28"/>
          <w:szCs w:val="28"/>
        </w:rPr>
        <w:t>тономный округ) реализуется комплекс мер социальной поддержки граждан, участвующих в специальной военной операции, и их семей. Меры поддержки систематизированы в единый нормативный правовой акт</w:t>
      </w:r>
      <w:r>
        <w:rPr>
          <w:rStyle w:val="af0"/>
          <w:sz w:val="28"/>
          <w:szCs w:val="28"/>
        </w:rPr>
        <w:footnoteReference w:id="1"/>
      </w:r>
      <w:r>
        <w:rPr>
          <w:sz w:val="28"/>
          <w:szCs w:val="28"/>
        </w:rPr>
        <w:t>, определяющий порядок и виды социальной поддержки, что позвол</w:t>
      </w:r>
      <w:r>
        <w:rPr>
          <w:sz w:val="28"/>
          <w:szCs w:val="28"/>
        </w:rPr>
        <w:t>ило повысить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их доступность. Меры поддержки предоставляются как в беззаявительном порядке, так и посредством обращений граждан через Единый портал государственных и муниципальных услуг или личного обращения в уполномоченные органы автономного округа.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</w:t>
      </w:r>
      <w:r>
        <w:rPr>
          <w:sz w:val="28"/>
          <w:szCs w:val="28"/>
        </w:rPr>
        <w:t>ные выплаты предоставляются гражданам: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</w:pPr>
      <w:r>
        <w:rPr>
          <w:color w:val="000000"/>
          <w:sz w:val="28"/>
          <w:szCs w:val="28"/>
          <w:highlight w:val="white"/>
        </w:rPr>
        <w:t xml:space="preserve">1) при заключении контракта о прохождении военной службы </w:t>
      </w:r>
      <w:r>
        <w:rPr>
          <w:color w:val="000000"/>
          <w:sz w:val="28"/>
          <w:szCs w:val="28"/>
          <w:highlight w:val="white"/>
        </w:rPr>
        <w:br/>
        <w:t xml:space="preserve">в Вооруженных Силах Российской Федерации через Военный комиссариат автономного округа или Пункт отбора на военную службу по контракту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>3 разряда, г. Ханты-Мансийск.</w:t>
      </w:r>
      <w:r>
        <w:rPr>
          <w:color w:val="000000"/>
          <w:sz w:val="28"/>
          <w:szCs w:val="28"/>
        </w:rPr>
        <w:t xml:space="preserve"> Для указанных лиц</w:t>
      </w:r>
      <w:r>
        <w:rPr>
          <w:color w:val="000000"/>
          <w:sz w:val="28"/>
          <w:szCs w:val="28"/>
        </w:rPr>
        <w:t xml:space="preserve"> установлена возможность </w:t>
      </w:r>
      <w:r>
        <w:rPr>
          <w:color w:val="000000"/>
          <w:sz w:val="28"/>
          <w:szCs w:val="28"/>
          <w:highlight w:val="white"/>
        </w:rPr>
        <w:t>по выбору получить поддержку</w:t>
      </w:r>
      <w:r>
        <w:rPr>
          <w:color w:val="000000"/>
          <w:sz w:val="28"/>
          <w:szCs w:val="28"/>
        </w:rPr>
        <w:t xml:space="preserve"> (по одному из вариантов)</w:t>
      </w:r>
      <w:r>
        <w:rPr>
          <w:color w:val="000000"/>
          <w:sz w:val="28"/>
          <w:szCs w:val="28"/>
          <w:highlight w:val="white"/>
        </w:rPr>
        <w:t>: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400 000 рублей – при заключении гражданином контракта </w:t>
      </w:r>
      <w:r>
        <w:rPr>
          <w:color w:val="000000"/>
          <w:sz w:val="28"/>
          <w:szCs w:val="28"/>
        </w:rPr>
        <w:br/>
        <w:t xml:space="preserve">о прохождении военной службы и направлении для выполнении задач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ходе специальной военной операции, а также 150 000 рублей – каждый первый месяц двухмесячного периода прохождения военной службы </w:t>
      </w:r>
      <w:r>
        <w:rPr>
          <w:color w:val="000000"/>
          <w:sz w:val="28"/>
          <w:szCs w:val="28"/>
        </w:rPr>
        <w:br/>
        <w:t>для выполнения задач специальной военной операции, но не ранее истечения двухмесячного периода со дня получения последней та</w:t>
      </w:r>
      <w:r>
        <w:rPr>
          <w:color w:val="000000"/>
          <w:sz w:val="28"/>
          <w:szCs w:val="28"/>
        </w:rPr>
        <w:t>кой выплаты;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1 300 000 рублей единовременно (годовой объем поддержки) – </w:t>
      </w:r>
      <w:r>
        <w:rPr>
          <w:color w:val="000000"/>
          <w:sz w:val="28"/>
          <w:szCs w:val="28"/>
        </w:rPr>
        <w:br/>
        <w:t xml:space="preserve">при заключении контракта о прохождении военной службы в период после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31 июля 2024 года по 31 декабря 2025 года. При этом по истечении </w:t>
      </w:r>
      <w:r>
        <w:rPr>
          <w:color w:val="000000"/>
          <w:sz w:val="28"/>
          <w:szCs w:val="28"/>
        </w:rPr>
        <w:br/>
        <w:t>12 месяцев с даты заключения контракта о прохож</w:t>
      </w:r>
      <w:r>
        <w:rPr>
          <w:color w:val="000000"/>
          <w:sz w:val="28"/>
          <w:szCs w:val="28"/>
        </w:rPr>
        <w:t xml:space="preserve">дении военной службы устанавливается денежная выплата в размере 150 000 рублей – каждый первый месяц двухмесячного периода прохождения военной службы </w:t>
      </w:r>
      <w:r>
        <w:rPr>
          <w:color w:val="000000"/>
          <w:sz w:val="28"/>
          <w:szCs w:val="28"/>
        </w:rPr>
        <w:br/>
        <w:t>для выполнения задач специальной военной операции но не ранее истечения двухмесячного периода со дня полу</w:t>
      </w:r>
      <w:r>
        <w:rPr>
          <w:color w:val="000000"/>
          <w:sz w:val="28"/>
          <w:szCs w:val="28"/>
        </w:rPr>
        <w:t>чения последней такой выплаты;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2 200 000 рублей единовременно (двухгодичный объем </w:t>
      </w:r>
      <w:r>
        <w:rPr>
          <w:color w:val="000000"/>
          <w:sz w:val="28"/>
          <w:szCs w:val="28"/>
        </w:rPr>
        <w:br/>
        <w:t xml:space="preserve">поддержки) – при заключении контракта о прохождении военной службы </w:t>
      </w:r>
      <w:r>
        <w:rPr>
          <w:color w:val="000000"/>
          <w:sz w:val="28"/>
          <w:szCs w:val="28"/>
        </w:rPr>
        <w:br/>
        <w:t xml:space="preserve">в период после 30 сентября 2024 года по 31 декабря 2025 года. При этом </w:t>
      </w:r>
      <w:r>
        <w:rPr>
          <w:color w:val="000000"/>
          <w:sz w:val="28"/>
          <w:szCs w:val="28"/>
        </w:rPr>
        <w:br/>
        <w:t>по истечении 24 месяцев с даты за</w:t>
      </w:r>
      <w:r>
        <w:rPr>
          <w:color w:val="000000"/>
          <w:sz w:val="28"/>
          <w:szCs w:val="28"/>
        </w:rPr>
        <w:t xml:space="preserve">ключения контракта о прохождении военной службы устанавливается денежная выплата в размере </w:t>
      </w:r>
      <w:r>
        <w:rPr>
          <w:color w:val="000000"/>
          <w:sz w:val="28"/>
          <w:szCs w:val="28"/>
        </w:rPr>
        <w:br/>
        <w:t>150 000 рублей – каждый первый месяц двухмесячного периода прохождения военной службы для выполнения задач специальной военной операции, но не ранее истечения двухм</w:t>
      </w:r>
      <w:r>
        <w:rPr>
          <w:color w:val="000000"/>
          <w:sz w:val="28"/>
          <w:szCs w:val="28"/>
        </w:rPr>
        <w:t>есячного периода со дня получения последней такой выплаты;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highlight w:val="white"/>
        </w:rPr>
        <w:t xml:space="preserve"> при призыве на военную службу в Вооруженные Силы Российской Федерации по частичной мобилизации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размере 400 000 рублей;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3) </w:t>
      </w:r>
      <w:r>
        <w:rPr>
          <w:color w:val="000000"/>
          <w:sz w:val="28"/>
          <w:szCs w:val="28"/>
        </w:rPr>
        <w:t xml:space="preserve">при заключении контракта о добровольном содействии </w:t>
      </w:r>
      <w:r>
        <w:rPr>
          <w:color w:val="000000"/>
          <w:sz w:val="28"/>
          <w:szCs w:val="28"/>
        </w:rPr>
        <w:br/>
        <w:t>в выполнении задач</w:t>
      </w:r>
      <w:r>
        <w:rPr>
          <w:color w:val="000000"/>
          <w:sz w:val="28"/>
          <w:szCs w:val="28"/>
        </w:rPr>
        <w:t>, возложенных на Вооруженные Силы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в размере </w:t>
      </w:r>
      <w:r>
        <w:rPr>
          <w:color w:val="000000"/>
          <w:sz w:val="28"/>
          <w:szCs w:val="28"/>
          <w:lang w:eastAsia="en-US"/>
        </w:rPr>
        <w:t>400 000 рублей;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</w:pPr>
      <w:r>
        <w:rPr>
          <w:color w:val="000000"/>
          <w:sz w:val="28"/>
          <w:szCs w:val="28"/>
          <w:lang w:eastAsia="en-US"/>
        </w:rPr>
        <w:t xml:space="preserve">4) при направлении для выполнения служебно-боевых задач в зоне проведения специальной военной операции </w:t>
      </w:r>
      <w:r>
        <w:rPr>
          <w:color w:val="000000"/>
          <w:sz w:val="28"/>
          <w:szCs w:val="28"/>
        </w:rPr>
        <w:t xml:space="preserve">военнослужащим </w:t>
      </w:r>
      <w:r>
        <w:rPr>
          <w:color w:val="000000"/>
          <w:sz w:val="28"/>
          <w:szCs w:val="28"/>
        </w:rPr>
        <w:br/>
        <w:t>и сотрудникам федеральных органов исполнительной власти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и федеральных государственных органов, в которых федеральным законом предусмотрена военная служба, сотрудникам органов внутренних </w:t>
      </w:r>
      <w:r>
        <w:rPr>
          <w:color w:val="000000"/>
          <w:sz w:val="28"/>
          <w:szCs w:val="28"/>
        </w:rPr>
        <w:br/>
        <w:t>дел Российской Федерации</w:t>
      </w:r>
      <w:r>
        <w:rPr>
          <w:color w:val="000000"/>
          <w:sz w:val="28"/>
          <w:szCs w:val="28"/>
          <w:lang w:eastAsia="en-US"/>
        </w:rPr>
        <w:t xml:space="preserve"> в размере 400 000 рублей.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увольнении с военной службы гражданам, </w:t>
      </w:r>
      <w:r>
        <w:rPr>
          <w:color w:val="000000"/>
          <w:sz w:val="28"/>
          <w:szCs w:val="28"/>
          <w:highlight w:val="white"/>
        </w:rPr>
        <w:t>заключившим контракт о прохож</w:t>
      </w:r>
      <w:r>
        <w:rPr>
          <w:color w:val="000000"/>
          <w:sz w:val="28"/>
          <w:szCs w:val="28"/>
          <w:highlight w:val="white"/>
        </w:rPr>
        <w:t xml:space="preserve">дении военной службы в Вооруженных Силах Российской Федерации через Военный комиссариат автономного округа </w:t>
      </w:r>
      <w:r>
        <w:rPr>
          <w:color w:val="000000"/>
          <w:sz w:val="28"/>
          <w:szCs w:val="28"/>
          <w:highlight w:val="white"/>
        </w:rPr>
        <w:lastRenderedPageBreak/>
        <w:t xml:space="preserve">или Пункт отбора на военную службу по контракту 3 разряда, </w:t>
      </w:r>
      <w:r>
        <w:rPr>
          <w:color w:val="000000"/>
          <w:sz w:val="28"/>
          <w:szCs w:val="28"/>
          <w:highlight w:val="white"/>
        </w:rPr>
        <w:br/>
        <w:t>г. Ханты-Мансийск</w:t>
      </w:r>
      <w:r>
        <w:rPr>
          <w:color w:val="000000"/>
          <w:sz w:val="28"/>
          <w:szCs w:val="28"/>
        </w:rPr>
        <w:t xml:space="preserve">, гражданам, призванным на военную </w:t>
      </w:r>
      <w:r>
        <w:rPr>
          <w:color w:val="000000"/>
          <w:sz w:val="28"/>
          <w:szCs w:val="28"/>
          <w:highlight w:val="white"/>
        </w:rPr>
        <w:t>в Вооруженные Силы Российской Федерац</w:t>
      </w:r>
      <w:r>
        <w:rPr>
          <w:color w:val="000000"/>
          <w:sz w:val="28"/>
          <w:szCs w:val="28"/>
          <w:highlight w:val="white"/>
        </w:rPr>
        <w:t>ии по частичной мобилизации</w:t>
      </w:r>
      <w:r>
        <w:rPr>
          <w:rFonts w:eastAsia="Calibri"/>
          <w:sz w:val="28"/>
          <w:szCs w:val="28"/>
          <w:lang w:eastAsia="en-US"/>
        </w:rPr>
        <w:t xml:space="preserve">, гражданам, заключившим </w:t>
      </w:r>
      <w:r>
        <w:rPr>
          <w:color w:val="000000"/>
          <w:sz w:val="28"/>
          <w:szCs w:val="28"/>
        </w:rPr>
        <w:t>контракт о добровольном содействии в выполнении задач, возложенных на Вооруженные Силы Российской Федерации</w:t>
      </w:r>
      <w:r>
        <w:rPr>
          <w:rFonts w:eastAsia="Calibri"/>
          <w:sz w:val="28"/>
          <w:szCs w:val="28"/>
          <w:lang w:eastAsia="en-US"/>
        </w:rPr>
        <w:t>, осуществляется денежная выплата в размере 100 000 рублей.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</w:t>
      </w:r>
      <w:r>
        <w:rPr>
          <w:color w:val="000000" w:themeColor="text1"/>
          <w:sz w:val="28"/>
          <w:szCs w:val="28"/>
        </w:rPr>
        <w:t>мпенсируются расходы на оплату стои</w:t>
      </w:r>
      <w:r>
        <w:rPr>
          <w:color w:val="000000" w:themeColor="text1"/>
          <w:sz w:val="28"/>
          <w:szCs w:val="28"/>
        </w:rPr>
        <w:t>мости проезда</w:t>
      </w:r>
      <w:r>
        <w:rPr>
          <w:color w:val="000000" w:themeColor="text1"/>
          <w:sz w:val="28"/>
          <w:szCs w:val="28"/>
        </w:rPr>
        <w:t xml:space="preserve"> от места жительства (пребывания) на территории Российской Федерации, иностранного государства к месту поступления в автономном округе </w:t>
      </w:r>
      <w:r>
        <w:rPr>
          <w:color w:val="000000" w:themeColor="text1"/>
          <w:sz w:val="28"/>
          <w:szCs w:val="28"/>
        </w:rPr>
        <w:br/>
        <w:t xml:space="preserve">на военную службу по контракту в Вооруженные Силы Российской Федерации. 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случае ранения</w:t>
      </w:r>
      <w:r>
        <w:rPr>
          <w:color w:val="000000"/>
          <w:sz w:val="28"/>
          <w:szCs w:val="28"/>
        </w:rPr>
        <w:t xml:space="preserve"> (контузии, травмы, увечья) в ходе специальной военной операции осуществляется денежная выплата в размере </w:t>
      </w:r>
      <w:r>
        <w:rPr>
          <w:color w:val="000000"/>
          <w:sz w:val="28"/>
          <w:szCs w:val="28"/>
        </w:rPr>
        <w:br/>
        <w:t>500 000 рублей.</w:t>
      </w:r>
      <w:r>
        <w:rPr>
          <w:sz w:val="28"/>
          <w:szCs w:val="28"/>
        </w:rPr>
        <w:t xml:space="preserve"> При тяжелом ранении </w:t>
      </w:r>
      <w:r>
        <w:rPr>
          <w:color w:val="000000"/>
          <w:sz w:val="28"/>
          <w:szCs w:val="28"/>
        </w:rPr>
        <w:t>(контузии, травме, увечье)</w:t>
      </w:r>
      <w:r>
        <w:rPr>
          <w:sz w:val="28"/>
          <w:szCs w:val="28"/>
        </w:rPr>
        <w:t xml:space="preserve"> оказывается дополнительная единовременная материальная помощь </w:t>
      </w:r>
      <w:r>
        <w:rPr>
          <w:sz w:val="28"/>
          <w:szCs w:val="28"/>
        </w:rPr>
        <w:br/>
        <w:t>в размере 250 000 рубле</w:t>
      </w:r>
      <w:r>
        <w:rPr>
          <w:sz w:val="28"/>
          <w:szCs w:val="28"/>
        </w:rPr>
        <w:t>й на реабилитацию.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highlight w:val="white"/>
        </w:rPr>
        <w:t xml:space="preserve">ри награждении при участии в специальной военной операции </w:t>
      </w:r>
      <w:r>
        <w:rPr>
          <w:color w:val="000000"/>
          <w:sz w:val="28"/>
          <w:szCs w:val="28"/>
        </w:rPr>
        <w:t>наградами, входящими в государственную наградную систему Российской Федерации, осуществляется денежная выплата в размере 100 000 рублей.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проезд от места прохождения военной сл</w:t>
      </w:r>
      <w:r>
        <w:rPr>
          <w:rFonts w:eastAsia="Calibri"/>
          <w:sz w:val="28"/>
          <w:szCs w:val="28"/>
          <w:lang w:eastAsia="en-US"/>
        </w:rPr>
        <w:t xml:space="preserve">ужбы, пребывания </w:t>
      </w:r>
      <w:r>
        <w:rPr>
          <w:rFonts w:eastAsia="Calibri"/>
          <w:sz w:val="28"/>
          <w:szCs w:val="28"/>
          <w:lang w:eastAsia="en-US"/>
        </w:rPr>
        <w:br/>
        <w:t xml:space="preserve">в добровольческом формировании к месту использования отпуска (отдыха) </w:t>
      </w:r>
      <w:r>
        <w:rPr>
          <w:rFonts w:eastAsia="Calibri"/>
          <w:sz w:val="28"/>
          <w:szCs w:val="28"/>
          <w:lang w:eastAsia="en-US"/>
        </w:rPr>
        <w:br/>
        <w:t>в автономном округе и обратно предусмотрена беззаявительная материальная помощь в размере 25 000 рублей.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right="14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Семьям граждан Российской Федерации, принимающих участие </w:t>
      </w:r>
      <w:r>
        <w:rPr>
          <w:rFonts w:eastAsia="Calibri"/>
          <w:sz w:val="28"/>
          <w:szCs w:val="28"/>
          <w:lang w:eastAsia="en-US"/>
        </w:rPr>
        <w:br/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специальной военной операции, граждан Российской Федерации, призванных на военную службу по частичной мобилизации </w:t>
      </w:r>
      <w:r>
        <w:rPr>
          <w:rFonts w:eastAsia="Calibri"/>
          <w:sz w:val="28"/>
          <w:szCs w:val="28"/>
          <w:lang w:eastAsia="en-US"/>
        </w:rPr>
        <w:br/>
        <w:t>в Вооруженные Силы Российской Федерации, осуществляется компенсация расходов на оплату жилого помещения и коммунальных услуг (максимальный ра</w:t>
      </w:r>
      <w:r>
        <w:rPr>
          <w:rFonts w:eastAsia="Calibri"/>
          <w:sz w:val="28"/>
          <w:szCs w:val="28"/>
          <w:lang w:eastAsia="en-US"/>
        </w:rPr>
        <w:t xml:space="preserve">змер выплаты в месяц – 5 000 рублей). 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right="144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Денежная выплата в размере 24 480 рублей установлена на детей, </w:t>
      </w:r>
      <w:r>
        <w:rPr>
          <w:rFonts w:eastAsia="Calibri"/>
          <w:sz w:val="28"/>
          <w:szCs w:val="28"/>
          <w:lang w:eastAsia="en-US"/>
        </w:rPr>
        <w:br/>
        <w:t xml:space="preserve">в отношении которых осуществляется уплата алиментных обязательств мобилизованными гражданами, ежемесячно в период прохождения </w:t>
      </w:r>
      <w:r>
        <w:rPr>
          <w:rFonts w:eastAsia="Calibri"/>
          <w:sz w:val="28"/>
          <w:szCs w:val="28"/>
          <w:lang w:eastAsia="en-US"/>
        </w:rPr>
        <w:br/>
        <w:t xml:space="preserve">ими военной службы, но не </w:t>
      </w:r>
      <w:r>
        <w:rPr>
          <w:rFonts w:eastAsia="Calibri"/>
          <w:sz w:val="28"/>
          <w:szCs w:val="28"/>
          <w:lang w:eastAsia="en-US"/>
        </w:rPr>
        <w:t>более 12 месяцев, в размере 2 040 рублей.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Денежная выплата в размере 100 000 рублей предоставляется семьям, имеющим детей, поступающих на обучения по образовательным программам среднего профессионального образования, высшего образования (программам бакалав</w:t>
      </w:r>
      <w:r>
        <w:rPr>
          <w:color w:val="000000"/>
          <w:sz w:val="28"/>
          <w:szCs w:val="28"/>
        </w:rPr>
        <w:t xml:space="preserve">риата, специалитета), один из родителей которых или оба принимают (принимали) участие в специальной военной операции. 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В случае гибели, смерти, признания безвестно отсутствующим </w:t>
      </w:r>
      <w:r>
        <w:rPr>
          <w:rFonts w:eastAsia="Calibri"/>
          <w:sz w:val="28"/>
          <w:szCs w:val="28"/>
          <w:lang w:eastAsia="en-US"/>
        </w:rPr>
        <w:br/>
        <w:t>или объявления умершими</w:t>
      </w:r>
      <w:r>
        <w:rPr>
          <w:color w:val="000000"/>
          <w:sz w:val="28"/>
          <w:szCs w:val="28"/>
        </w:rPr>
        <w:t xml:space="preserve"> граждан в ходе участия в специальной военной операции</w:t>
      </w:r>
      <w:r>
        <w:rPr>
          <w:color w:val="000000"/>
          <w:sz w:val="28"/>
          <w:szCs w:val="28"/>
        </w:rPr>
        <w:t xml:space="preserve"> их семьям осуществляется денежная выплата в размерах: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3 000 000 рублей – в равных долях на каждого члена семьи, проживающего в автономном округе, а также членам семей участников специальной военной операции, имевших на день гибели (смерти) место жительств</w:t>
      </w:r>
      <w:r>
        <w:rPr>
          <w:color w:val="000000"/>
          <w:sz w:val="28"/>
          <w:szCs w:val="28"/>
        </w:rPr>
        <w:t>а в автономном округе, зарегистрированным по месту жительства в Тюменской области или Ямало-Ненецком автономном округе, в том числе на день гибели (смерти) указанных лиц;</w:t>
      </w:r>
    </w:p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200 000 рублей – на каждого члена семьи зарегистрированного по месту жительства в ино</w:t>
      </w:r>
      <w:r>
        <w:rPr>
          <w:color w:val="000000"/>
          <w:sz w:val="28"/>
          <w:szCs w:val="28"/>
        </w:rPr>
        <w:t xml:space="preserve">м субъекте Российской Федерации, за исключением Тюменской области и Ямало-Ненецкого автономного округа, имевшего </w:t>
      </w:r>
      <w:r>
        <w:rPr>
          <w:color w:val="000000"/>
          <w:sz w:val="28"/>
          <w:szCs w:val="28"/>
        </w:rPr>
        <w:br/>
        <w:t>на день гибели (смерти) место жительства в автономном округе.</w:t>
      </w:r>
    </w:p>
    <w:p w:rsidR="00B26426" w:rsidRDefault="002041E6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январе 2025 года установлена материальная помощь членам семей мобилизованных граждан на проезд от места жительства (пребывания) </w:t>
      </w:r>
      <w:r>
        <w:rPr>
          <w:color w:val="000000"/>
          <w:sz w:val="28"/>
          <w:szCs w:val="28"/>
        </w:rPr>
        <w:br/>
        <w:t>в автономном округе к месту использования отпуска мобилизованным гражданином и обратно в размере 25 000 рублей</w:t>
      </w:r>
      <w:r>
        <w:rPr>
          <w:sz w:val="28"/>
          <w:szCs w:val="28"/>
        </w:rPr>
        <w:t>.</w:t>
      </w:r>
    </w:p>
    <w:p w:rsidR="00B26426" w:rsidRDefault="002041E6">
      <w:pPr>
        <w:spacing w:line="360" w:lineRule="auto"/>
        <w:ind w:firstLine="709"/>
        <w:jc w:val="both"/>
      </w:pPr>
      <w:r>
        <w:rPr>
          <w:sz w:val="28"/>
          <w:szCs w:val="28"/>
        </w:rPr>
        <w:t>Для семей участников специальной военной операции, имеющих детей, гарантировано:</w:t>
      </w:r>
    </w:p>
    <w:p w:rsidR="00B26426" w:rsidRDefault="002041E6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бесплатное двухразовое горячее питание детей участников специальной военной операции в учебное время по месту нахождения образовательной организации;</w:t>
      </w:r>
    </w:p>
    <w:p w:rsidR="00B26426" w:rsidRDefault="002041E6">
      <w:pPr>
        <w:spacing w:line="360" w:lineRule="auto"/>
        <w:ind w:firstLine="709"/>
        <w:jc w:val="both"/>
      </w:pPr>
      <w:r>
        <w:rPr>
          <w:sz w:val="28"/>
          <w:szCs w:val="28"/>
        </w:rPr>
        <w:t>компенсация фактически по</w:t>
      </w:r>
      <w:r>
        <w:rPr>
          <w:sz w:val="28"/>
          <w:szCs w:val="28"/>
        </w:rPr>
        <w:t>несенных затрат по оплате родительской платы за присмотр и уход за ребенком (детьми) участников специальной военной операции в организациях, осуществляющих образовательную деятельность по реализации образовательной программы дошкольного образования</w:t>
      </w:r>
      <w:r>
        <w:rPr>
          <w:sz w:val="28"/>
          <w:szCs w:val="28"/>
        </w:rPr>
        <w:t>;</w:t>
      </w:r>
    </w:p>
    <w:p w:rsidR="00B26426" w:rsidRDefault="002041E6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освобо</w:t>
      </w:r>
      <w:r>
        <w:rPr>
          <w:color w:val="000000"/>
          <w:sz w:val="28"/>
          <w:szCs w:val="28"/>
        </w:rPr>
        <w:t xml:space="preserve">ждение от взимания родительской платы за присмотр и уход </w:t>
      </w:r>
      <w:r>
        <w:rPr>
          <w:color w:val="000000"/>
          <w:sz w:val="28"/>
          <w:szCs w:val="28"/>
        </w:rPr>
        <w:br/>
        <w:t xml:space="preserve">за детьми в организациях, осуществляющих образовательную деятельность по реализации образовательной программы дошкольного образования </w:t>
      </w:r>
      <w:r>
        <w:rPr>
          <w:color w:val="000000"/>
          <w:sz w:val="28"/>
          <w:szCs w:val="28"/>
        </w:rPr>
        <w:br/>
        <w:t>(мера поддержки введена в 2024 году</w:t>
      </w:r>
      <w:r>
        <w:rPr>
          <w:rStyle w:val="af0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).</w:t>
      </w:r>
    </w:p>
    <w:p w:rsidR="00B26426" w:rsidRDefault="002041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категория граж</w:t>
      </w:r>
      <w:r>
        <w:rPr>
          <w:sz w:val="28"/>
          <w:szCs w:val="28"/>
        </w:rPr>
        <w:t>дан также имеет право на получение бесплатной юридической помощи, освобождение от уплаты транспортного налога в зависимости от вида транспортного средства, отсрочку внесения платы по договорам аренды государственного имущества автономного округа и (или) зе</w:t>
      </w:r>
      <w:r>
        <w:rPr>
          <w:sz w:val="28"/>
          <w:szCs w:val="28"/>
        </w:rPr>
        <w:t xml:space="preserve">мельных участков, находящихся в государственной собственности автономного округа или государственная собственность </w:t>
      </w:r>
      <w:r>
        <w:rPr>
          <w:sz w:val="28"/>
          <w:szCs w:val="28"/>
        </w:rPr>
        <w:br/>
        <w:t xml:space="preserve">на которые не разграничена, расторжение договора аренды </w:t>
      </w:r>
      <w:r>
        <w:rPr>
          <w:sz w:val="28"/>
          <w:szCs w:val="28"/>
        </w:rPr>
        <w:br/>
        <w:t xml:space="preserve">или односторонний отказ от исполнения указанного договора </w:t>
      </w:r>
      <w:r>
        <w:rPr>
          <w:sz w:val="28"/>
          <w:szCs w:val="28"/>
        </w:rPr>
        <w:br/>
        <w:t xml:space="preserve">без применения штрафных </w:t>
      </w:r>
      <w:r>
        <w:rPr>
          <w:sz w:val="28"/>
          <w:szCs w:val="28"/>
        </w:rPr>
        <w:t xml:space="preserve">санкций, освобождение граждан от начисления пени, штрафов, неустойки, иных санкций за просрочку платежей </w:t>
      </w:r>
      <w:r>
        <w:rPr>
          <w:sz w:val="28"/>
          <w:szCs w:val="28"/>
        </w:rPr>
        <w:br/>
        <w:t xml:space="preserve">по договорам купли-продажи жилых помещений, находящихся в залоге автономного округа, освобождение от начисления пеней в случае </w:t>
      </w:r>
      <w:r>
        <w:rPr>
          <w:sz w:val="28"/>
          <w:szCs w:val="28"/>
        </w:rPr>
        <w:lastRenderedPageBreak/>
        <w:t>несвоевременного и (или</w:t>
      </w:r>
      <w:r>
        <w:rPr>
          <w:sz w:val="28"/>
          <w:szCs w:val="28"/>
        </w:rPr>
        <w:t xml:space="preserve">) неполного внесения платы за жилое помещение </w:t>
      </w:r>
      <w:r>
        <w:rPr>
          <w:sz w:val="28"/>
          <w:szCs w:val="28"/>
        </w:rPr>
        <w:br/>
        <w:t>и коммунальные услуги, взноса на капитальный ремонт общего имущества.</w:t>
      </w:r>
    </w:p>
    <w:sectPr w:rsidR="00B26426">
      <w:headerReference w:type="default" r:id="rId8"/>
      <w:headerReference w:type="first" r:id="rId9"/>
      <w:footerReference w:type="first" r:id="rId10"/>
      <w:type w:val="continuous"/>
      <w:pgSz w:w="11900" w:h="16820"/>
      <w:pgMar w:top="1417" w:right="1276" w:bottom="1134" w:left="1559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E6" w:rsidRDefault="002041E6">
      <w:r>
        <w:separator/>
      </w:r>
    </w:p>
  </w:endnote>
  <w:endnote w:type="continuationSeparator" w:id="0">
    <w:p w:rsidR="002041E6" w:rsidRDefault="0020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26" w:rsidRDefault="00B264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E6" w:rsidRDefault="002041E6">
      <w:r>
        <w:separator/>
      </w:r>
    </w:p>
  </w:footnote>
  <w:footnote w:type="continuationSeparator" w:id="0">
    <w:p w:rsidR="002041E6" w:rsidRDefault="002041E6">
      <w:r>
        <w:continuationSeparator/>
      </w:r>
    </w:p>
  </w:footnote>
  <w:footnote w:id="1">
    <w:p w:rsidR="00B26426" w:rsidRDefault="002041E6">
      <w:pPr>
        <w:pStyle w:val="ae"/>
        <w:jc w:val="both"/>
      </w:pPr>
      <w:r>
        <w:rPr>
          <w:rStyle w:val="af0"/>
          <w:sz w:val="24"/>
          <w:szCs w:val="24"/>
        </w:rPr>
        <w:footnoteRef/>
      </w:r>
      <w:r>
        <w:rPr>
          <w:sz w:val="24"/>
          <w:szCs w:val="24"/>
        </w:rPr>
        <w:t>постановление Правительства Ханты-Ман</w:t>
      </w:r>
      <w:r>
        <w:rPr>
          <w:sz w:val="24"/>
          <w:szCs w:val="24"/>
        </w:rPr>
        <w:t xml:space="preserve">сийского автономного округа – Югры </w:t>
      </w:r>
      <w:r>
        <w:rPr>
          <w:sz w:val="24"/>
          <w:szCs w:val="24"/>
        </w:rPr>
        <w:br/>
        <w:t xml:space="preserve">от 10 февраля 2023 года № 51-п «О едином перечне прав, льгот, социальных гарантий </w:t>
      </w:r>
      <w:r>
        <w:rPr>
          <w:sz w:val="24"/>
          <w:szCs w:val="24"/>
        </w:rPr>
        <w:br/>
        <w:t>и компенсаций в Ханты-Мансийском автономном округе – Югре гражданам, принимающим участие в специальной военной операции, и членам их семе</w:t>
      </w:r>
      <w:r>
        <w:rPr>
          <w:sz w:val="24"/>
          <w:szCs w:val="24"/>
        </w:rPr>
        <w:t>й».</w:t>
      </w:r>
    </w:p>
  </w:footnote>
  <w:footnote w:id="2">
    <w:p w:rsidR="00B26426" w:rsidRDefault="00204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Cs w:val="24"/>
        </w:rPr>
      </w:pPr>
      <w:r>
        <w:rPr>
          <w:rStyle w:val="af0"/>
        </w:rPr>
        <w:footnoteRef/>
      </w:r>
      <w:r>
        <w:rPr>
          <w:color w:val="000000"/>
          <w:sz w:val="24"/>
        </w:rPr>
        <w:t xml:space="preserve">Постановление Правительства </w:t>
      </w:r>
      <w:r>
        <w:rPr>
          <w:sz w:val="24"/>
          <w:szCs w:val="24"/>
        </w:rPr>
        <w:t>Ханты-Мансийского автономного округа – Югры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 xml:space="preserve">от 2 декабря 2024 года № 449-п «О внесении изменений в постановление Правительства Ханты-Мансийского автономного округа - Югры от 10 февраля 2023 года № 51-п 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 xml:space="preserve">«О едином перечне прав, льгот, социальных гарантий и компенсаций </w:t>
      </w:r>
      <w:r>
        <w:rPr>
          <w:color w:val="000000"/>
          <w:sz w:val="24"/>
        </w:rPr>
        <w:br/>
        <w:t xml:space="preserve">в Ханты-Мансийском автономном округе – Югре гражданам, принимающим участие </w:t>
      </w:r>
      <w:r>
        <w:rPr>
          <w:color w:val="000000"/>
          <w:sz w:val="24"/>
        </w:rPr>
        <w:br/>
        <w:t>в специальной военной операции, и членам их семей»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26" w:rsidRDefault="002041E6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D43479">
      <w:rPr>
        <w:noProof/>
      </w:rPr>
      <w:t>6</w:t>
    </w:r>
    <w:r>
      <w:fldChar w:fldCharType="end"/>
    </w:r>
  </w:p>
  <w:p w:rsidR="00B26426" w:rsidRDefault="00B264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26" w:rsidRDefault="00B26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1BD"/>
    <w:multiLevelType w:val="hybridMultilevel"/>
    <w:tmpl w:val="89D64BE6"/>
    <w:lvl w:ilvl="0" w:tplc="04D2570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C4BAA244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</w:rPr>
    </w:lvl>
    <w:lvl w:ilvl="2" w:tplc="A25E69DA">
      <w:start w:val="1"/>
      <w:numFmt w:val="bullet"/>
      <w:lvlText w:val="§"/>
      <w:lvlJc w:val="left"/>
      <w:pPr>
        <w:ind w:left="2161" w:hanging="360"/>
      </w:pPr>
      <w:rPr>
        <w:rFonts w:ascii="Wingdings" w:eastAsia="Wingdings" w:hAnsi="Wingdings" w:cs="Wingdings" w:hint="default"/>
      </w:rPr>
    </w:lvl>
    <w:lvl w:ilvl="3" w:tplc="3EE2B166">
      <w:start w:val="1"/>
      <w:numFmt w:val="bullet"/>
      <w:lvlText w:val="·"/>
      <w:lvlJc w:val="left"/>
      <w:pPr>
        <w:ind w:left="2881" w:hanging="360"/>
      </w:pPr>
      <w:rPr>
        <w:rFonts w:ascii="Symbol" w:eastAsia="Symbol" w:hAnsi="Symbol" w:cs="Symbol" w:hint="default"/>
      </w:rPr>
    </w:lvl>
    <w:lvl w:ilvl="4" w:tplc="32567028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 w:hint="default"/>
      </w:rPr>
    </w:lvl>
    <w:lvl w:ilvl="5" w:tplc="19565DC2">
      <w:start w:val="1"/>
      <w:numFmt w:val="bullet"/>
      <w:lvlText w:val="§"/>
      <w:lvlJc w:val="left"/>
      <w:pPr>
        <w:ind w:left="4321" w:hanging="360"/>
      </w:pPr>
      <w:rPr>
        <w:rFonts w:ascii="Wingdings" w:eastAsia="Wingdings" w:hAnsi="Wingdings" w:cs="Wingdings" w:hint="default"/>
      </w:rPr>
    </w:lvl>
    <w:lvl w:ilvl="6" w:tplc="667C1D36">
      <w:start w:val="1"/>
      <w:numFmt w:val="bullet"/>
      <w:lvlText w:val="·"/>
      <w:lvlJc w:val="left"/>
      <w:pPr>
        <w:ind w:left="5041" w:hanging="360"/>
      </w:pPr>
      <w:rPr>
        <w:rFonts w:ascii="Symbol" w:eastAsia="Symbol" w:hAnsi="Symbol" w:cs="Symbol" w:hint="default"/>
      </w:rPr>
    </w:lvl>
    <w:lvl w:ilvl="7" w:tplc="1722BFE6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 w:hint="default"/>
      </w:rPr>
    </w:lvl>
    <w:lvl w:ilvl="8" w:tplc="55D0911C">
      <w:start w:val="1"/>
      <w:numFmt w:val="bullet"/>
      <w:lvlText w:val="§"/>
      <w:lvlJc w:val="left"/>
      <w:pPr>
        <w:ind w:left="6481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33521C"/>
    <w:multiLevelType w:val="hybridMultilevel"/>
    <w:tmpl w:val="67A818E0"/>
    <w:lvl w:ilvl="0" w:tplc="902EB8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A688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692D66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BF862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9E63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33E5CF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94C44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E69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4C8E5B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25F862CC"/>
    <w:multiLevelType w:val="hybridMultilevel"/>
    <w:tmpl w:val="D666A7B4"/>
    <w:lvl w:ilvl="0" w:tplc="2BACCE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06AC3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2C3B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8342B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161B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78A1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72F5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A81C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EC6A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093C72"/>
    <w:multiLevelType w:val="hybridMultilevel"/>
    <w:tmpl w:val="27A2F9F4"/>
    <w:lvl w:ilvl="0" w:tplc="89DADAC2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C20E382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6E2F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EA2836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21629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DCC606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FC464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026C80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EC4762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D3C644D"/>
    <w:multiLevelType w:val="hybridMultilevel"/>
    <w:tmpl w:val="3CA86B06"/>
    <w:lvl w:ilvl="0" w:tplc="5BF66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89BD4">
      <w:start w:val="1"/>
      <w:numFmt w:val="lowerLetter"/>
      <w:lvlText w:val="%2."/>
      <w:lvlJc w:val="left"/>
      <w:pPr>
        <w:ind w:left="1789" w:hanging="360"/>
      </w:pPr>
    </w:lvl>
    <w:lvl w:ilvl="2" w:tplc="9E1ABCAA">
      <w:start w:val="1"/>
      <w:numFmt w:val="lowerRoman"/>
      <w:lvlText w:val="%3."/>
      <w:lvlJc w:val="right"/>
      <w:pPr>
        <w:ind w:left="2509" w:hanging="180"/>
      </w:pPr>
    </w:lvl>
    <w:lvl w:ilvl="3" w:tplc="622474E2">
      <w:start w:val="1"/>
      <w:numFmt w:val="decimal"/>
      <w:lvlText w:val="%4."/>
      <w:lvlJc w:val="left"/>
      <w:pPr>
        <w:ind w:left="3229" w:hanging="360"/>
      </w:pPr>
    </w:lvl>
    <w:lvl w:ilvl="4" w:tplc="6DD60864">
      <w:start w:val="1"/>
      <w:numFmt w:val="lowerLetter"/>
      <w:lvlText w:val="%5."/>
      <w:lvlJc w:val="left"/>
      <w:pPr>
        <w:ind w:left="3949" w:hanging="360"/>
      </w:pPr>
    </w:lvl>
    <w:lvl w:ilvl="5" w:tplc="5524C36E">
      <w:start w:val="1"/>
      <w:numFmt w:val="lowerRoman"/>
      <w:lvlText w:val="%6."/>
      <w:lvlJc w:val="right"/>
      <w:pPr>
        <w:ind w:left="4669" w:hanging="180"/>
      </w:pPr>
    </w:lvl>
    <w:lvl w:ilvl="6" w:tplc="CE80A20C">
      <w:start w:val="1"/>
      <w:numFmt w:val="decimal"/>
      <w:lvlText w:val="%7."/>
      <w:lvlJc w:val="left"/>
      <w:pPr>
        <w:ind w:left="5389" w:hanging="360"/>
      </w:pPr>
    </w:lvl>
    <w:lvl w:ilvl="7" w:tplc="33DE444E">
      <w:start w:val="1"/>
      <w:numFmt w:val="lowerLetter"/>
      <w:lvlText w:val="%8."/>
      <w:lvlJc w:val="left"/>
      <w:pPr>
        <w:ind w:left="6109" w:hanging="360"/>
      </w:pPr>
    </w:lvl>
    <w:lvl w:ilvl="8" w:tplc="E1C8425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464F94"/>
    <w:multiLevelType w:val="hybridMultilevel"/>
    <w:tmpl w:val="471EC8E2"/>
    <w:lvl w:ilvl="0" w:tplc="FB4079B8">
      <w:start w:val="1"/>
      <w:numFmt w:val="decimal"/>
      <w:lvlText w:val="%1."/>
      <w:lvlJc w:val="left"/>
      <w:pPr>
        <w:ind w:left="1417" w:hanging="360"/>
      </w:pPr>
    </w:lvl>
    <w:lvl w:ilvl="1" w:tplc="01E02768">
      <w:start w:val="1"/>
      <w:numFmt w:val="lowerLetter"/>
      <w:lvlText w:val="%2."/>
      <w:lvlJc w:val="left"/>
      <w:pPr>
        <w:ind w:left="2137" w:hanging="360"/>
      </w:pPr>
    </w:lvl>
    <w:lvl w:ilvl="2" w:tplc="1E981110">
      <w:start w:val="1"/>
      <w:numFmt w:val="lowerRoman"/>
      <w:lvlText w:val="%3."/>
      <w:lvlJc w:val="right"/>
      <w:pPr>
        <w:ind w:left="2857" w:hanging="180"/>
      </w:pPr>
    </w:lvl>
    <w:lvl w:ilvl="3" w:tplc="FA5C1D20">
      <w:start w:val="1"/>
      <w:numFmt w:val="decimal"/>
      <w:lvlText w:val="%4."/>
      <w:lvlJc w:val="left"/>
      <w:pPr>
        <w:ind w:left="3577" w:hanging="360"/>
      </w:pPr>
    </w:lvl>
    <w:lvl w:ilvl="4" w:tplc="9640B1BA">
      <w:start w:val="1"/>
      <w:numFmt w:val="lowerLetter"/>
      <w:lvlText w:val="%5."/>
      <w:lvlJc w:val="left"/>
      <w:pPr>
        <w:ind w:left="4297" w:hanging="360"/>
      </w:pPr>
    </w:lvl>
    <w:lvl w:ilvl="5" w:tplc="C002B1B8">
      <w:start w:val="1"/>
      <w:numFmt w:val="lowerRoman"/>
      <w:lvlText w:val="%6."/>
      <w:lvlJc w:val="right"/>
      <w:pPr>
        <w:ind w:left="5017" w:hanging="180"/>
      </w:pPr>
    </w:lvl>
    <w:lvl w:ilvl="6" w:tplc="6E5659E6">
      <w:start w:val="1"/>
      <w:numFmt w:val="decimal"/>
      <w:lvlText w:val="%7."/>
      <w:lvlJc w:val="left"/>
      <w:pPr>
        <w:ind w:left="5737" w:hanging="360"/>
      </w:pPr>
    </w:lvl>
    <w:lvl w:ilvl="7" w:tplc="6470A850">
      <w:start w:val="1"/>
      <w:numFmt w:val="lowerLetter"/>
      <w:lvlText w:val="%8."/>
      <w:lvlJc w:val="left"/>
      <w:pPr>
        <w:ind w:left="6457" w:hanging="360"/>
      </w:pPr>
    </w:lvl>
    <w:lvl w:ilvl="8" w:tplc="91F84BAC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77FB381A"/>
    <w:multiLevelType w:val="hybridMultilevel"/>
    <w:tmpl w:val="E1866F48"/>
    <w:lvl w:ilvl="0" w:tplc="BEC87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A22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A79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EF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A7D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30F1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98A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828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A6E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313211"/>
    <w:multiLevelType w:val="hybridMultilevel"/>
    <w:tmpl w:val="F64A2E2E"/>
    <w:lvl w:ilvl="0" w:tplc="0ACC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FAC6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22B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A2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C9D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2267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EB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007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68F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A7BFB"/>
    <w:multiLevelType w:val="multilevel"/>
    <w:tmpl w:val="94A60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26"/>
    <w:rsid w:val="002041E6"/>
    <w:rsid w:val="00B26426"/>
    <w:rsid w:val="00D4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63BBF-C7B1-4639-9B0B-9B7F5321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3">
    <w:name w:val="Обычный1"/>
    <w:pPr>
      <w:widowControl w:val="0"/>
      <w:spacing w:line="320" w:lineRule="auto"/>
      <w:ind w:left="40" w:firstLine="720"/>
      <w:jc w:val="both"/>
    </w:pPr>
    <w:rPr>
      <w:rFonts w:ascii="Courier New" w:hAnsi="Courier New"/>
      <w:sz w:val="18"/>
    </w:rPr>
  </w:style>
  <w:style w:type="paragraph" w:customStyle="1" w:styleId="FR1">
    <w:name w:val="FR1"/>
    <w:pPr>
      <w:widowControl w:val="0"/>
      <w:spacing w:line="300" w:lineRule="auto"/>
      <w:ind w:left="320" w:hanging="340"/>
    </w:pPr>
    <w:rPr>
      <w:i/>
      <w:sz w:val="22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rPr>
      <w:color w:val="0000FF"/>
      <w:u w:val="single"/>
    </w:rPr>
  </w:style>
  <w:style w:type="paragraph" w:styleId="25">
    <w:name w:val="Body Text 2"/>
    <w:basedOn w:val="a"/>
    <w:pPr>
      <w:spacing w:after="120" w:line="480" w:lineRule="auto"/>
    </w:p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Body Text Indent"/>
    <w:basedOn w:val="a"/>
    <w:link w:val="af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fb">
    <w:name w:val="Основной текст с отступом Знак"/>
    <w:link w:val="afa"/>
    <w:rPr>
      <w:rFonts w:ascii="Calibri" w:eastAsia="Calibri" w:hAnsi="Calibri"/>
      <w:sz w:val="22"/>
      <w:szCs w:val="22"/>
      <w:lang w:val="ru-RU" w:eastAsia="ru-RU" w:bidi="ar-SA"/>
    </w:rPr>
  </w:style>
  <w:style w:type="table" w:styleId="afc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DBC0-42FE-4B1A-AC16-A3806F76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7080</Characters>
  <Application>Microsoft Office Word</Application>
  <DocSecurity>0</DocSecurity>
  <Lines>59</Lines>
  <Paragraphs>16</Paragraphs>
  <ScaleCrop>false</ScaleCrop>
  <Company>OTMU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Учетная запись Майкрософт</cp:lastModifiedBy>
  <cp:revision>31</cp:revision>
  <dcterms:created xsi:type="dcterms:W3CDTF">2023-09-01T11:42:00Z</dcterms:created>
  <dcterms:modified xsi:type="dcterms:W3CDTF">2025-02-27T07:26:00Z</dcterms:modified>
</cp:coreProperties>
</file>