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tabs>
          <w:tab w:val="right" w:pos="9922" w:leader="none"/>
        </w:tabs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ПРОЕКТ ПОСТАНОВЛЕНИЯ</w:t>
      </w:r>
      <w:r>
        <w:rPr>
          <w:color w:val="000000"/>
          <w:sz w:val="28"/>
          <w:szCs w:val="28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Нефтеюганского района</w:t>
      </w:r>
      <w:r>
        <w:rPr>
          <w:sz w:val="26"/>
          <w:szCs w:val="26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02.11.2024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1881</w:t>
      </w:r>
      <w:r>
        <w:rPr>
          <w:sz w:val="26"/>
          <w:szCs w:val="26"/>
        </w:rPr>
        <w:t xml:space="preserve">-па-нпа «О муниципальной программе</w:t>
      </w:r>
      <w:r>
        <w:rPr>
          <w:sz w:val="26"/>
          <w:szCs w:val="26"/>
        </w:rPr>
      </w:r>
    </w:p>
    <w:p>
      <w:pPr>
        <w:jc w:val="center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Нефтеюганского района «Управление муниципальным имуществом»</w:t>
      </w:r>
      <w:r>
        <w:rPr>
          <w:rFonts w:eastAsia="Calibri"/>
          <w:sz w:val="26"/>
          <w:szCs w:val="26"/>
          <w:lang w:eastAsia="en-US"/>
        </w:rPr>
      </w:r>
    </w:p>
    <w:p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p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>
        <w:rPr>
          <w:rFonts w:eastAsia="Calibri"/>
          <w:sz w:val="26"/>
          <w:szCs w:val="26"/>
          <w:lang w:eastAsia="en-US"/>
        </w:rPr>
        <w:t xml:space="preserve">ийской Федерации», постановлениями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 xml:space="preserve">и реализации муниципальных программ Нефтеюганск</w:t>
      </w:r>
      <w:r>
        <w:rPr>
          <w:rFonts w:eastAsia="Calibri"/>
          <w:sz w:val="26"/>
          <w:szCs w:val="26"/>
          <w:lang w:eastAsia="en-US"/>
        </w:rPr>
        <w:t xml:space="preserve">ого</w:t>
      </w:r>
      <w:r>
        <w:rPr>
          <w:rFonts w:eastAsia="Calibri"/>
          <w:sz w:val="26"/>
          <w:szCs w:val="26"/>
          <w:lang w:eastAsia="en-US"/>
        </w:rPr>
        <w:t xml:space="preserve"> район</w:t>
      </w:r>
      <w:r>
        <w:rPr>
          <w:rFonts w:eastAsia="Calibri"/>
          <w:sz w:val="26"/>
          <w:szCs w:val="26"/>
          <w:lang w:eastAsia="en-US"/>
        </w:rPr>
        <w:t xml:space="preserve">а</w:t>
      </w:r>
      <w:r>
        <w:rPr>
          <w:rFonts w:eastAsia="Calibri"/>
          <w:sz w:val="26"/>
          <w:szCs w:val="26"/>
          <w:lang w:eastAsia="en-US"/>
        </w:rPr>
        <w:t xml:space="preserve">»</w:t>
      </w:r>
      <w:r>
        <w:rPr>
          <w:rFonts w:eastAsia="Calibri"/>
          <w:sz w:val="26"/>
          <w:szCs w:val="26"/>
          <w:lang w:eastAsia="en-US"/>
        </w:rPr>
        <w:t xml:space="preserve">, </w:t>
      </w:r>
      <w:r>
        <w:rPr>
          <w:rFonts w:eastAsia="Calibri"/>
          <w:sz w:val="26"/>
          <w:szCs w:val="26"/>
          <w:lang w:eastAsia="en-US"/>
        </w:rPr>
        <w:t xml:space="preserve">от </w:t>
      </w:r>
      <w:r>
        <w:rPr>
          <w:rFonts w:eastAsia="Calibri"/>
          <w:sz w:val="26"/>
          <w:szCs w:val="26"/>
          <w:lang w:eastAsia="en-US"/>
        </w:rPr>
        <w:t xml:space="preserve">2</w:t>
      </w:r>
      <w:r>
        <w:rPr>
          <w:rFonts w:eastAsia="Calibri"/>
          <w:sz w:val="26"/>
          <w:szCs w:val="26"/>
          <w:lang w:eastAsia="en-US"/>
        </w:rPr>
        <w:t xml:space="preserve">7.</w:t>
      </w:r>
      <w:r>
        <w:rPr>
          <w:rFonts w:eastAsia="Calibri"/>
          <w:sz w:val="26"/>
          <w:szCs w:val="26"/>
          <w:lang w:eastAsia="en-US"/>
        </w:rPr>
        <w:t xml:space="preserve">06</w:t>
      </w:r>
      <w:r>
        <w:rPr>
          <w:rFonts w:eastAsia="Calibri"/>
          <w:sz w:val="26"/>
          <w:szCs w:val="26"/>
          <w:lang w:eastAsia="en-US"/>
        </w:rPr>
        <w:t xml:space="preserve">.202</w:t>
      </w:r>
      <w:r>
        <w:rPr>
          <w:rFonts w:eastAsia="Calibri"/>
          <w:sz w:val="26"/>
          <w:szCs w:val="26"/>
          <w:lang w:eastAsia="en-US"/>
        </w:rPr>
        <w:t xml:space="preserve">4</w:t>
      </w:r>
      <w:r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br/>
      </w:r>
      <w:r>
        <w:rPr>
          <w:rFonts w:eastAsia="Calibri"/>
          <w:sz w:val="26"/>
          <w:szCs w:val="26"/>
          <w:lang w:eastAsia="en-US"/>
        </w:rPr>
        <w:t xml:space="preserve">№ 1</w:t>
      </w:r>
      <w:r>
        <w:rPr>
          <w:rFonts w:eastAsia="Calibri"/>
          <w:sz w:val="26"/>
          <w:szCs w:val="26"/>
          <w:lang w:eastAsia="en-US"/>
        </w:rPr>
        <w:t xml:space="preserve">087</w:t>
      </w:r>
      <w:r>
        <w:rPr>
          <w:rFonts w:eastAsia="Calibri"/>
          <w:sz w:val="26"/>
          <w:szCs w:val="26"/>
          <w:lang w:eastAsia="en-US"/>
        </w:rPr>
        <w:t xml:space="preserve">-па «Об утверждении перечня муниципальных программ Нефтеюганского района»</w:t>
      </w:r>
      <w:r>
        <w:rPr>
          <w:rFonts w:eastAsia="Calibri"/>
          <w:sz w:val="26"/>
          <w:szCs w:val="26"/>
          <w:lang w:eastAsia="en-US"/>
        </w:rPr>
        <w:t xml:space="preserve">, </w:t>
      </w:r>
      <w:r>
        <w:rPr>
          <w:rFonts w:eastAsia="Calibri"/>
          <w:sz w:val="26"/>
          <w:szCs w:val="26"/>
          <w:lang w:eastAsia="en-US"/>
        </w:rPr>
        <w:t xml:space="preserve">п о с т а н о в л я ю:</w:t>
      </w:r>
      <w:r>
        <w:rPr>
          <w:rFonts w:eastAsia="Calibri"/>
          <w:sz w:val="26"/>
          <w:szCs w:val="26"/>
          <w:lang w:eastAsia="en-US"/>
        </w:rPr>
      </w:r>
    </w:p>
    <w:p>
      <w:pPr>
        <w:ind w:firstLine="708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</w:r>
      <w:r>
        <w:rPr>
          <w:rFonts w:eastAsia="Calibri"/>
          <w:bCs/>
          <w:sz w:val="26"/>
          <w:szCs w:val="26"/>
          <w:lang w:eastAsia="en-US"/>
        </w:rPr>
      </w:r>
    </w:p>
    <w:p>
      <w:pPr>
        <w:numPr>
          <w:ilvl w:val="0"/>
          <w:numId w:val="1"/>
        </w:numPr>
        <w:ind w:left="0" w:firstLine="709"/>
        <w:jc w:val="both"/>
        <w:tabs>
          <w:tab w:val="left" w:pos="0" w:leader="none"/>
          <w:tab w:val="left" w:pos="993" w:leader="none"/>
          <w:tab w:val="left" w:pos="9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Внести изменения в постановление администрации Нефтеюганского района от </w:t>
      </w:r>
      <w:r>
        <w:rPr>
          <w:sz w:val="26"/>
          <w:szCs w:val="26"/>
        </w:rPr>
        <w:t xml:space="preserve">02.11.2024</w:t>
      </w:r>
      <w:r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1881</w:t>
      </w:r>
      <w:r>
        <w:rPr>
          <w:sz w:val="26"/>
          <w:szCs w:val="26"/>
        </w:rPr>
        <w:t xml:space="preserve">-па-нпа «О муниципальной программе Нефтеюганского района «Управление муниципальным имуществом»</w:t>
      </w:r>
      <w:r>
        <w:rPr>
          <w:sz w:val="26"/>
          <w:szCs w:val="26"/>
        </w:rPr>
        <w:t xml:space="preserve">, изложив приложение</w:t>
      </w:r>
      <w:r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к постановлению в редакции согласно приложению к настоящему постановлению.</w:t>
      </w:r>
      <w:r>
        <w:rPr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 подлежит официальному опубликованию </w:t>
      </w:r>
      <w:r>
        <w:rPr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Настоящее постановление </w:t>
      </w:r>
      <w:r>
        <w:rPr>
          <w:sz w:val="26"/>
          <w:szCs w:val="26"/>
        </w:rPr>
        <w:t xml:space="preserve">вступает в силу после официального обнародования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</w:p>
    <w:p>
      <w:pPr>
        <w:numPr>
          <w:ilvl w:val="0"/>
          <w:numId w:val="1"/>
        </w:numPr>
        <w:ind w:left="0" w:firstLine="709"/>
        <w:jc w:val="both"/>
        <w:tabs>
          <w:tab w:val="left" w:pos="1134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Контроль за выполнением постановления возложить на </w:t>
      </w:r>
      <w:r>
        <w:rPr>
          <w:sz w:val="26"/>
          <w:szCs w:val="26"/>
        </w:rPr>
        <w:t xml:space="preserve">заместител</w:t>
      </w:r>
      <w:r>
        <w:rPr>
          <w:sz w:val="26"/>
          <w:szCs w:val="26"/>
        </w:rPr>
        <w:t xml:space="preserve">я</w:t>
      </w:r>
      <w:r>
        <w:rPr>
          <w:sz w:val="26"/>
          <w:szCs w:val="26"/>
        </w:rPr>
        <w:t xml:space="preserve"> главы Нефтеюганского района Ченцов</w:t>
      </w:r>
      <w:r>
        <w:rPr>
          <w:sz w:val="26"/>
          <w:szCs w:val="26"/>
        </w:rPr>
        <w:t xml:space="preserve">у М.А.</w:t>
      </w:r>
      <w:r>
        <w:rPr>
          <w:sz w:val="26"/>
          <w:szCs w:val="26"/>
        </w:rPr>
      </w:r>
    </w:p>
    <w:p>
      <w:pPr>
        <w:ind w:firstLine="709"/>
        <w:jc w:val="both"/>
        <w:tabs>
          <w:tab w:val="left" w:pos="993" w:leader="none"/>
        </w:tabs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p>
      <w:pPr>
        <w:jc w:val="both"/>
        <w:tabs>
          <w:tab w:val="left" w:pos="1162" w:leader="none"/>
        </w:tabs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p>
      <w:pPr>
        <w:jc w:val="both"/>
        <w:tabs>
          <w:tab w:val="left" w:pos="1162" w:leader="none"/>
        </w:tabs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p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Глава района</w:t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А.А.Бочко</w:t>
      </w:r>
      <w:r>
        <w:rPr>
          <w:rFonts w:eastAsia="Calibri"/>
          <w:sz w:val="26"/>
          <w:szCs w:val="26"/>
          <w:lang w:eastAsia="en-US"/>
        </w:rPr>
      </w:r>
    </w:p>
    <w:p>
      <w:pPr>
        <w:sectPr>
          <w:headerReference w:type="default" r:id="rId9"/>
          <w:headerReference w:type="first" r:id="rId10"/>
          <w:footnotePr/>
          <w:endnotePr/>
          <w:type w:val="nextPage"/>
          <w:pgSz w:w="11906" w:h="16838" w:orient="portrait"/>
          <w:pgMar w:top="1134" w:right="567" w:bottom="1134" w:left="1701" w:header="709" w:footer="709" w:gutter="0"/>
          <w:cols w:num="1" w:sep="0" w:space="708" w:equalWidth="1"/>
          <w:docGrid w:linePitch="360"/>
          <w:titlePg/>
        </w:sectPr>
      </w:pPr>
      <w:r/>
      <w:r/>
    </w:p>
    <w:p>
      <w:pPr>
        <w:tabs>
          <w:tab w:val="left" w:pos="993" w:leader="none"/>
        </w:tabs>
        <w:rPr>
          <w:sz w:val="2"/>
          <w:szCs w:val="2"/>
        </w:rPr>
      </w:pPr>
      <w:r>
        <w:rPr>
          <w:sz w:val="2"/>
          <w:szCs w:val="2"/>
        </w:rPr>
      </w:r>
      <w:r>
        <w:rPr>
          <w:sz w:val="2"/>
          <w:szCs w:val="2"/>
        </w:rPr>
      </w:r>
    </w:p>
    <w:p>
      <w:pPr>
        <w:ind w:left="10773" w:right="-456"/>
        <w:rPr>
          <w:sz w:val="26"/>
        </w:rPr>
      </w:pPr>
      <w:r>
        <w:rPr>
          <w:sz w:val="26"/>
        </w:rPr>
        <w:t xml:space="preserve">Приложение</w:t>
      </w:r>
      <w:r>
        <w:rPr>
          <w:sz w:val="26"/>
        </w:rPr>
        <w:t xml:space="preserve"> </w:t>
      </w:r>
      <w:r>
        <w:rPr>
          <w:sz w:val="26"/>
        </w:rPr>
      </w:r>
    </w:p>
    <w:p>
      <w:pPr>
        <w:ind w:left="10773" w:right="-456"/>
        <w:tabs>
          <w:tab w:val="left" w:pos="9639" w:leader="none"/>
        </w:tabs>
        <w:rPr>
          <w:bCs/>
          <w:color w:val="000000"/>
          <w:sz w:val="26"/>
        </w:rPr>
      </w:pPr>
      <w:r>
        <w:rPr>
          <w:bCs/>
          <w:color w:val="000000"/>
          <w:sz w:val="26"/>
        </w:rPr>
        <w:t xml:space="preserve">к постановлению администрации</w:t>
      </w:r>
      <w:r>
        <w:rPr>
          <w:bCs/>
          <w:color w:val="000000"/>
          <w:sz w:val="26"/>
        </w:rPr>
      </w:r>
    </w:p>
    <w:p>
      <w:pPr>
        <w:ind w:left="10773" w:right="-456"/>
        <w:rPr>
          <w:color w:val="000000"/>
          <w:sz w:val="26"/>
        </w:rPr>
      </w:pPr>
      <w:r>
        <w:rPr>
          <w:bCs/>
          <w:color w:val="000000"/>
          <w:sz w:val="26"/>
        </w:rPr>
        <w:t xml:space="preserve">Нефтеюганского района</w:t>
      </w:r>
      <w:r>
        <w:rPr>
          <w:color w:val="000000"/>
          <w:sz w:val="26"/>
        </w:rPr>
      </w:r>
    </w:p>
    <w:p>
      <w:pPr>
        <w:ind w:left="10773" w:right="-456"/>
        <w:tabs>
          <w:tab w:val="left" w:pos="9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____</w:t>
      </w:r>
      <w:r>
        <w:rPr>
          <w:sz w:val="26"/>
          <w:szCs w:val="26"/>
        </w:rPr>
        <w:t xml:space="preserve">.____</w:t>
      </w:r>
      <w:r>
        <w:rPr>
          <w:sz w:val="26"/>
          <w:szCs w:val="26"/>
        </w:rPr>
        <w:t xml:space="preserve">.2025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</w:rPr>
        <w:t xml:space="preserve">______</w:t>
      </w:r>
      <w:r>
        <w:rPr>
          <w:sz w:val="26"/>
          <w:szCs w:val="26"/>
        </w:rPr>
        <w:t xml:space="preserve">-па-нпа</w:t>
      </w:r>
      <w:r>
        <w:rPr>
          <w:sz w:val="26"/>
          <w:szCs w:val="26"/>
        </w:rPr>
      </w:r>
    </w:p>
    <w:p>
      <w:pPr>
        <w:ind w:right="-456"/>
        <w:jc w:val="center"/>
        <w:rPr>
          <w:sz w:val="26"/>
        </w:rPr>
      </w:pPr>
      <w:r>
        <w:rPr>
          <w:sz w:val="26"/>
        </w:rPr>
      </w:r>
      <w:r>
        <w:rPr>
          <w:sz w:val="26"/>
        </w:rPr>
      </w:r>
    </w:p>
    <w:p>
      <w:pPr>
        <w:ind w:left="10773" w:right="-456"/>
        <w:rPr>
          <w:sz w:val="26"/>
          <w:szCs w:val="26"/>
        </w:rPr>
      </w:pPr>
      <w:r>
        <w:rPr>
          <w:sz w:val="26"/>
        </w:rPr>
        <w:t xml:space="preserve">«</w:t>
      </w:r>
      <w:r>
        <w:rPr>
          <w:sz w:val="26"/>
          <w:szCs w:val="26"/>
        </w:rPr>
        <w:t xml:space="preserve">Приложение</w:t>
      </w:r>
      <w:r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</w:r>
    </w:p>
    <w:p>
      <w:pPr>
        <w:ind w:left="10773" w:right="-711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                          </w:t>
      </w:r>
      <w:r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</w:r>
    </w:p>
    <w:p>
      <w:pPr>
        <w:ind w:left="10773" w:right="-711"/>
        <w:tabs>
          <w:tab w:val="left" w:pos="993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  <w:r>
        <w:rPr>
          <w:sz w:val="26"/>
          <w:szCs w:val="26"/>
        </w:rPr>
      </w:r>
    </w:p>
    <w:p>
      <w:pPr>
        <w:ind w:right="-711" w:firstLine="10773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02.11.2024 № 1881-па-нпа</w:t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 xml:space="preserve">                                   </w:t>
      </w:r>
      <w:r>
        <w:rPr>
          <w:rFonts w:eastAsia="Calibri"/>
          <w:sz w:val="26"/>
          <w:szCs w:val="26"/>
          <w:lang w:eastAsia="en-US"/>
        </w:rPr>
      </w: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ПАСПОРТ</w:t>
      </w:r>
      <w:r>
        <w:rPr>
          <w:sz w:val="26"/>
          <w:szCs w:val="26"/>
        </w:rPr>
      </w:r>
    </w:p>
    <w:p>
      <w:pPr>
        <w:jc w:val="center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Муниципальной программы</w:t>
      </w:r>
      <w:r>
        <w:rPr>
          <w:sz w:val="26"/>
          <w:szCs w:val="26"/>
        </w:rPr>
        <w:t xml:space="preserve"> Нефтеюганского района</w:t>
      </w:r>
      <w:r>
        <w:rPr>
          <w:sz w:val="26"/>
          <w:szCs w:val="26"/>
        </w:rPr>
      </w:r>
    </w:p>
    <w:p>
      <w:pPr>
        <w:jc w:val="center"/>
        <w:widowControl w:val="off"/>
        <w:rPr>
          <w:sz w:val="26"/>
          <w:szCs w:val="26"/>
          <w:vertAlign w:val="superscript"/>
        </w:rPr>
      </w:pPr>
      <w:r>
        <w:rPr>
          <w:sz w:val="26"/>
          <w:szCs w:val="26"/>
        </w:rPr>
        <w:t xml:space="preserve">«</w:t>
      </w:r>
      <w:r>
        <w:rPr>
          <w:sz w:val="26"/>
          <w:szCs w:val="26"/>
        </w:rPr>
        <w:t xml:space="preserve">Управление муниципальным имуществом</w:t>
      </w:r>
      <w:r>
        <w:rPr>
          <w:sz w:val="26"/>
          <w:szCs w:val="26"/>
        </w:rPr>
        <w:t xml:space="preserve">»</w:t>
      </w:r>
      <w:r>
        <w:rPr>
          <w:sz w:val="26"/>
          <w:szCs w:val="26"/>
          <w:vertAlign w:val="superscript"/>
        </w:rPr>
      </w:r>
    </w:p>
    <w:p>
      <w:pPr>
        <w:jc w:val="center"/>
        <w:widowControl w:val="off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center"/>
        <w:widowControl w:val="off"/>
        <w:rPr>
          <w:sz w:val="26"/>
          <w:szCs w:val="26"/>
        </w:rPr>
      </w:pPr>
      <w:r>
        <w:rPr>
          <w:sz w:val="26"/>
          <w:szCs w:val="26"/>
        </w:rPr>
        <w:t xml:space="preserve">1. Основные положения</w:t>
      </w:r>
      <w:r>
        <w:rPr>
          <w:sz w:val="26"/>
          <w:szCs w:val="26"/>
        </w:rPr>
      </w:r>
    </w:p>
    <w:p>
      <w:pPr>
        <w:widowControl w:val="off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W w:w="15026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088"/>
        <w:gridCol w:w="7938"/>
      </w:tblGrid>
      <w:tr>
        <w:tblPrEx/>
        <w:trPr>
          <w:trHeight w:val="5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vAlign w:val="center"/>
            <w:textDirection w:val="lrTb"/>
            <w:noWrap w:val="false"/>
          </w:tcPr>
          <w:p>
            <w:r>
              <w:t xml:space="preserve">Куратор муниципальной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r>
              <w:t xml:space="preserve">Ченцова М</w:t>
            </w:r>
            <w:r>
              <w:t xml:space="preserve">ария Андреевна</w:t>
            </w:r>
            <w:r>
              <w:t xml:space="preserve"> </w:t>
            </w:r>
            <w:r>
              <w:t xml:space="preserve">–</w:t>
            </w:r>
            <w:r>
              <w:t xml:space="preserve"> </w:t>
            </w:r>
            <w:r>
              <w:t xml:space="preserve">заместитель главы Нефтеюганского района</w:t>
            </w:r>
            <w:r/>
          </w:p>
        </w:tc>
      </w:tr>
      <w:tr>
        <w:tblPrEx/>
        <w:trPr>
          <w:trHeight w:val="5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vAlign w:val="center"/>
            <w:textDirection w:val="lrTb"/>
            <w:noWrap w:val="false"/>
          </w:tcPr>
          <w:p>
            <w:r>
              <w:t xml:space="preserve">Ответственный исполнитель муниципальной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r>
              <w:t xml:space="preserve">Департамент имущественных отношений</w:t>
            </w:r>
            <w:r>
              <w:t xml:space="preserve"> Нефтеюганского района</w:t>
            </w:r>
            <w:r/>
          </w:p>
        </w:tc>
      </w:tr>
      <w:tr>
        <w:tblPrEx/>
        <w:trPr>
          <w:trHeight w:val="4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vAlign w:val="center"/>
            <w:textDirection w:val="lrTb"/>
            <w:noWrap w:val="false"/>
          </w:tcPr>
          <w:p>
            <w:r>
              <w:t xml:space="preserve">Период реализации муниципальной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r>
              <w:t xml:space="preserve">2025 - 2030</w:t>
            </w:r>
            <w:r/>
          </w:p>
        </w:tc>
      </w:tr>
      <w:tr>
        <w:tblPrEx/>
        <w:trPr>
          <w:trHeight w:val="6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vAlign w:val="center"/>
            <w:textDirection w:val="lrTb"/>
            <w:noWrap w:val="false"/>
          </w:tcPr>
          <w:p>
            <w:r>
              <w:t xml:space="preserve">Цели муниципальной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r>
              <w:t xml:space="preserve">1. </w:t>
            </w:r>
            <w:r>
              <w:t xml:space="preserve">Повышение эффективности управления муниципальным имуществом муниципального образования Нефтеюганский район.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vAlign w:val="center"/>
            <w:textDirection w:val="lrTb"/>
            <w:noWrap w:val="false"/>
          </w:tcPr>
          <w:p>
            <w:r>
              <w:t xml:space="preserve">Направления (подпрограммы) муниципальной программы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r>
              <w:t xml:space="preserve">-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vAlign w:val="center"/>
            <w:textDirection w:val="lrTb"/>
            <w:noWrap w:val="false"/>
          </w:tcPr>
          <w:p>
            <w:r>
              <w:t xml:space="preserve">Объемы финансового обеспечения за весь период реализации</w:t>
            </w:r>
            <w:r>
              <w:rPr>
                <w:vertAlign w:val="superscript"/>
              </w:rPr>
              <w:footnoteReference w:id="2"/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r>
              <w:t xml:space="preserve">269 339</w:t>
            </w:r>
            <w:r>
              <w:t xml:space="preserve">,19796</w:t>
            </w:r>
            <w:r>
              <w:t xml:space="preserve"> тысяч рублей</w:t>
            </w:r>
            <w:r/>
          </w:p>
        </w:tc>
      </w:tr>
      <w:tr>
        <w:tblPrEx/>
        <w:trPr>
          <w:trHeight w:val="5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88" w:type="dxa"/>
            <w:vAlign w:val="center"/>
            <w:textDirection w:val="lrTb"/>
            <w:noWrap w:val="false"/>
          </w:tcPr>
          <w:p>
            <w:r/>
            <w:bookmarkStart w:id="0" w:name="_Hlk163558725"/>
            <w:r>
              <w:t xml:space="preserve">Связь с национальными целями развития Российской Федерации/ государственной программой Ханты-Мансийского автономного округа </w:t>
            </w:r>
            <w:r>
              <w:t xml:space="preserve">–</w:t>
            </w:r>
            <w:r>
              <w:t xml:space="preserve"> Югры</w:t>
            </w:r>
            <w:bookmarkEnd w:id="0"/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938" w:type="dxa"/>
            <w:vAlign w:val="center"/>
            <w:textDirection w:val="lrTb"/>
            <w:noWrap w:val="false"/>
          </w:tcPr>
          <w:p>
            <w:pPr>
              <w:pStyle w:val="748"/>
              <w:numPr>
                <w:ilvl w:val="0"/>
                <w:numId w:val="19"/>
              </w:numPr>
              <w:ind w:left="0" w:firstLine="31"/>
              <w:jc w:val="both"/>
              <w:tabs>
                <w:tab w:val="left" w:pos="271" w:leader="none"/>
              </w:tabs>
            </w:pPr>
            <w:r>
              <w:t xml:space="preserve">Г</w:t>
            </w:r>
            <w:r>
              <w:t xml:space="preserve">осударственная программа Ханты-Мансийского автономного </w:t>
            </w:r>
            <w:r>
              <w:br/>
            </w:r>
            <w:r>
              <w:t xml:space="preserve">округа – Югры «</w:t>
            </w:r>
            <w:r>
              <w:t xml:space="preserve">Управление государственным имуществом</w:t>
            </w:r>
            <w:r>
              <w:t xml:space="preserve">»</w:t>
            </w:r>
            <w:r>
              <w:t xml:space="preserve">.</w:t>
            </w:r>
            <w:r/>
          </w:p>
        </w:tc>
      </w:tr>
    </w:tbl>
    <w:p>
      <w:pPr>
        <w:widowControl w:val="off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  <w:r>
        <w:rPr>
          <w:rFonts w:eastAsia="Calibri"/>
          <w:sz w:val="26"/>
          <w:szCs w:val="26"/>
          <w:lang w:eastAsia="en-US"/>
        </w:rPr>
      </w:r>
    </w:p>
    <w:sectPr>
      <w:footnotePr/>
      <w:endnotePr/>
      <w:type w:val="nextPage"/>
      <w:pgSz w:w="16838" w:h="11906" w:orient="landscape"/>
      <w:pgMar w:top="709" w:right="1389" w:bottom="851" w:left="1134" w:header="709" w:footer="709" w:gutter="0"/>
      <w:pgNumType w:start="3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id="2">
    <w:p>
      <w:pPr>
        <w:pStyle w:val="754"/>
        <w:rPr>
          <w:sz w:val="20"/>
          <w:szCs w:val="20"/>
        </w:rPr>
      </w:pPr>
      <w:r>
        <w:rPr>
          <w:rStyle w:val="752"/>
          <w:rFonts w:ascii="Calibri" w:hAnsi="Calibri"/>
        </w:rPr>
        <w:footnoteRef/>
      </w:r>
      <w:r>
        <w:t xml:space="preserve"> </w:t>
      </w:r>
      <w:r>
        <w:t xml:space="preserve">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</w:t>
      </w:r>
      <w:r>
        <w:t xml:space="preserve">.</w:t>
      </w:r>
      <w:r>
        <w:rPr>
          <w:sz w:val="20"/>
          <w:szCs w:val="20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55286207"/>
      <w:docPartObj>
        <w:docPartGallery w:val="Page Numbers (Top of Page)"/>
        <w:docPartUnique w:val="true"/>
      </w:docPartObj>
      <w:rPr/>
    </w:sdtPr>
    <w:sdtContent>
      <w:p>
        <w:pPr>
          <w:pStyle w:val="740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 xml:space="preserve">2</w:t>
        </w:r>
        <w:r>
          <w:rPr>
            <w:rFonts w:ascii="Times New Roman" w:hAnsi="Times New Roman"/>
          </w:rPr>
          <w:fldChar w:fldCharType="end"/>
        </w:r>
        <w:r>
          <w:rPr>
            <w:rFonts w:ascii="Times New Roman" w:hAnsi="Times New Roman"/>
          </w:rPr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0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56" w:hanging="405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47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419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491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563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35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07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779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851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23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6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/>
      <w:suff w:val="tab"/>
      <w:lvlText w:val="%1.%2."/>
      <w:lvlJc w:val="left"/>
      <w:pPr>
        <w:ind w:left="1425" w:hanging="720"/>
      </w:pPr>
    </w:lvl>
    <w:lvl w:ilvl="2">
      <w:start w:val="1"/>
      <w:numFmt w:val="decimal"/>
      <w:isLgl/>
      <w:suff w:val="tab"/>
      <w:lvlText w:val="%1.%2.%3."/>
      <w:lvlJc w:val="left"/>
      <w:pPr>
        <w:ind w:left="1770" w:hanging="720"/>
      </w:pPr>
    </w:lvl>
    <w:lvl w:ilvl="3">
      <w:start w:val="1"/>
      <w:numFmt w:val="decimal"/>
      <w:isLgl/>
      <w:suff w:val="tab"/>
      <w:lvlText w:val="%1.%2.%3.%4."/>
      <w:lvlJc w:val="left"/>
      <w:pPr>
        <w:ind w:left="2475" w:hanging="1080"/>
      </w:pPr>
    </w:lvl>
    <w:lvl w:ilvl="4">
      <w:start w:val="1"/>
      <w:numFmt w:val="decimal"/>
      <w:isLgl/>
      <w:suff w:val="tab"/>
      <w:lvlText w:val="%1.%2.%3.%4.%5."/>
      <w:lvlJc w:val="left"/>
      <w:pPr>
        <w:ind w:left="2820" w:hanging="1080"/>
      </w:pPr>
    </w:lvl>
    <w:lvl w:ilvl="5">
      <w:start w:val="1"/>
      <w:numFmt w:val="decimal"/>
      <w:isLgl/>
      <w:suff w:val="tab"/>
      <w:lvlText w:val="%1.%2.%3.%4.%5.%6."/>
      <w:lvlJc w:val="left"/>
      <w:pPr>
        <w:ind w:left="3525" w:hanging="1440"/>
      </w:pPr>
    </w:lvl>
    <w:lvl w:ilvl="6">
      <w:start w:val="1"/>
      <w:numFmt w:val="decimal"/>
      <w:isLgl/>
      <w:suff w:val="tab"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suff w:val="tab"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suff w:val="tab"/>
      <w:lvlText w:val="%1.%2.%3.%4.%5.%6.%7.%8.%9."/>
      <w:lvlJc w:val="left"/>
      <w:pPr>
        <w:ind w:left="4920" w:hanging="180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60" w:hanging="6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14"/>
  </w:num>
  <w:num w:numId="5">
    <w:abstractNumId w:val="9"/>
  </w:num>
  <w:num w:numId="6">
    <w:abstractNumId w:val="4"/>
  </w:num>
  <w:num w:numId="7">
    <w:abstractNumId w:val="5"/>
  </w:num>
  <w:num w:numId="8">
    <w:abstractNumId w:val="8"/>
  </w:num>
  <w:num w:numId="9">
    <w:abstractNumId w:val="6"/>
  </w:num>
  <w:num w:numId="10">
    <w:abstractNumId w:val="16"/>
  </w:num>
  <w:num w:numId="11">
    <w:abstractNumId w:val="15"/>
  </w:num>
  <w:num w:numId="12">
    <w:abstractNumId w:val="18"/>
  </w:num>
  <w:num w:numId="13">
    <w:abstractNumId w:val="7"/>
  </w:num>
  <w:num w:numId="14">
    <w:abstractNumId w:val="2"/>
  </w:num>
  <w:num w:numId="15">
    <w:abstractNumId w:val="10"/>
  </w:num>
  <w:num w:numId="16">
    <w:abstractNumId w:val="3"/>
  </w:num>
  <w:num w:numId="17">
    <w:abstractNumId w:val="17"/>
  </w:num>
  <w:num w:numId="18">
    <w:abstractNumId w:val="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33"/>
    <w:next w:val="73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36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36"/>
    <w:link w:val="734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33"/>
    <w:next w:val="73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3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33"/>
    <w:next w:val="73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3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3"/>
    <w:next w:val="73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36"/>
    <w:link w:val="21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36"/>
    <w:link w:val="735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3"/>
    <w:next w:val="73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3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3"/>
    <w:next w:val="73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3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3"/>
    <w:next w:val="73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3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733"/>
    <w:next w:val="73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36"/>
    <w:link w:val="34"/>
    <w:uiPriority w:val="10"/>
    <w:rPr>
      <w:sz w:val="48"/>
      <w:szCs w:val="48"/>
    </w:rPr>
  </w:style>
  <w:style w:type="paragraph" w:styleId="36">
    <w:name w:val="Subtitle"/>
    <w:basedOn w:val="733"/>
    <w:next w:val="73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36"/>
    <w:link w:val="36"/>
    <w:uiPriority w:val="11"/>
    <w:rPr>
      <w:sz w:val="24"/>
      <w:szCs w:val="24"/>
    </w:rPr>
  </w:style>
  <w:style w:type="paragraph" w:styleId="38">
    <w:name w:val="Quote"/>
    <w:basedOn w:val="733"/>
    <w:next w:val="73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3"/>
    <w:next w:val="73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36"/>
    <w:link w:val="740"/>
    <w:uiPriority w:val="99"/>
  </w:style>
  <w:style w:type="character" w:styleId="45">
    <w:name w:val="Footer Char"/>
    <w:basedOn w:val="736"/>
    <w:link w:val="742"/>
    <w:uiPriority w:val="99"/>
  </w:style>
  <w:style w:type="paragraph" w:styleId="46">
    <w:name w:val="Caption"/>
    <w:basedOn w:val="733"/>
    <w:next w:val="733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736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7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54"/>
    <w:uiPriority w:val="99"/>
    <w:rPr>
      <w:sz w:val="18"/>
    </w:rPr>
  </w:style>
  <w:style w:type="paragraph" w:styleId="178">
    <w:name w:val="endnote text"/>
    <w:basedOn w:val="73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36"/>
    <w:uiPriority w:val="99"/>
    <w:semiHidden/>
    <w:unhideWhenUsed/>
    <w:rPr>
      <w:vertAlign w:val="superscript"/>
    </w:rPr>
  </w:style>
  <w:style w:type="paragraph" w:styleId="181">
    <w:name w:val="toc 1"/>
    <w:basedOn w:val="733"/>
    <w:next w:val="73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3"/>
    <w:next w:val="73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33"/>
    <w:next w:val="73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33"/>
    <w:next w:val="73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3"/>
    <w:next w:val="73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3"/>
    <w:next w:val="73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3"/>
    <w:next w:val="73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3"/>
    <w:next w:val="73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3"/>
    <w:next w:val="73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3"/>
    <w:next w:val="733"/>
    <w:uiPriority w:val="99"/>
    <w:unhideWhenUsed/>
    <w:pPr>
      <w:spacing w:after="0" w:afterAutospacing="0"/>
    </w:pPr>
  </w:style>
  <w:style w:type="paragraph" w:styleId="73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34">
    <w:name w:val="Heading 2"/>
    <w:basedOn w:val="733"/>
    <w:link w:val="739"/>
    <w:qFormat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735">
    <w:name w:val="Heading 6"/>
    <w:basedOn w:val="733"/>
    <w:next w:val="733"/>
    <w:link w:val="744"/>
    <w:uiPriority w:val="9"/>
    <w:semiHidden/>
    <w:unhideWhenUsed/>
    <w:qFormat/>
    <w:pPr>
      <w:keepLines/>
      <w:keepNext/>
      <w:spacing w:before="200"/>
      <w:outlineLvl w:val="5"/>
    </w:pPr>
    <w:rPr>
      <w:rFonts w:asciiTheme="majorHAnsi" w:hAnsiTheme="majorHAnsi" w:eastAsiaTheme="majorEastAsia" w:cstheme="majorBidi"/>
      <w:i/>
      <w:iCs/>
      <w:color w:val="1f4d78" w:themeColor="accent1" w:themeShade="7F"/>
    </w:rPr>
  </w:style>
  <w:style w:type="character" w:styleId="736" w:default="1">
    <w:name w:val="Default Paragraph Font"/>
    <w:uiPriority w:val="1"/>
    <w:semiHidden/>
    <w:unhideWhenUsed/>
  </w:style>
  <w:style w:type="table" w:styleId="7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8" w:default="1">
    <w:name w:val="No List"/>
    <w:uiPriority w:val="99"/>
    <w:semiHidden/>
    <w:unhideWhenUsed/>
  </w:style>
  <w:style w:type="character" w:styleId="739" w:customStyle="1">
    <w:name w:val="Заголовок 2 Знак"/>
    <w:basedOn w:val="736"/>
    <w:link w:val="734"/>
    <w:rPr>
      <w:rFonts w:ascii="Arial" w:hAnsi="Arial" w:eastAsia="Times New Roman" w:cs="Arial"/>
      <w:b/>
      <w:bCs/>
      <w:iCs/>
      <w:sz w:val="30"/>
      <w:szCs w:val="28"/>
      <w:lang w:eastAsia="ru-RU"/>
    </w:rPr>
  </w:style>
  <w:style w:type="paragraph" w:styleId="740">
    <w:name w:val="Header"/>
    <w:basedOn w:val="733"/>
    <w:link w:val="741"/>
    <w:uiPriority w:val="99"/>
    <w:unhideWhenUsed/>
    <w:pPr>
      <w:ind w:firstLine="567"/>
      <w:jc w:val="both"/>
      <w:tabs>
        <w:tab w:val="center" w:pos="4677" w:leader="none"/>
        <w:tab w:val="right" w:pos="9355" w:leader="none"/>
      </w:tabs>
    </w:pPr>
    <w:rPr>
      <w:rFonts w:ascii="Arial" w:hAnsi="Arial"/>
    </w:rPr>
  </w:style>
  <w:style w:type="character" w:styleId="741" w:customStyle="1">
    <w:name w:val="Верхний колонтитул Знак"/>
    <w:basedOn w:val="736"/>
    <w:link w:val="740"/>
    <w:uiPriority w:val="99"/>
    <w:rPr>
      <w:rFonts w:ascii="Arial" w:hAnsi="Arial" w:eastAsia="Times New Roman" w:cs="Times New Roman"/>
      <w:sz w:val="24"/>
      <w:szCs w:val="24"/>
      <w:lang w:eastAsia="ru-RU"/>
    </w:rPr>
  </w:style>
  <w:style w:type="paragraph" w:styleId="742">
    <w:name w:val="Footer"/>
    <w:basedOn w:val="733"/>
    <w:link w:val="743"/>
    <w:uiPriority w:val="99"/>
    <w:unhideWhenUsed/>
    <w:pPr>
      <w:ind w:firstLine="567"/>
      <w:jc w:val="both"/>
      <w:tabs>
        <w:tab w:val="center" w:pos="4677" w:leader="none"/>
        <w:tab w:val="right" w:pos="9355" w:leader="none"/>
      </w:tabs>
    </w:pPr>
    <w:rPr>
      <w:rFonts w:ascii="Arial" w:hAnsi="Arial"/>
    </w:rPr>
  </w:style>
  <w:style w:type="character" w:styleId="743" w:customStyle="1">
    <w:name w:val="Нижний колонтитул Знак"/>
    <w:basedOn w:val="736"/>
    <w:link w:val="742"/>
    <w:uiPriority w:val="99"/>
    <w:rPr>
      <w:rFonts w:ascii="Arial" w:hAnsi="Arial" w:eastAsia="Times New Roman" w:cs="Times New Roman"/>
      <w:sz w:val="24"/>
      <w:szCs w:val="24"/>
      <w:lang w:eastAsia="ru-RU"/>
    </w:rPr>
  </w:style>
  <w:style w:type="character" w:styleId="744" w:customStyle="1">
    <w:name w:val="Заголовок 6 Знак"/>
    <w:basedOn w:val="736"/>
    <w:link w:val="735"/>
    <w:uiPriority w:val="9"/>
    <w:semiHidden/>
    <w:rPr>
      <w:rFonts w:asciiTheme="majorHAnsi" w:hAnsiTheme="majorHAnsi" w:eastAsiaTheme="majorEastAsia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45">
    <w:name w:val="Balloon Text"/>
    <w:basedOn w:val="733"/>
    <w:link w:val="746"/>
    <w:uiPriority w:val="99"/>
    <w:semiHidden/>
    <w:unhideWhenUsed/>
    <w:rPr>
      <w:rFonts w:ascii="Tahoma" w:hAnsi="Tahoma" w:cs="Tahoma"/>
      <w:sz w:val="16"/>
      <w:szCs w:val="16"/>
    </w:rPr>
  </w:style>
  <w:style w:type="character" w:styleId="746" w:customStyle="1">
    <w:name w:val="Текст выноски Знак"/>
    <w:basedOn w:val="736"/>
    <w:link w:val="74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747" w:customStyle="1">
    <w:name w:val="ConsPlusNormal"/>
    <w:qFormat/>
    <w:pPr>
      <w:ind w:firstLine="72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paragraph" w:styleId="748">
    <w:name w:val="List Paragraph"/>
    <w:basedOn w:val="733"/>
    <w:uiPriority w:val="34"/>
    <w:qFormat/>
    <w:pPr>
      <w:contextualSpacing/>
      <w:ind w:left="720"/>
    </w:pPr>
  </w:style>
  <w:style w:type="character" w:styleId="749">
    <w:name w:val="Placeholder Text"/>
    <w:basedOn w:val="736"/>
    <w:uiPriority w:val="99"/>
    <w:semiHidden/>
    <w:rPr>
      <w:color w:val="808080"/>
    </w:rPr>
  </w:style>
  <w:style w:type="character" w:styleId="750">
    <w:name w:val="Hyperlink"/>
    <w:uiPriority w:val="99"/>
    <w:semiHidden/>
    <w:unhideWhenUsed/>
    <w:rPr>
      <w:color w:val="0563c1"/>
      <w:u w:val="single"/>
    </w:rPr>
  </w:style>
  <w:style w:type="paragraph" w:styleId="751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character" w:styleId="752">
    <w:name w:val="footnote reference"/>
    <w:uiPriority w:val="99"/>
    <w:semiHidden/>
    <w:unhideWhenUsed/>
    <w:rPr>
      <w:rFonts w:hint="default" w:ascii="Times New Roman" w:hAnsi="Times New Roman" w:cs="Times New Roman"/>
      <w:vertAlign w:val="superscript"/>
    </w:rPr>
  </w:style>
  <w:style w:type="character" w:styleId="753" w:customStyle="1">
    <w:name w:val="Текст сноски Знак"/>
    <w:basedOn w:val="736"/>
    <w:link w:val="754"/>
    <w:uiPriority w:val="99"/>
    <w:semiHidden/>
    <w:rPr>
      <w:rFonts w:ascii="Times New Roman" w:hAnsi="Times New Roman" w:eastAsia="Times New Roman" w:cs="Times New Roman"/>
    </w:rPr>
  </w:style>
  <w:style w:type="paragraph" w:styleId="754">
    <w:name w:val="footnote text"/>
    <w:basedOn w:val="733"/>
    <w:link w:val="753"/>
    <w:uiPriority w:val="99"/>
    <w:semiHidden/>
    <w:unhideWhenUsed/>
    <w:qFormat/>
    <w:rPr>
      <w:sz w:val="22"/>
      <w:szCs w:val="22"/>
      <w:lang w:eastAsia="en-US"/>
    </w:rPr>
  </w:style>
  <w:style w:type="character" w:styleId="755" w:customStyle="1">
    <w:name w:val="Текст сноски Знак1"/>
    <w:basedOn w:val="736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bolshakovaon</cp:lastModifiedBy>
  <cp:revision>11</cp:revision>
  <dcterms:created xsi:type="dcterms:W3CDTF">2024-11-26T13:02:00Z</dcterms:created>
  <dcterms:modified xsi:type="dcterms:W3CDTF">2025-04-07T06:57:19Z</dcterms:modified>
</cp:coreProperties>
</file>