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6" w:type="pct"/>
        <w:tblLook w:val="04A0" w:firstRow="1" w:lastRow="0" w:firstColumn="1" w:lastColumn="0" w:noHBand="0" w:noVBand="1"/>
      </w:tblPr>
      <w:tblGrid>
        <w:gridCol w:w="3619"/>
        <w:gridCol w:w="551"/>
        <w:gridCol w:w="440"/>
        <w:gridCol w:w="440"/>
        <w:gridCol w:w="440"/>
        <w:gridCol w:w="440"/>
        <w:gridCol w:w="440"/>
        <w:gridCol w:w="663"/>
        <w:gridCol w:w="551"/>
        <w:gridCol w:w="1505"/>
        <w:gridCol w:w="1617"/>
      </w:tblGrid>
      <w:tr w:rsidR="004B5FA2" w:rsidTr="004B5FA2">
        <w:tc>
          <w:tcPr>
            <w:tcW w:w="1629" w:type="pct"/>
            <w:noWrap/>
            <w:vAlign w:val="bottom"/>
            <w:hideMark/>
          </w:tcPr>
          <w:p w:rsidR="004B5FA2" w:rsidRDefault="004B5FA2"/>
        </w:tc>
        <w:tc>
          <w:tcPr>
            <w:tcW w:w="256" w:type="pct"/>
            <w:noWrap/>
            <w:vAlign w:val="bottom"/>
            <w:hideMark/>
          </w:tcPr>
          <w:p w:rsidR="004B5FA2" w:rsidRDefault="004B5FA2"/>
        </w:tc>
        <w:tc>
          <w:tcPr>
            <w:tcW w:w="206" w:type="pct"/>
            <w:noWrap/>
            <w:vAlign w:val="bottom"/>
            <w:hideMark/>
          </w:tcPr>
          <w:p w:rsidR="004B5FA2" w:rsidRDefault="004B5FA2"/>
        </w:tc>
        <w:tc>
          <w:tcPr>
            <w:tcW w:w="206" w:type="pct"/>
            <w:noWrap/>
            <w:vAlign w:val="bottom"/>
            <w:hideMark/>
          </w:tcPr>
          <w:p w:rsidR="004B5FA2" w:rsidRDefault="004B5FA2"/>
        </w:tc>
        <w:tc>
          <w:tcPr>
            <w:tcW w:w="206" w:type="pct"/>
            <w:noWrap/>
            <w:vAlign w:val="bottom"/>
            <w:hideMark/>
          </w:tcPr>
          <w:p w:rsidR="004B5FA2" w:rsidRDefault="004B5FA2"/>
        </w:tc>
        <w:tc>
          <w:tcPr>
            <w:tcW w:w="206" w:type="pct"/>
            <w:noWrap/>
            <w:vAlign w:val="bottom"/>
            <w:hideMark/>
          </w:tcPr>
          <w:p w:rsidR="004B5FA2" w:rsidRDefault="004B5FA2"/>
        </w:tc>
        <w:tc>
          <w:tcPr>
            <w:tcW w:w="206" w:type="pct"/>
            <w:noWrap/>
            <w:vAlign w:val="bottom"/>
            <w:hideMark/>
          </w:tcPr>
          <w:p w:rsidR="004B5FA2" w:rsidRDefault="004B5FA2"/>
        </w:tc>
        <w:tc>
          <w:tcPr>
            <w:tcW w:w="306" w:type="pct"/>
            <w:noWrap/>
            <w:vAlign w:val="bottom"/>
            <w:hideMark/>
          </w:tcPr>
          <w:p w:rsidR="004B5FA2" w:rsidRDefault="004B5FA2"/>
        </w:tc>
        <w:tc>
          <w:tcPr>
            <w:tcW w:w="256" w:type="pct"/>
            <w:noWrap/>
            <w:vAlign w:val="bottom"/>
            <w:hideMark/>
          </w:tcPr>
          <w:p w:rsidR="004B5FA2" w:rsidRDefault="004B5FA2"/>
        </w:tc>
        <w:tc>
          <w:tcPr>
            <w:tcW w:w="683" w:type="pct"/>
            <w:noWrap/>
            <w:vAlign w:val="bottom"/>
            <w:hideMark/>
          </w:tcPr>
          <w:p w:rsidR="004B5FA2" w:rsidRDefault="004B5FA2"/>
        </w:tc>
        <w:tc>
          <w:tcPr>
            <w:tcW w:w="837" w:type="pct"/>
            <w:noWrap/>
            <w:vAlign w:val="bottom"/>
            <w:hideMark/>
          </w:tcPr>
          <w:p w:rsidR="004B5FA2" w:rsidRDefault="004B5FA2"/>
        </w:tc>
      </w:tr>
      <w:tr w:rsidR="004B5FA2" w:rsidTr="004B5FA2">
        <w:tc>
          <w:tcPr>
            <w:tcW w:w="5000" w:type="pct"/>
            <w:gridSpan w:val="11"/>
            <w:noWrap/>
            <w:vAlign w:val="center"/>
            <w:hideMark/>
          </w:tcPr>
          <w:p w:rsidR="004B5FA2" w:rsidRDefault="004B5FA2">
            <w:pPr>
              <w:jc w:val="right"/>
              <w:rPr>
                <w:sz w:val="24"/>
                <w:szCs w:val="24"/>
              </w:rPr>
            </w:pPr>
            <w:r>
              <w:t>Приложение</w:t>
            </w:r>
            <w:r w:rsidR="00B32E4E">
              <w:t xml:space="preserve"> 10.1</w:t>
            </w:r>
            <w:bookmarkStart w:id="0" w:name="_GoBack"/>
            <w:bookmarkEnd w:id="0"/>
            <w:r>
              <w:t xml:space="preserve"> </w:t>
            </w:r>
          </w:p>
        </w:tc>
      </w:tr>
      <w:tr w:rsidR="004B5FA2" w:rsidTr="004B5FA2">
        <w:tc>
          <w:tcPr>
            <w:tcW w:w="5000" w:type="pct"/>
            <w:gridSpan w:val="11"/>
            <w:vAlign w:val="center"/>
            <w:hideMark/>
          </w:tcPr>
          <w:p w:rsidR="004B5FA2" w:rsidRDefault="004B5FA2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</w:tr>
      <w:tr w:rsidR="004B5FA2" w:rsidTr="004B5FA2">
        <w:tc>
          <w:tcPr>
            <w:tcW w:w="5000" w:type="pct"/>
            <w:gridSpan w:val="11"/>
            <w:noWrap/>
            <w:vAlign w:val="center"/>
            <w:hideMark/>
          </w:tcPr>
          <w:p w:rsidR="004B5FA2" w:rsidRDefault="004B5FA2">
            <w:pPr>
              <w:jc w:val="right"/>
              <w:rPr>
                <w:sz w:val="24"/>
                <w:szCs w:val="24"/>
              </w:rPr>
            </w:pPr>
            <w:r>
              <w:t>от _________№_____</w:t>
            </w:r>
          </w:p>
        </w:tc>
      </w:tr>
      <w:tr w:rsidR="004B5FA2" w:rsidTr="004B5FA2">
        <w:tc>
          <w:tcPr>
            <w:tcW w:w="1629" w:type="pct"/>
            <w:noWrap/>
            <w:vAlign w:val="center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5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3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5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683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837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</w:tr>
      <w:tr w:rsidR="004B5FA2" w:rsidTr="004B5FA2">
        <w:tc>
          <w:tcPr>
            <w:tcW w:w="1629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5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3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5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683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837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</w:tr>
      <w:tr w:rsidR="004B5FA2" w:rsidTr="004B5FA2">
        <w:tc>
          <w:tcPr>
            <w:tcW w:w="5000" w:type="pct"/>
            <w:gridSpan w:val="11"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2016-2017 год</w:t>
            </w:r>
          </w:p>
        </w:tc>
      </w:tr>
      <w:tr w:rsidR="004B5FA2" w:rsidTr="004B5FA2">
        <w:tc>
          <w:tcPr>
            <w:tcW w:w="1629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5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30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256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683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  <w:tc>
          <w:tcPr>
            <w:tcW w:w="837" w:type="pct"/>
            <w:noWrap/>
            <w:vAlign w:val="bottom"/>
            <w:hideMark/>
          </w:tcPr>
          <w:p w:rsidR="004B5FA2" w:rsidRDefault="004B5FA2">
            <w:pPr>
              <w:spacing w:after="0"/>
            </w:pP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85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2016 год       Сумма,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2017 год    Сумма,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4B5FA2" w:rsidTr="004B5FA2">
        <w:tc>
          <w:tcPr>
            <w:tcW w:w="1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850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97 510,45911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100 161,58311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Неуказанная ведомственная статья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97 510,45911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100 161,58311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97 510,45911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100 161,58311</w:t>
            </w:r>
          </w:p>
        </w:tc>
      </w:tr>
      <w:tr w:rsidR="004B5FA2" w:rsidTr="004B5FA2">
        <w:tc>
          <w:tcPr>
            <w:tcW w:w="16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3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710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97 510,45911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100 161,58311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-97 510,45911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-100 161,58311</w:t>
            </w:r>
          </w:p>
        </w:tc>
      </w:tr>
      <w:tr w:rsidR="004B5FA2" w:rsidTr="004B5FA2">
        <w:tc>
          <w:tcPr>
            <w:tcW w:w="16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3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-97 510,45911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-100 161,58311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97 510,45911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100 161,58311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Увеличение остатков средств бюджетов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4B5FA2" w:rsidTr="004B5FA2">
        <w:tc>
          <w:tcPr>
            <w:tcW w:w="16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3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97 510,45911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100 161,58311</w:t>
            </w:r>
          </w:p>
        </w:tc>
      </w:tr>
      <w:tr w:rsidR="004B5FA2" w:rsidTr="004B5FA2">
        <w:tc>
          <w:tcPr>
            <w:tcW w:w="16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3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97 510,45911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100 161,58311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4B5FA2" w:rsidTr="004B5FA2">
        <w:tc>
          <w:tcPr>
            <w:tcW w:w="16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306" w:type="pct"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4B5FA2" w:rsidTr="004B5FA2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4B5FA2" w:rsidTr="004B5FA2">
        <w:tc>
          <w:tcPr>
            <w:tcW w:w="1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4B5FA2" w:rsidTr="004B5FA2">
        <w:tc>
          <w:tcPr>
            <w:tcW w:w="1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ВСЕГО  источников финансирования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FA2" w:rsidRDefault="004B5FA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97 510,45911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FA2" w:rsidRDefault="004B5FA2">
            <w:pPr>
              <w:jc w:val="center"/>
              <w:rPr>
                <w:sz w:val="24"/>
                <w:szCs w:val="24"/>
              </w:rPr>
            </w:pPr>
            <w:r>
              <w:t>100 161,58311</w:t>
            </w:r>
          </w:p>
        </w:tc>
      </w:tr>
    </w:tbl>
    <w:p w:rsidR="004B5FA2" w:rsidRDefault="004B5FA2" w:rsidP="004B5FA2"/>
    <w:p w:rsidR="00BD497E" w:rsidRPr="004B5FA2" w:rsidRDefault="00BD497E" w:rsidP="004B5FA2"/>
    <w:sectPr w:rsidR="00BD497E" w:rsidRPr="004B5FA2" w:rsidSect="004B5F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A2"/>
    <w:rsid w:val="004B5FA2"/>
    <w:rsid w:val="00B32E4E"/>
    <w:rsid w:val="00B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2015-04-15T03:37:00Z</dcterms:created>
  <dcterms:modified xsi:type="dcterms:W3CDTF">2015-04-16T03:30:00Z</dcterms:modified>
</cp:coreProperties>
</file>