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668" w:rsidRPr="00FF4DCE" w:rsidRDefault="00322668" w:rsidP="0032266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F4DCE">
        <w:rPr>
          <w:sz w:val="26"/>
          <w:szCs w:val="26"/>
        </w:rPr>
        <w:t>Паспорт</w:t>
      </w:r>
    </w:p>
    <w:p w:rsidR="00322668" w:rsidRPr="00FF4DCE" w:rsidRDefault="00322668" w:rsidP="0032266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F4DCE">
        <w:rPr>
          <w:sz w:val="26"/>
          <w:szCs w:val="26"/>
        </w:rPr>
        <w:t>муниципальной программы Нефтеюганского района</w:t>
      </w:r>
    </w:p>
    <w:p w:rsidR="00322668" w:rsidRPr="009B6164" w:rsidRDefault="00322668" w:rsidP="00322668">
      <w:pPr>
        <w:autoSpaceDE w:val="0"/>
        <w:autoSpaceDN w:val="0"/>
        <w:adjustRightInd w:val="0"/>
        <w:jc w:val="right"/>
        <w:rPr>
          <w:sz w:val="18"/>
          <w:szCs w:val="24"/>
        </w:rPr>
      </w:pP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3"/>
        <w:gridCol w:w="7198"/>
      </w:tblGrid>
      <w:tr w:rsidR="00322668" w:rsidRPr="00FF4DCE" w:rsidTr="00222ED1">
        <w:trPr>
          <w:trHeight w:val="841"/>
        </w:trPr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371" w:type="dxa"/>
          </w:tcPr>
          <w:p w:rsidR="00322668" w:rsidRPr="00712096" w:rsidRDefault="00322668" w:rsidP="00222ED1">
            <w:pPr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«Профилактика экстремизма, гармонизация межэтнических </w:t>
            </w:r>
            <w:r w:rsidRPr="00712096">
              <w:rPr>
                <w:sz w:val="26"/>
                <w:szCs w:val="26"/>
              </w:rPr>
              <w:br/>
              <w:t xml:space="preserve">и межкультурных отношений в Нефтеюганском районе </w:t>
            </w:r>
            <w:r w:rsidRPr="00712096">
              <w:rPr>
                <w:sz w:val="26"/>
                <w:szCs w:val="26"/>
              </w:rPr>
              <w:br/>
              <w:t>на 2019-202</w:t>
            </w:r>
            <w:r>
              <w:rPr>
                <w:sz w:val="26"/>
                <w:szCs w:val="26"/>
              </w:rPr>
              <w:t>4</w:t>
            </w:r>
            <w:r w:rsidRPr="00712096">
              <w:rPr>
                <w:sz w:val="26"/>
                <w:szCs w:val="26"/>
              </w:rPr>
              <w:t xml:space="preserve"> годы и на период до 2030 года».</w:t>
            </w:r>
          </w:p>
        </w:tc>
      </w:tr>
      <w:tr w:rsidR="00322668" w:rsidRPr="00FF4DCE" w:rsidTr="00222ED1"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</w:t>
            </w:r>
          </w:p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программы  </w:t>
            </w:r>
            <w:r w:rsidRPr="002B704A">
              <w:rPr>
                <w:rFonts w:ascii="Times New Roman" w:hAnsi="Times New Roman" w:cs="Times New Roman"/>
                <w:sz w:val="26"/>
                <w:szCs w:val="26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371" w:type="dxa"/>
          </w:tcPr>
          <w:p w:rsidR="00322668" w:rsidRPr="00FF4DCE" w:rsidRDefault="00322668" w:rsidP="00222ED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075B9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Нефтеюганского района </w:t>
            </w:r>
            <w:r w:rsidRPr="00E075B9">
              <w:rPr>
                <w:rFonts w:ascii="Times New Roman" w:hAnsi="Times New Roman" w:cs="Times New Roman"/>
                <w:sz w:val="26"/>
                <w:szCs w:val="26"/>
              </w:rPr>
              <w:br/>
              <w:t>от 31.10.2016 № 1787-па-нпа</w:t>
            </w:r>
          </w:p>
        </w:tc>
      </w:tr>
      <w:tr w:rsidR="00322668" w:rsidRPr="00FF4DCE" w:rsidTr="00222ED1">
        <w:tc>
          <w:tcPr>
            <w:tcW w:w="2376" w:type="dxa"/>
          </w:tcPr>
          <w:p w:rsidR="00322668" w:rsidRPr="00FF4DCE" w:rsidRDefault="00322668" w:rsidP="00222E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F4DCE">
              <w:rPr>
                <w:sz w:val="26"/>
                <w:szCs w:val="26"/>
              </w:rPr>
              <w:t xml:space="preserve">Ответственный исполнитель </w:t>
            </w:r>
          </w:p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муниципальной  программы</w:t>
            </w:r>
          </w:p>
        </w:tc>
        <w:tc>
          <w:tcPr>
            <w:tcW w:w="7371" w:type="dxa"/>
          </w:tcPr>
          <w:p w:rsidR="00322668" w:rsidRPr="00FF4DCE" w:rsidRDefault="00322668" w:rsidP="00222ED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Нефтеюганского района (управление </w:t>
            </w:r>
            <w:r w:rsidRPr="00FF4DCE">
              <w:rPr>
                <w:rFonts w:ascii="Times New Roman" w:hAnsi="Times New Roman" w:cs="Times New Roman"/>
                <w:sz w:val="26"/>
                <w:szCs w:val="26"/>
              </w:rPr>
              <w:br/>
              <w:t>по связям с общественностью).</w:t>
            </w:r>
          </w:p>
        </w:tc>
      </w:tr>
      <w:tr w:rsidR="00322668" w:rsidRPr="00FF4DCE" w:rsidTr="00222ED1">
        <w:tc>
          <w:tcPr>
            <w:tcW w:w="2376" w:type="dxa"/>
          </w:tcPr>
          <w:p w:rsidR="00322668" w:rsidRPr="00FF4DCE" w:rsidRDefault="00322668" w:rsidP="00222E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F4DCE">
              <w:rPr>
                <w:sz w:val="26"/>
                <w:szCs w:val="26"/>
              </w:rPr>
              <w:t xml:space="preserve">Соисполнители </w:t>
            </w:r>
          </w:p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муниципальной  программы</w:t>
            </w:r>
          </w:p>
        </w:tc>
        <w:tc>
          <w:tcPr>
            <w:tcW w:w="7371" w:type="dxa"/>
          </w:tcPr>
          <w:p w:rsidR="00322668" w:rsidRPr="00FF4DCE" w:rsidRDefault="00322668" w:rsidP="00322668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 Нефтеюганского района.</w:t>
            </w:r>
          </w:p>
          <w:p w:rsidR="00322668" w:rsidRPr="0014672E" w:rsidRDefault="00322668" w:rsidP="00322668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4672E">
              <w:rPr>
                <w:rFonts w:ascii="Times New Roman" w:hAnsi="Times New Roman" w:cs="Times New Roman"/>
                <w:sz w:val="26"/>
                <w:szCs w:val="26"/>
              </w:rPr>
              <w:t>Департамент культуры и спорта Нефтеюганского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r w:rsidRPr="0014672E">
              <w:rPr>
                <w:rFonts w:ascii="Times New Roman" w:hAnsi="Times New Roman" w:cs="Times New Roman"/>
                <w:sz w:val="26"/>
                <w:szCs w:val="26"/>
              </w:rPr>
              <w:t>МКУ «Управление по обеспечению деятельности учреждений культуры и спорта».</w:t>
            </w:r>
          </w:p>
          <w:p w:rsidR="00322668" w:rsidRPr="0014672E" w:rsidRDefault="00322668" w:rsidP="00322668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Нефтеюганского района /</w:t>
            </w:r>
            <w:r w:rsidRPr="0014672E">
              <w:rPr>
                <w:rFonts w:ascii="Times New Roman" w:hAnsi="Times New Roman" w:cs="Times New Roman"/>
                <w:sz w:val="26"/>
                <w:szCs w:val="26"/>
              </w:rPr>
              <w:t>МКУ «Управление по делам администрации Нефтеюганского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22668" w:rsidRPr="00FF4DCE" w:rsidTr="00222ED1">
        <w:trPr>
          <w:trHeight w:val="870"/>
        </w:trPr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371" w:type="dxa"/>
          </w:tcPr>
          <w:p w:rsidR="00322668" w:rsidRPr="00322668" w:rsidRDefault="00322668" w:rsidP="00222ED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Укрепление единства народов Российской Федерации, проживающих на территории Нефтеюганского района, профилактика экстремизма в Нефтеюганском районе</w:t>
            </w:r>
          </w:p>
        </w:tc>
      </w:tr>
      <w:tr w:rsidR="00322668" w:rsidRPr="00FF4DCE" w:rsidTr="00222ED1">
        <w:trPr>
          <w:trHeight w:val="983"/>
        </w:trPr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1" w:type="dxa"/>
          </w:tcPr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4"/>
                <w:tab w:val="left" w:pos="318"/>
              </w:tabs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4"/>
                <w:tab w:val="left" w:pos="318"/>
              </w:tabs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Содействие социальной и культурной адаптации мигрантов.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4"/>
                <w:tab w:val="left" w:pos="318"/>
              </w:tabs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4"/>
                <w:tab w:val="left" w:pos="318"/>
              </w:tabs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4"/>
                <w:tab w:val="left" w:pos="318"/>
              </w:tabs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Гармонизация межэтнических и межконфессиональных отношений, сведение к минимуму условий для проявлений экстремизма на территории муниципального образования, развитие системы мер профилактики и предупреждения межэтнических, межконфессиональных конфликтов.</w:t>
            </w:r>
          </w:p>
        </w:tc>
      </w:tr>
      <w:tr w:rsidR="00322668" w:rsidRPr="00FF4DCE" w:rsidTr="00222ED1">
        <w:trPr>
          <w:trHeight w:val="333"/>
        </w:trPr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371" w:type="dxa"/>
          </w:tcPr>
          <w:p w:rsidR="00322668" w:rsidRPr="00322668" w:rsidRDefault="00322668" w:rsidP="00222ED1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Pr="003226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 Укрепление межнационального и межконфессионального согласия, поддержка и развитие </w:t>
            </w:r>
            <w:r w:rsidRPr="003226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конфликтов.</w:t>
            </w:r>
          </w:p>
          <w:p w:rsidR="00322668" w:rsidRPr="00322668" w:rsidRDefault="00322668" w:rsidP="00222ED1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Pr="003226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 Участие в профилактике экстремизма, а также в минимизации и (или) ликвидации последствий проявлений экстремизма.</w:t>
            </w:r>
          </w:p>
        </w:tc>
      </w:tr>
      <w:tr w:rsidR="00322668" w:rsidRPr="00FF4DCE" w:rsidTr="00222ED1">
        <w:trPr>
          <w:trHeight w:val="333"/>
        </w:trPr>
        <w:tc>
          <w:tcPr>
            <w:tcW w:w="2376" w:type="dxa"/>
          </w:tcPr>
          <w:p w:rsidR="00322668" w:rsidRPr="00712096" w:rsidRDefault="00322668" w:rsidP="00222ED1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lastRenderedPageBreak/>
              <w:t>Наименование портфеля проектов, проекта</w:t>
            </w:r>
          </w:p>
        </w:tc>
        <w:tc>
          <w:tcPr>
            <w:tcW w:w="7371" w:type="dxa"/>
          </w:tcPr>
          <w:p w:rsidR="00322668" w:rsidRPr="00322668" w:rsidRDefault="00322668" w:rsidP="00222ED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668" w:rsidRPr="00FF4DCE" w:rsidTr="00222ED1">
        <w:trPr>
          <w:trHeight w:val="699"/>
        </w:trPr>
        <w:tc>
          <w:tcPr>
            <w:tcW w:w="2376" w:type="dxa"/>
          </w:tcPr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 xml:space="preserve">Целевые показатели муниципальной </w:t>
            </w:r>
          </w:p>
          <w:p w:rsidR="00322668" w:rsidRPr="00FF4DCE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/>
                <w:sz w:val="26"/>
                <w:szCs w:val="26"/>
              </w:rPr>
              <w:t xml:space="preserve">Доля граждан, положительно оценивающих состояние межнациональных отношений в Нефтеюганском районе, </w:t>
            </w:r>
            <w:r w:rsidRPr="00322668">
              <w:rPr>
                <w:rFonts w:ascii="Times New Roman" w:hAnsi="Times New Roman"/>
                <w:sz w:val="26"/>
                <w:szCs w:val="26"/>
              </w:rPr>
              <w:br/>
              <w:t>в общем количестве граждан с 79,8% до 82%.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>Численность участников мероприятий, направленных на этнокультурное развитие народов России, проживающих в Нефтеюг</w:t>
            </w:r>
            <w:r w:rsidR="00500081">
              <w:rPr>
                <w:rFonts w:ascii="Times New Roman" w:hAnsi="Times New Roman" w:cs="Times New Roman"/>
                <w:sz w:val="26"/>
                <w:szCs w:val="26"/>
              </w:rPr>
              <w:t xml:space="preserve">анском районе с 2000 человек </w:t>
            </w: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до 5000 человек. </w:t>
            </w:r>
          </w:p>
          <w:p w:rsidR="00322668" w:rsidRPr="00322668" w:rsidRDefault="00322668" w:rsidP="00322668">
            <w:pPr>
              <w:pStyle w:val="ConsPlusCell"/>
              <w:widowControl/>
              <w:numPr>
                <w:ilvl w:val="0"/>
                <w:numId w:val="3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66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участников мероприятий, направленных </w:t>
            </w:r>
            <w:r w:rsidRPr="00322668">
              <w:rPr>
                <w:rFonts w:ascii="Times New Roman" w:hAnsi="Times New Roman" w:cs="Times New Roman"/>
                <w:sz w:val="26"/>
                <w:szCs w:val="26"/>
              </w:rPr>
              <w:br/>
              <w:t>на укрепление общероссийского гражданского единства с 5000 человек  до 7000 человек.</w:t>
            </w:r>
          </w:p>
        </w:tc>
      </w:tr>
      <w:tr w:rsidR="00322668" w:rsidRPr="00FF4DCE" w:rsidTr="00222ED1">
        <w:tc>
          <w:tcPr>
            <w:tcW w:w="2376" w:type="dxa"/>
          </w:tcPr>
          <w:p w:rsidR="00322668" w:rsidRPr="00FF4DCE" w:rsidRDefault="00322668" w:rsidP="00222ED1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FF4DCE">
              <w:rPr>
                <w:sz w:val="26"/>
                <w:szCs w:val="26"/>
              </w:rPr>
              <w:t xml:space="preserve">Сроки реализации </w:t>
            </w:r>
          </w:p>
          <w:p w:rsidR="00322668" w:rsidRPr="00FF4DCE" w:rsidRDefault="00322668" w:rsidP="00222ED1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4DCE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71" w:type="dxa"/>
            <w:vAlign w:val="center"/>
          </w:tcPr>
          <w:p w:rsidR="00322668" w:rsidRPr="00712096" w:rsidRDefault="00322668" w:rsidP="00222ED1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 xml:space="preserve"> годы и на период до 2030 года </w:t>
            </w:r>
          </w:p>
        </w:tc>
      </w:tr>
      <w:tr w:rsidR="00322668" w:rsidRPr="00FF4DCE" w:rsidTr="00222ED1">
        <w:trPr>
          <w:trHeight w:val="70"/>
        </w:trPr>
        <w:tc>
          <w:tcPr>
            <w:tcW w:w="2376" w:type="dxa"/>
          </w:tcPr>
          <w:p w:rsidR="00322668" w:rsidRPr="00712096" w:rsidRDefault="00322668" w:rsidP="00222E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Финансовое обеспечение</w:t>
            </w:r>
          </w:p>
          <w:p w:rsidR="00322668" w:rsidRPr="00712096" w:rsidRDefault="00322668" w:rsidP="00222ED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71" w:type="dxa"/>
          </w:tcPr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  <w:r w:rsidRPr="00712096">
              <w:rPr>
                <w:b/>
                <w:sz w:val="26"/>
                <w:szCs w:val="26"/>
              </w:rPr>
              <w:br/>
            </w:r>
            <w:r>
              <w:rPr>
                <w:b/>
                <w:sz w:val="26"/>
                <w:szCs w:val="26"/>
              </w:rPr>
              <w:t>27148,</w:t>
            </w:r>
            <w:r w:rsidRPr="00712096">
              <w:rPr>
                <w:b/>
                <w:sz w:val="26"/>
                <w:szCs w:val="26"/>
              </w:rPr>
              <w:t>00 тыс. рублей, в том числе:</w:t>
            </w:r>
          </w:p>
          <w:p w:rsidR="00322668" w:rsidRPr="00712096" w:rsidRDefault="00322668" w:rsidP="00222ED1">
            <w:pPr>
              <w:pStyle w:val="ConsPlusCell"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2019 год –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2020 год – 2</w:t>
            </w:r>
            <w:r>
              <w:rPr>
                <w:sz w:val="26"/>
                <w:szCs w:val="26"/>
              </w:rPr>
              <w:t>41</w:t>
            </w:r>
            <w:r w:rsidRPr="00712096">
              <w:rPr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2</w:t>
            </w:r>
            <w:r>
              <w:rPr>
                <w:sz w:val="26"/>
                <w:szCs w:val="26"/>
              </w:rPr>
              <w:t>36</w:t>
            </w:r>
            <w:r w:rsidRPr="00712096">
              <w:rPr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2</w:t>
            </w:r>
            <w:r>
              <w:rPr>
                <w:sz w:val="26"/>
                <w:szCs w:val="26"/>
              </w:rPr>
              <w:t>21</w:t>
            </w:r>
            <w:r w:rsidRPr="00712096">
              <w:rPr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2</w:t>
            </w:r>
            <w:r>
              <w:rPr>
                <w:sz w:val="26"/>
                <w:szCs w:val="26"/>
              </w:rPr>
              <w:t>21</w:t>
            </w:r>
            <w:r w:rsidRPr="00712096">
              <w:rPr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2</w:t>
            </w:r>
            <w:r>
              <w:rPr>
                <w:sz w:val="26"/>
                <w:szCs w:val="26"/>
              </w:rPr>
              <w:t>21</w:t>
            </w:r>
            <w:r w:rsidRPr="00712096">
              <w:rPr>
                <w:sz w:val="26"/>
                <w:szCs w:val="26"/>
              </w:rPr>
              <w:t>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1B2DA3">
              <w:rPr>
                <w:sz w:val="26"/>
                <w:szCs w:val="26"/>
              </w:rPr>
              <w:t>2025 – 2030 годы – 1</w:t>
            </w:r>
            <w:r>
              <w:rPr>
                <w:sz w:val="26"/>
                <w:szCs w:val="26"/>
              </w:rPr>
              <w:t>3284</w:t>
            </w:r>
            <w:r w:rsidRPr="001B2DA3">
              <w:rPr>
                <w:sz w:val="26"/>
                <w:szCs w:val="26"/>
              </w:rPr>
              <w:t>,00 тыс. рублей.</w:t>
            </w:r>
          </w:p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t xml:space="preserve">Федеральный бюджет – 0,00 тыс. рублей, в том числе: 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2020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12096">
              <w:rPr>
                <w:sz w:val="26"/>
                <w:szCs w:val="26"/>
              </w:rPr>
              <w:t xml:space="preserve"> – 2030 годы – 0,00 тыс. рублей.</w:t>
            </w:r>
          </w:p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t xml:space="preserve">Бюджет автономного округа – </w:t>
            </w:r>
            <w:r>
              <w:rPr>
                <w:b/>
                <w:sz w:val="26"/>
                <w:szCs w:val="26"/>
              </w:rPr>
              <w:t>8</w:t>
            </w:r>
            <w:r w:rsidRPr="00712096">
              <w:rPr>
                <w:b/>
                <w:sz w:val="26"/>
                <w:szCs w:val="26"/>
              </w:rPr>
              <w:t>0,00 тыс.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712096">
              <w:rPr>
                <w:b/>
                <w:sz w:val="26"/>
                <w:szCs w:val="26"/>
              </w:rPr>
              <w:t xml:space="preserve">рублей, </w:t>
            </w:r>
            <w:r w:rsidRPr="00712096">
              <w:rPr>
                <w:b/>
                <w:sz w:val="26"/>
                <w:szCs w:val="26"/>
              </w:rPr>
              <w:br/>
              <w:t xml:space="preserve">в том числе: 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2019 год – 80,00 тыс. рублей;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2020 год – 0,00 тыс. рублей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12096">
              <w:rPr>
                <w:sz w:val="26"/>
                <w:szCs w:val="26"/>
              </w:rPr>
              <w:t xml:space="preserve"> – 2030 годы – 0,00 тыс. рублей.</w:t>
            </w:r>
          </w:p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lastRenderedPageBreak/>
              <w:t>Местный бюджет – 2</w:t>
            </w:r>
            <w:r>
              <w:rPr>
                <w:b/>
                <w:sz w:val="26"/>
                <w:szCs w:val="26"/>
              </w:rPr>
              <w:t>2228</w:t>
            </w:r>
            <w:r w:rsidRPr="00712096">
              <w:rPr>
                <w:b/>
                <w:sz w:val="26"/>
                <w:szCs w:val="26"/>
              </w:rPr>
              <w:t xml:space="preserve">,00 тыс. рублей, в том числе: </w:t>
            </w:r>
          </w:p>
          <w:p w:rsidR="00322668" w:rsidRPr="00712096" w:rsidRDefault="00322668" w:rsidP="00222ED1">
            <w:pPr>
              <w:autoSpaceDE w:val="0"/>
              <w:autoSpaceDN w:val="0"/>
              <w:adjustRightInd w:val="0"/>
              <w:spacing w:line="280" w:lineRule="exact"/>
              <w:ind w:firstLine="318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2019 год – 1844,00 тыс. рублей;</w:t>
            </w:r>
          </w:p>
          <w:p w:rsidR="00322668" w:rsidRPr="00712096" w:rsidRDefault="00322668" w:rsidP="00222ED1">
            <w:pPr>
              <w:autoSpaceDE w:val="0"/>
              <w:autoSpaceDN w:val="0"/>
              <w:adjustRightInd w:val="0"/>
              <w:spacing w:line="280" w:lineRule="exact"/>
              <w:ind w:firstLine="318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2020 год – 1494,00 тыс. рублей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1844,00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1894,00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1894,00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1894,00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1B2DA3">
              <w:rPr>
                <w:sz w:val="26"/>
                <w:szCs w:val="26"/>
              </w:rPr>
              <w:t>2025 – 2030 годы – 11364,00 тыс. рублей.</w:t>
            </w:r>
          </w:p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t xml:space="preserve">Средства по Соглашениям по передаче полномочий – </w:t>
            </w:r>
            <w:r w:rsidRPr="00712096">
              <w:rPr>
                <w:b/>
                <w:sz w:val="26"/>
                <w:szCs w:val="26"/>
              </w:rPr>
              <w:br/>
              <w:t>0,00 тыс. рублей, в том числе: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2020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12096">
              <w:rPr>
                <w:sz w:val="26"/>
                <w:szCs w:val="26"/>
              </w:rPr>
              <w:t xml:space="preserve"> – 2030 годы – 0,00 тыс. рублей.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hanging="1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b/>
                <w:sz w:val="26"/>
                <w:szCs w:val="26"/>
              </w:rPr>
              <w:t>Средства поселений – 0,00 тыс.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12096">
              <w:rPr>
                <w:rFonts w:ascii="Times New Roman" w:hAnsi="Times New Roman" w:cs="Times New Roman"/>
                <w:b/>
                <w:sz w:val="26"/>
                <w:szCs w:val="26"/>
              </w:rPr>
              <w:t>рублей, в том числе:</w:t>
            </w:r>
          </w:p>
          <w:p w:rsidR="00322668" w:rsidRPr="00712096" w:rsidRDefault="00322668" w:rsidP="00222ED1">
            <w:pPr>
              <w:pStyle w:val="ConsPlusCell"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2019 год – 0,00 тыс. рублей;</w:t>
            </w:r>
          </w:p>
          <w:p w:rsidR="00322668" w:rsidRPr="00712096" w:rsidRDefault="00322668" w:rsidP="00222ED1">
            <w:pPr>
              <w:pStyle w:val="ConsPlusCell"/>
              <w:widowControl/>
              <w:spacing w:line="280" w:lineRule="exact"/>
              <w:ind w:firstLine="318"/>
              <w:rPr>
                <w:rFonts w:ascii="Times New Roman" w:hAnsi="Times New Roman" w:cs="Times New Roman"/>
                <w:sz w:val="26"/>
                <w:szCs w:val="26"/>
              </w:rPr>
            </w:pPr>
            <w:r w:rsidRPr="00712096">
              <w:rPr>
                <w:rFonts w:ascii="Times New Roman" w:hAnsi="Times New Roman" w:cs="Times New Roman"/>
                <w:sz w:val="26"/>
                <w:szCs w:val="26"/>
              </w:rPr>
              <w:t>2020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2021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2022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2023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2024 год – 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12096">
              <w:rPr>
                <w:sz w:val="26"/>
                <w:szCs w:val="26"/>
              </w:rPr>
              <w:t xml:space="preserve"> – 2030 годы – 0,00 тыс. рублей.</w:t>
            </w:r>
          </w:p>
          <w:p w:rsidR="00322668" w:rsidRPr="00712096" w:rsidRDefault="00322668" w:rsidP="00222ED1">
            <w:pPr>
              <w:spacing w:line="280" w:lineRule="exact"/>
              <w:jc w:val="both"/>
              <w:rPr>
                <w:b/>
                <w:sz w:val="26"/>
                <w:szCs w:val="26"/>
              </w:rPr>
            </w:pPr>
            <w:r w:rsidRPr="00712096">
              <w:rPr>
                <w:b/>
                <w:sz w:val="26"/>
                <w:szCs w:val="26"/>
              </w:rPr>
              <w:t>Иные источники – 4</w:t>
            </w:r>
            <w:r>
              <w:rPr>
                <w:b/>
                <w:sz w:val="26"/>
                <w:szCs w:val="26"/>
              </w:rPr>
              <w:t>8</w:t>
            </w:r>
            <w:r w:rsidRPr="00712096">
              <w:rPr>
                <w:b/>
                <w:sz w:val="26"/>
                <w:szCs w:val="26"/>
              </w:rPr>
              <w:t>40,00 тыс. рублей, в том числе: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2019 год – </w:t>
            </w:r>
            <w:r>
              <w:rPr>
                <w:sz w:val="26"/>
                <w:szCs w:val="26"/>
              </w:rPr>
              <w:t>52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autoSpaceDE w:val="0"/>
              <w:autoSpaceDN w:val="0"/>
              <w:adjustRightInd w:val="0"/>
              <w:ind w:firstLine="318"/>
              <w:jc w:val="both"/>
              <w:outlineLvl w:val="1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92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2021 год – </w:t>
            </w:r>
            <w:r w:rsidRPr="00712096">
              <w:rPr>
                <w:sz w:val="26"/>
                <w:szCs w:val="26"/>
              </w:rPr>
              <w:softHyphen/>
            </w:r>
            <w:r w:rsidRPr="00712096">
              <w:rPr>
                <w:sz w:val="26"/>
                <w:szCs w:val="26"/>
              </w:rPr>
              <w:softHyphen/>
            </w:r>
            <w:r w:rsidRPr="00712096">
              <w:rPr>
                <w:sz w:val="26"/>
                <w:szCs w:val="26"/>
              </w:rPr>
              <w:softHyphen/>
            </w:r>
            <w:r w:rsidRPr="00712096">
              <w:rPr>
                <w:sz w:val="26"/>
                <w:szCs w:val="26"/>
              </w:rPr>
              <w:softHyphen/>
            </w:r>
            <w:r w:rsidRPr="00712096">
              <w:rPr>
                <w:sz w:val="26"/>
                <w:szCs w:val="26"/>
              </w:rPr>
              <w:softHyphen/>
            </w:r>
            <w:r>
              <w:rPr>
                <w:sz w:val="26"/>
                <w:szCs w:val="26"/>
              </w:rPr>
              <w:t>52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32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32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32</w:t>
            </w:r>
            <w:r w:rsidRPr="00712096">
              <w:rPr>
                <w:sz w:val="26"/>
                <w:szCs w:val="26"/>
              </w:rPr>
              <w:t>0,00 тыс. рублей;</w:t>
            </w:r>
          </w:p>
          <w:p w:rsidR="00322668" w:rsidRPr="00712096" w:rsidRDefault="00322668" w:rsidP="00222ED1">
            <w:pPr>
              <w:spacing w:line="280" w:lineRule="exact"/>
              <w:ind w:firstLine="318"/>
              <w:jc w:val="both"/>
              <w:rPr>
                <w:sz w:val="26"/>
                <w:szCs w:val="26"/>
              </w:rPr>
            </w:pPr>
            <w:r w:rsidRPr="0071209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712096">
              <w:rPr>
                <w:sz w:val="26"/>
                <w:szCs w:val="26"/>
              </w:rPr>
              <w:t xml:space="preserve"> – 2030 годы – 1</w:t>
            </w:r>
            <w:r>
              <w:rPr>
                <w:sz w:val="26"/>
                <w:szCs w:val="26"/>
              </w:rPr>
              <w:t>92</w:t>
            </w:r>
            <w:r w:rsidRPr="00712096">
              <w:rPr>
                <w:sz w:val="26"/>
                <w:szCs w:val="26"/>
              </w:rPr>
              <w:t>0,00 тыс. рублей.</w:t>
            </w:r>
          </w:p>
        </w:tc>
      </w:tr>
      <w:tr w:rsidR="00322668" w:rsidRPr="00FF4DCE" w:rsidTr="00222ED1">
        <w:trPr>
          <w:trHeight w:val="70"/>
        </w:trPr>
        <w:tc>
          <w:tcPr>
            <w:tcW w:w="2376" w:type="dxa"/>
          </w:tcPr>
          <w:p w:rsidR="00322668" w:rsidRPr="00913821" w:rsidRDefault="00322668" w:rsidP="00222ED1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913821">
              <w:rPr>
                <w:sz w:val="26"/>
                <w:szCs w:val="26"/>
              </w:rPr>
              <w:lastRenderedPageBreak/>
              <w:t>в том числе  финансовое обеспечение портфеля проектов, проекта</w:t>
            </w:r>
          </w:p>
        </w:tc>
        <w:tc>
          <w:tcPr>
            <w:tcW w:w="7371" w:type="dxa"/>
          </w:tcPr>
          <w:p w:rsidR="00322668" w:rsidRPr="008D263E" w:rsidRDefault="00222ED1" w:rsidP="00222ED1">
            <w:pPr>
              <w:spacing w:line="280" w:lineRule="exact"/>
              <w:jc w:val="both"/>
              <w:rPr>
                <w:sz w:val="26"/>
                <w:szCs w:val="26"/>
              </w:rPr>
            </w:pPr>
            <w:bookmarkStart w:id="0" w:name="_GoBack"/>
            <w:r w:rsidRPr="008D263E">
              <w:rPr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  <w:bookmarkEnd w:id="0"/>
          </w:p>
        </w:tc>
      </w:tr>
    </w:tbl>
    <w:p w:rsidR="00322668" w:rsidRDefault="00322668" w:rsidP="0032266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3676C" w:rsidRDefault="00E3676C"/>
    <w:sectPr w:rsidR="00E36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BC"/>
    <w:multiLevelType w:val="multilevel"/>
    <w:tmpl w:val="991E8D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73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1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9" w:hanging="151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0105B8E"/>
    <w:multiLevelType w:val="hybridMultilevel"/>
    <w:tmpl w:val="28048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23EBC"/>
    <w:multiLevelType w:val="multilevel"/>
    <w:tmpl w:val="34AC25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8"/>
    <w:rsid w:val="00222ED1"/>
    <w:rsid w:val="00322668"/>
    <w:rsid w:val="00500081"/>
    <w:rsid w:val="008D263E"/>
    <w:rsid w:val="00E3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226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322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081"/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0081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226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3226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081"/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0081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Ланец Регина Андреевна</dc:creator>
  <cp:lastModifiedBy>Николаева Ольга Владимировна</cp:lastModifiedBy>
  <cp:revision>3</cp:revision>
  <cp:lastPrinted>2018-10-23T11:19:00Z</cp:lastPrinted>
  <dcterms:created xsi:type="dcterms:W3CDTF">2018-10-18T11:07:00Z</dcterms:created>
  <dcterms:modified xsi:type="dcterms:W3CDTF">2018-11-02T10:27:00Z</dcterms:modified>
</cp:coreProperties>
</file>