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FD" w:rsidRPr="0007213D" w:rsidRDefault="000F23FD" w:rsidP="000F23FD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7213D">
        <w:rPr>
          <w:sz w:val="26"/>
          <w:szCs w:val="26"/>
        </w:rPr>
        <w:t>Паспорт</w:t>
      </w:r>
    </w:p>
    <w:p w:rsidR="000F23FD" w:rsidRPr="0007213D" w:rsidRDefault="000F23FD" w:rsidP="000F23FD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7213D">
        <w:rPr>
          <w:sz w:val="26"/>
          <w:szCs w:val="26"/>
        </w:rPr>
        <w:t>муниципальной программы Нефтеюганского района</w:t>
      </w:r>
    </w:p>
    <w:p w:rsidR="000F23FD" w:rsidRPr="0007213D" w:rsidRDefault="000F23FD" w:rsidP="000F23FD">
      <w:pPr>
        <w:rPr>
          <w:sz w:val="2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9"/>
        <w:gridCol w:w="7192"/>
      </w:tblGrid>
      <w:tr w:rsidR="000F23FD" w:rsidRPr="0007213D" w:rsidTr="00DD692C">
        <w:trPr>
          <w:trHeight w:val="861"/>
        </w:trPr>
        <w:tc>
          <w:tcPr>
            <w:tcW w:w="2385" w:type="dxa"/>
          </w:tcPr>
          <w:p w:rsidR="000F23FD" w:rsidRPr="0007213D" w:rsidRDefault="000F23FD" w:rsidP="00DD692C">
            <w:pPr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66" w:type="dxa"/>
          </w:tcPr>
          <w:p w:rsidR="000F23FD" w:rsidRPr="0007213D" w:rsidRDefault="000F23FD" w:rsidP="00DD692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32"/>
              </w:rPr>
              <w:t xml:space="preserve">«Развитие гражданского общества Нефтеюганского района </w:t>
            </w:r>
            <w:r w:rsidRPr="0007213D">
              <w:rPr>
                <w:sz w:val="26"/>
                <w:szCs w:val="26"/>
              </w:rPr>
              <w:t>на 2019-2024 годы и на период до 2030 года</w:t>
            </w:r>
            <w:r w:rsidRPr="0007213D">
              <w:rPr>
                <w:sz w:val="26"/>
                <w:szCs w:val="32"/>
              </w:rPr>
              <w:t>»</w:t>
            </w:r>
          </w:p>
          <w:p w:rsidR="000F23FD" w:rsidRPr="0007213D" w:rsidRDefault="000F23FD" w:rsidP="00DD692C">
            <w:pPr>
              <w:tabs>
                <w:tab w:val="left" w:pos="4500"/>
              </w:tabs>
              <w:rPr>
                <w:sz w:val="26"/>
                <w:szCs w:val="32"/>
              </w:rPr>
            </w:pPr>
          </w:p>
        </w:tc>
      </w:tr>
      <w:tr w:rsidR="000F23FD" w:rsidRPr="0007213D" w:rsidTr="00DD692C">
        <w:trPr>
          <w:trHeight w:val="568"/>
        </w:trPr>
        <w:tc>
          <w:tcPr>
            <w:tcW w:w="2385" w:type="dxa"/>
          </w:tcPr>
          <w:p w:rsidR="000F23FD" w:rsidRPr="0007213D" w:rsidRDefault="000F23FD" w:rsidP="00DD692C">
            <w:pPr>
              <w:pStyle w:val="ConsPlusNonformat"/>
              <w:spacing w:line="280" w:lineRule="exact"/>
              <w:rPr>
                <w:sz w:val="26"/>
                <w:szCs w:val="26"/>
              </w:rPr>
            </w:pPr>
            <w:r w:rsidRPr="0007213D">
              <w:rPr>
                <w:rFonts w:ascii="Times New Roman" w:hAnsi="Times New Roman" w:cs="Times New Roman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7366" w:type="dxa"/>
          </w:tcPr>
          <w:p w:rsidR="000F23FD" w:rsidRPr="0007213D" w:rsidRDefault="000F23FD" w:rsidP="00DD692C">
            <w:pPr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Pr="0007213D">
              <w:rPr>
                <w:sz w:val="26"/>
                <w:szCs w:val="26"/>
              </w:rPr>
              <w:br/>
              <w:t>от 31.10.2016 № 1786-па-нпа.</w:t>
            </w:r>
          </w:p>
        </w:tc>
      </w:tr>
      <w:tr w:rsidR="000F23FD" w:rsidRPr="0007213D" w:rsidTr="00DD692C">
        <w:trPr>
          <w:trHeight w:val="568"/>
        </w:trPr>
        <w:tc>
          <w:tcPr>
            <w:tcW w:w="2385" w:type="dxa"/>
          </w:tcPr>
          <w:p w:rsidR="000F23FD" w:rsidRPr="0007213D" w:rsidRDefault="000F23FD" w:rsidP="00DD692C">
            <w:pPr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Ответственный исполнитель </w:t>
            </w:r>
            <w:r w:rsidRPr="0007213D">
              <w:rPr>
                <w:sz w:val="26"/>
                <w:szCs w:val="26"/>
              </w:rPr>
              <w:br/>
              <w:t>муниципальной программы</w:t>
            </w:r>
          </w:p>
        </w:tc>
        <w:tc>
          <w:tcPr>
            <w:tcW w:w="7366" w:type="dxa"/>
          </w:tcPr>
          <w:p w:rsidR="000F23FD" w:rsidRPr="0007213D" w:rsidRDefault="000F23FD" w:rsidP="00DD692C">
            <w:pPr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Администрация Нефтеюганского района (управление </w:t>
            </w:r>
            <w:r w:rsidRPr="0007213D">
              <w:rPr>
                <w:sz w:val="26"/>
                <w:szCs w:val="26"/>
              </w:rPr>
              <w:br/>
              <w:t>по связям с общественностью).</w:t>
            </w:r>
          </w:p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0F23FD" w:rsidRPr="0007213D" w:rsidTr="00DD692C">
        <w:trPr>
          <w:trHeight w:val="568"/>
        </w:trPr>
        <w:tc>
          <w:tcPr>
            <w:tcW w:w="2385" w:type="dxa"/>
          </w:tcPr>
          <w:p w:rsidR="000F23FD" w:rsidRPr="0007213D" w:rsidRDefault="000F23FD" w:rsidP="00DD692C">
            <w:pPr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66" w:type="dxa"/>
          </w:tcPr>
          <w:p w:rsidR="000F23FD" w:rsidRPr="0007213D" w:rsidRDefault="000F23FD" w:rsidP="000F23FD">
            <w:pPr>
              <w:numPr>
                <w:ilvl w:val="0"/>
                <w:numId w:val="1"/>
              </w:numPr>
              <w:tabs>
                <w:tab w:val="left" w:pos="0"/>
                <w:tab w:val="left" w:pos="450"/>
              </w:tabs>
              <w:ind w:left="25" w:firstLine="142"/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Администрация Нефтеюганского района (управление </w:t>
            </w:r>
            <w:r w:rsidRPr="0007213D">
              <w:rPr>
                <w:sz w:val="26"/>
                <w:szCs w:val="26"/>
              </w:rPr>
              <w:br/>
              <w:t>по учету и отчетности).</w:t>
            </w:r>
          </w:p>
          <w:p w:rsidR="000F23FD" w:rsidRPr="0007213D" w:rsidRDefault="000F23FD" w:rsidP="000F23FD">
            <w:pPr>
              <w:numPr>
                <w:ilvl w:val="0"/>
                <w:numId w:val="1"/>
              </w:numPr>
              <w:tabs>
                <w:tab w:val="left" w:pos="0"/>
                <w:tab w:val="left" w:pos="450"/>
              </w:tabs>
              <w:ind w:left="0" w:firstLine="167"/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>Администрация Нефтеюганского района (МКУ «Управление по делам администрации Нефтеюганского района»).</w:t>
            </w:r>
          </w:p>
          <w:p w:rsidR="000F23FD" w:rsidRPr="0007213D" w:rsidRDefault="000F23FD" w:rsidP="000F23FD">
            <w:pPr>
              <w:numPr>
                <w:ilvl w:val="0"/>
                <w:numId w:val="1"/>
              </w:numPr>
              <w:tabs>
                <w:tab w:val="left" w:pos="0"/>
                <w:tab w:val="left" w:pos="450"/>
              </w:tabs>
              <w:ind w:left="0" w:firstLine="167"/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Департамент образования и молодежной политики </w:t>
            </w:r>
            <w:r w:rsidRPr="0007213D">
              <w:rPr>
                <w:sz w:val="26"/>
                <w:szCs w:val="26"/>
              </w:rPr>
              <w:br/>
              <w:t>Нефтеюганского района.</w:t>
            </w:r>
          </w:p>
          <w:p w:rsidR="000F23FD" w:rsidRPr="0007213D" w:rsidRDefault="000F23FD" w:rsidP="000F23FD">
            <w:pPr>
              <w:numPr>
                <w:ilvl w:val="0"/>
                <w:numId w:val="1"/>
              </w:numPr>
              <w:tabs>
                <w:tab w:val="left" w:pos="0"/>
                <w:tab w:val="left" w:pos="450"/>
              </w:tabs>
              <w:ind w:left="25" w:firstLine="142"/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>Департамент культуры и спорта Нефтеюганского района</w:t>
            </w:r>
            <w:r w:rsidRPr="0007213D">
              <w:t xml:space="preserve"> </w:t>
            </w:r>
            <w:r w:rsidRPr="0007213D">
              <w:rPr>
                <w:sz w:val="26"/>
                <w:szCs w:val="26"/>
              </w:rPr>
              <w:t>(МКУ «Управление по обеспечению деятельности учреждений культуры и спорта»).</w:t>
            </w:r>
          </w:p>
          <w:p w:rsidR="000F23FD" w:rsidRPr="0007213D" w:rsidRDefault="000F23FD" w:rsidP="000F23FD">
            <w:pPr>
              <w:numPr>
                <w:ilvl w:val="0"/>
                <w:numId w:val="1"/>
              </w:numPr>
              <w:tabs>
                <w:tab w:val="left" w:pos="0"/>
                <w:tab w:val="left" w:pos="450"/>
              </w:tabs>
              <w:ind w:left="0" w:firstLine="167"/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>Департамент строительства и жилищно-коммунального комплекса Нефтеюганского района (МКУ «Управление капитального строительства и жилищно-коммунального комплекса Нефтеюганского района»).</w:t>
            </w:r>
          </w:p>
          <w:p w:rsidR="000F23FD" w:rsidRPr="0007213D" w:rsidRDefault="000F23FD" w:rsidP="000F23FD">
            <w:pPr>
              <w:numPr>
                <w:ilvl w:val="0"/>
                <w:numId w:val="1"/>
              </w:numPr>
              <w:tabs>
                <w:tab w:val="left" w:pos="0"/>
                <w:tab w:val="left" w:pos="450"/>
              </w:tabs>
              <w:ind w:left="0" w:firstLine="167"/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>Администрация Нефтеюганского района (МУ «Многофункциональный центр предоставления государственных и муниципальных услуг»).</w:t>
            </w:r>
          </w:p>
          <w:p w:rsidR="000F23FD" w:rsidRPr="0007213D" w:rsidRDefault="000F23FD" w:rsidP="000F23FD">
            <w:pPr>
              <w:numPr>
                <w:ilvl w:val="0"/>
                <w:numId w:val="1"/>
              </w:numPr>
              <w:tabs>
                <w:tab w:val="left" w:pos="0"/>
                <w:tab w:val="left" w:pos="450"/>
              </w:tabs>
              <w:ind w:left="0" w:firstLine="167"/>
              <w:jc w:val="both"/>
              <w:rPr>
                <w:color w:val="FF0000"/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>Департамент имущественных отношений Нефтеюганского района.</w:t>
            </w:r>
          </w:p>
        </w:tc>
      </w:tr>
      <w:tr w:rsidR="000F23FD" w:rsidRPr="0007213D" w:rsidTr="00DD692C">
        <w:trPr>
          <w:trHeight w:val="322"/>
        </w:trPr>
        <w:tc>
          <w:tcPr>
            <w:tcW w:w="2385" w:type="dxa"/>
            <w:vMerge w:val="restart"/>
          </w:tcPr>
          <w:p w:rsidR="000F23FD" w:rsidRPr="0007213D" w:rsidRDefault="000F23FD" w:rsidP="00DD692C">
            <w:pPr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Цели </w:t>
            </w:r>
            <w:r w:rsidRPr="0007213D">
              <w:rPr>
                <w:sz w:val="26"/>
                <w:szCs w:val="26"/>
              </w:rPr>
              <w:br/>
              <w:t>муниципальной программы</w:t>
            </w:r>
          </w:p>
        </w:tc>
        <w:tc>
          <w:tcPr>
            <w:tcW w:w="7366" w:type="dxa"/>
            <w:vMerge w:val="restart"/>
          </w:tcPr>
          <w:p w:rsidR="000F23FD" w:rsidRPr="0007213D" w:rsidRDefault="000F23FD" w:rsidP="00DD692C">
            <w:pPr>
              <w:pStyle w:val="1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7213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и реализация условий для формирования современного гражданского общества и обеспечение конституционных прав граждан на получение достоверной информации о социально-экономическом развитии Нефтеюганского района.</w:t>
            </w:r>
          </w:p>
        </w:tc>
      </w:tr>
      <w:tr w:rsidR="000F23FD" w:rsidRPr="0007213D" w:rsidTr="00DD692C">
        <w:trPr>
          <w:trHeight w:val="552"/>
        </w:trPr>
        <w:tc>
          <w:tcPr>
            <w:tcW w:w="2385" w:type="dxa"/>
            <w:vMerge/>
          </w:tcPr>
          <w:p w:rsidR="000F23FD" w:rsidRPr="0007213D" w:rsidRDefault="000F23FD" w:rsidP="00DD692C">
            <w:pPr>
              <w:rPr>
                <w:i/>
                <w:sz w:val="26"/>
                <w:szCs w:val="26"/>
              </w:rPr>
            </w:pPr>
          </w:p>
        </w:tc>
        <w:tc>
          <w:tcPr>
            <w:tcW w:w="7366" w:type="dxa"/>
            <w:vMerge/>
          </w:tcPr>
          <w:p w:rsidR="000F23FD" w:rsidRPr="0007213D" w:rsidRDefault="000F23FD" w:rsidP="00DD692C">
            <w:pPr>
              <w:jc w:val="both"/>
              <w:rPr>
                <w:sz w:val="26"/>
                <w:szCs w:val="26"/>
              </w:rPr>
            </w:pPr>
          </w:p>
        </w:tc>
      </w:tr>
      <w:tr w:rsidR="000F23FD" w:rsidRPr="0007213D" w:rsidTr="00DD692C">
        <w:trPr>
          <w:trHeight w:val="274"/>
        </w:trPr>
        <w:tc>
          <w:tcPr>
            <w:tcW w:w="2385" w:type="dxa"/>
          </w:tcPr>
          <w:p w:rsidR="000F23FD" w:rsidRPr="0007213D" w:rsidRDefault="000F23FD" w:rsidP="00DD692C">
            <w:pPr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Задачи </w:t>
            </w:r>
            <w:r w:rsidRPr="0007213D">
              <w:rPr>
                <w:sz w:val="26"/>
                <w:szCs w:val="26"/>
              </w:rPr>
              <w:br/>
              <w:t>муниципальной программы</w:t>
            </w:r>
          </w:p>
        </w:tc>
        <w:tc>
          <w:tcPr>
            <w:tcW w:w="7366" w:type="dxa"/>
          </w:tcPr>
          <w:p w:rsidR="000F23FD" w:rsidRPr="0007213D" w:rsidRDefault="000F23FD" w:rsidP="00DD692C">
            <w:pPr>
              <w:pStyle w:val="1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213D">
              <w:rPr>
                <w:rFonts w:ascii="Times New Roman" w:hAnsi="Times New Roman" w:cs="Times New Roman"/>
                <w:sz w:val="26"/>
                <w:szCs w:val="26"/>
              </w:rPr>
              <w:t xml:space="preserve">1. Обеспечение поддержки гражданских инициатив. </w:t>
            </w:r>
          </w:p>
          <w:p w:rsidR="000F23FD" w:rsidRPr="0007213D" w:rsidRDefault="000F23FD" w:rsidP="00DD692C">
            <w:pPr>
              <w:pStyle w:val="1"/>
              <w:tabs>
                <w:tab w:val="left" w:pos="450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7213D">
              <w:rPr>
                <w:rFonts w:ascii="Times New Roman" w:hAnsi="Times New Roman" w:cs="Times New Roman"/>
                <w:sz w:val="26"/>
                <w:szCs w:val="26"/>
              </w:rPr>
              <w:t>2. Обеспечение информационной открытости органов местного самоуправления Нефтеюганского района.</w:t>
            </w:r>
          </w:p>
        </w:tc>
      </w:tr>
      <w:tr w:rsidR="000F23FD" w:rsidRPr="0007213D" w:rsidTr="00DD692C">
        <w:trPr>
          <w:trHeight w:val="274"/>
        </w:trPr>
        <w:tc>
          <w:tcPr>
            <w:tcW w:w="2385" w:type="dxa"/>
          </w:tcPr>
          <w:p w:rsidR="000F23FD" w:rsidRPr="0007213D" w:rsidRDefault="000F23FD" w:rsidP="00DD692C">
            <w:pPr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Подпрограммы </w:t>
            </w:r>
            <w:r w:rsidRPr="0007213D">
              <w:rPr>
                <w:sz w:val="26"/>
                <w:szCs w:val="26"/>
              </w:rPr>
              <w:br/>
            </w:r>
          </w:p>
        </w:tc>
        <w:tc>
          <w:tcPr>
            <w:tcW w:w="7366" w:type="dxa"/>
          </w:tcPr>
          <w:p w:rsidR="000F23FD" w:rsidRPr="0007213D" w:rsidRDefault="000F23FD" w:rsidP="00DD692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07213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Подпрограмма I «Поддержка социально ориентированных некоммерческих организаций </w:t>
            </w:r>
            <w:proofErr w:type="gramStart"/>
            <w:r w:rsidRPr="0007213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</w:t>
            </w:r>
            <w:proofErr w:type="gramEnd"/>
            <w:r w:rsidRPr="0007213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07213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Нефтеюганском</w:t>
            </w:r>
            <w:proofErr w:type="gramEnd"/>
            <w:r w:rsidRPr="0007213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районе». </w:t>
            </w:r>
          </w:p>
          <w:p w:rsidR="000F23FD" w:rsidRPr="0007213D" w:rsidRDefault="000F23FD" w:rsidP="00DD692C">
            <w:pPr>
              <w:pStyle w:val="ConsPlusNonformat"/>
              <w:tabs>
                <w:tab w:val="left" w:pos="1572"/>
                <w:tab w:val="left" w:pos="201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07213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Подпрограмма II «Информационное обеспечение </w:t>
            </w:r>
            <w:r w:rsidRPr="0007213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деятельности органов местного самоуправления Нефтеюганского района».</w:t>
            </w:r>
          </w:p>
        </w:tc>
      </w:tr>
      <w:tr w:rsidR="000F23FD" w:rsidRPr="0007213D" w:rsidTr="00DD692C">
        <w:trPr>
          <w:trHeight w:val="552"/>
        </w:trPr>
        <w:tc>
          <w:tcPr>
            <w:tcW w:w="2385" w:type="dxa"/>
          </w:tcPr>
          <w:p w:rsidR="000F23FD" w:rsidRPr="0007213D" w:rsidRDefault="000F23FD" w:rsidP="00DD692C">
            <w:pPr>
              <w:rPr>
                <w:b/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lastRenderedPageBreak/>
              <w:t xml:space="preserve">Целевые </w:t>
            </w:r>
            <w:r w:rsidRPr="0007213D">
              <w:rPr>
                <w:sz w:val="26"/>
                <w:szCs w:val="26"/>
              </w:rPr>
              <w:br/>
              <w:t xml:space="preserve">показатели </w:t>
            </w:r>
            <w:r w:rsidRPr="0007213D">
              <w:rPr>
                <w:sz w:val="26"/>
                <w:szCs w:val="26"/>
              </w:rPr>
              <w:br/>
              <w:t>муниципальной программы</w:t>
            </w:r>
            <w:r w:rsidRPr="0007213D">
              <w:rPr>
                <w:b/>
                <w:sz w:val="26"/>
                <w:szCs w:val="26"/>
              </w:rPr>
              <w:t xml:space="preserve"> </w:t>
            </w:r>
            <w:r w:rsidRPr="0007213D">
              <w:rPr>
                <w:b/>
                <w:sz w:val="26"/>
                <w:szCs w:val="26"/>
              </w:rPr>
              <w:br/>
            </w:r>
          </w:p>
        </w:tc>
        <w:tc>
          <w:tcPr>
            <w:tcW w:w="7366" w:type="dxa"/>
          </w:tcPr>
          <w:p w:rsidR="000F23FD" w:rsidRPr="0007213D" w:rsidRDefault="000F23FD" w:rsidP="00DD692C">
            <w:pPr>
              <w:pStyle w:val="1"/>
              <w:tabs>
                <w:tab w:val="left" w:pos="450"/>
              </w:tabs>
              <w:spacing w:after="0" w:line="290" w:lineRule="exact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213D">
              <w:rPr>
                <w:rFonts w:ascii="Times New Roman" w:hAnsi="Times New Roman" w:cs="Times New Roman"/>
                <w:sz w:val="26"/>
                <w:szCs w:val="26"/>
              </w:rPr>
              <w:t>1. Количество жителей Нефтеюганского района, охваченных мероприятиями, проводимыми социально ориентированными некоммерческими организациями с 7435 до 8000  человек.</w:t>
            </w:r>
          </w:p>
          <w:p w:rsidR="000F23FD" w:rsidRPr="0007213D" w:rsidRDefault="000F23FD" w:rsidP="00DD692C">
            <w:pPr>
              <w:pStyle w:val="1"/>
              <w:tabs>
                <w:tab w:val="left" w:pos="450"/>
              </w:tabs>
              <w:spacing w:after="0" w:line="290" w:lineRule="exact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213D">
              <w:rPr>
                <w:rFonts w:ascii="Times New Roman" w:hAnsi="Times New Roman" w:cs="Times New Roman"/>
                <w:sz w:val="26"/>
                <w:szCs w:val="26"/>
              </w:rPr>
              <w:t>2. Уровень удовлетворенности  граждан услугами социально ориентированных некоммерческих организаций с 65,2 до 70%.</w:t>
            </w:r>
          </w:p>
          <w:p w:rsidR="000F23FD" w:rsidRPr="0007213D" w:rsidRDefault="000F23FD" w:rsidP="00DD692C">
            <w:pPr>
              <w:pStyle w:val="1"/>
              <w:tabs>
                <w:tab w:val="left" w:pos="450"/>
              </w:tabs>
              <w:spacing w:after="0" w:line="290" w:lineRule="exact"/>
              <w:ind w:left="0"/>
              <w:contextualSpacing w:val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7213D">
              <w:rPr>
                <w:rFonts w:ascii="Times New Roman" w:hAnsi="Times New Roman" w:cs="Times New Roman"/>
                <w:sz w:val="26"/>
                <w:szCs w:val="26"/>
              </w:rPr>
              <w:t>3. Процент населения, удовлетворенного информационной открытостью органов местного самоуправления Нефтеюганского района с 70,2 до 72%.</w:t>
            </w:r>
          </w:p>
        </w:tc>
      </w:tr>
      <w:tr w:rsidR="000F23FD" w:rsidRPr="0007213D" w:rsidTr="00DD692C">
        <w:trPr>
          <w:trHeight w:val="552"/>
        </w:trPr>
        <w:tc>
          <w:tcPr>
            <w:tcW w:w="2385" w:type="dxa"/>
          </w:tcPr>
          <w:p w:rsidR="000F23FD" w:rsidRPr="0007213D" w:rsidRDefault="000F23FD" w:rsidP="00DD692C">
            <w:pPr>
              <w:spacing w:line="290" w:lineRule="exact"/>
              <w:jc w:val="both"/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Сроки </w:t>
            </w:r>
            <w:r w:rsidRPr="0007213D">
              <w:rPr>
                <w:sz w:val="26"/>
                <w:szCs w:val="26"/>
              </w:rPr>
              <w:br/>
              <w:t xml:space="preserve">реализации </w:t>
            </w:r>
            <w:r w:rsidRPr="0007213D">
              <w:rPr>
                <w:sz w:val="26"/>
                <w:szCs w:val="26"/>
              </w:rPr>
              <w:br/>
              <w:t xml:space="preserve">муниципальной программы </w:t>
            </w:r>
          </w:p>
        </w:tc>
        <w:tc>
          <w:tcPr>
            <w:tcW w:w="7366" w:type="dxa"/>
            <w:vAlign w:val="center"/>
          </w:tcPr>
          <w:p w:rsidR="000F23FD" w:rsidRPr="0007213D" w:rsidRDefault="000F23FD" w:rsidP="00DD692C">
            <w:pPr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>2019-2024 годы и на период до 2030 года</w:t>
            </w:r>
          </w:p>
        </w:tc>
      </w:tr>
      <w:tr w:rsidR="000F23FD" w:rsidRPr="0007213D" w:rsidTr="00DD692C">
        <w:trPr>
          <w:trHeight w:val="131"/>
        </w:trPr>
        <w:tc>
          <w:tcPr>
            <w:tcW w:w="2385" w:type="dxa"/>
          </w:tcPr>
          <w:p w:rsidR="000F23FD" w:rsidRPr="0007213D" w:rsidRDefault="000F23FD" w:rsidP="00DD692C">
            <w:pPr>
              <w:rPr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t xml:space="preserve">Финансовое </w:t>
            </w:r>
            <w:r w:rsidRPr="0007213D">
              <w:rPr>
                <w:sz w:val="26"/>
                <w:szCs w:val="26"/>
              </w:rPr>
              <w:br/>
              <w:t xml:space="preserve">обеспечение </w:t>
            </w:r>
            <w:r w:rsidRPr="0007213D">
              <w:rPr>
                <w:sz w:val="26"/>
                <w:szCs w:val="26"/>
              </w:rPr>
              <w:br/>
              <w:t>муниципальной программы</w:t>
            </w:r>
          </w:p>
        </w:tc>
        <w:tc>
          <w:tcPr>
            <w:tcW w:w="7366" w:type="dxa"/>
          </w:tcPr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  <w:r w:rsidRPr="0007213D">
              <w:rPr>
                <w:b/>
                <w:sz w:val="26"/>
                <w:szCs w:val="26"/>
              </w:rPr>
              <w:t xml:space="preserve">Общий объем финансирования муниципальной программы </w:t>
            </w:r>
          </w:p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  <w:r w:rsidRPr="0007213D">
              <w:rPr>
                <w:b/>
                <w:bCs/>
                <w:sz w:val="26"/>
                <w:szCs w:val="26"/>
              </w:rPr>
              <w:t xml:space="preserve">949 817,60 </w:t>
            </w:r>
            <w:r w:rsidRPr="0007213D">
              <w:rPr>
                <w:b/>
                <w:sz w:val="26"/>
                <w:szCs w:val="26"/>
              </w:rPr>
              <w:t xml:space="preserve">тыс. рублей, в том числе: 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2019 год – 74 051,60 тыс. рублей,</w:t>
            </w:r>
          </w:p>
          <w:p w:rsidR="000F23FD" w:rsidRPr="0007213D" w:rsidRDefault="000F23FD" w:rsidP="00DD692C">
            <w:pPr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 xml:space="preserve">     2020 год – 78 556,00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2021 год – 78 956,00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2022 год – 79 806,00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2023 год – 79 806,00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2024 год – 79 806,00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в 2025-2030 годах – 478 836,00 тыс. рублей.</w:t>
            </w:r>
          </w:p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  <w:r w:rsidRPr="0007213D">
              <w:rPr>
                <w:b/>
                <w:sz w:val="26"/>
                <w:szCs w:val="26"/>
              </w:rPr>
              <w:t xml:space="preserve">Федеральный бюджет – 0,00 тыс. рублей, в том числе: 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2019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2020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2021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2022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2023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2024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в 2025-2030 годах – 00,0 тыс. рублей</w:t>
            </w:r>
            <w:r w:rsidRPr="0007213D">
              <w:rPr>
                <w:sz w:val="26"/>
                <w:szCs w:val="26"/>
              </w:rPr>
              <w:t>.</w:t>
            </w:r>
          </w:p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  <w:r w:rsidRPr="0007213D">
              <w:rPr>
                <w:b/>
                <w:sz w:val="26"/>
                <w:szCs w:val="26"/>
              </w:rPr>
              <w:t>Бюджет автономного округа – 0,00 тыс. рублей, в том числе: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2019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2020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2021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color w:val="FF0000"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2022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2023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2024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в 2025-2030 годах – 0,00 тыс. рублей.</w:t>
            </w:r>
          </w:p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  <w:r w:rsidRPr="0007213D">
              <w:rPr>
                <w:b/>
                <w:sz w:val="26"/>
                <w:szCs w:val="26"/>
              </w:rPr>
              <w:t>Местный бюджет – 671 682,04</w:t>
            </w:r>
            <w:r w:rsidRPr="0007213D">
              <w:rPr>
                <w:b/>
                <w:sz w:val="26"/>
              </w:rPr>
              <w:t xml:space="preserve"> </w:t>
            </w:r>
            <w:r w:rsidRPr="0007213D">
              <w:rPr>
                <w:b/>
                <w:sz w:val="26"/>
                <w:szCs w:val="26"/>
              </w:rPr>
              <w:t>тыс. рублей, в том числе: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 xml:space="preserve">2019 год – 53 517,09 </w:t>
            </w:r>
            <w:r w:rsidRPr="0007213D">
              <w:rPr>
                <w:sz w:val="26"/>
                <w:szCs w:val="26"/>
              </w:rPr>
              <w:t>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2020 год</w:t>
            </w:r>
            <w:r w:rsidRPr="0007213D">
              <w:rPr>
                <w:b/>
                <w:bCs/>
                <w:sz w:val="26"/>
                <w:szCs w:val="26"/>
              </w:rPr>
              <w:t xml:space="preserve"> – </w:t>
            </w:r>
            <w:r w:rsidRPr="0007213D">
              <w:rPr>
                <w:bCs/>
                <w:sz w:val="26"/>
                <w:szCs w:val="26"/>
              </w:rPr>
              <w:t xml:space="preserve">55 924,09 </w:t>
            </w:r>
            <w:r w:rsidRPr="0007213D">
              <w:rPr>
                <w:sz w:val="26"/>
                <w:szCs w:val="26"/>
              </w:rPr>
              <w:t>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2021 год – 56 224,09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2022 год – 56 224,09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2023 год – 56 224,09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lastRenderedPageBreak/>
              <w:t>2024 год – 56 224,09 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в 2025-2030 годах – 337 344,52 тыс. рублей.</w:t>
            </w:r>
            <w:r w:rsidRPr="0007213D">
              <w:rPr>
                <w:b/>
                <w:sz w:val="26"/>
                <w:szCs w:val="26"/>
              </w:rPr>
              <w:t xml:space="preserve"> </w:t>
            </w:r>
          </w:p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  <w:r w:rsidRPr="0007213D">
              <w:rPr>
                <w:b/>
                <w:sz w:val="26"/>
                <w:szCs w:val="26"/>
              </w:rPr>
              <w:t xml:space="preserve">Средства по Соглашениям по передаче полномочий – </w:t>
            </w:r>
          </w:p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  <w:r w:rsidRPr="0007213D">
              <w:rPr>
                <w:b/>
                <w:sz w:val="26"/>
                <w:szCs w:val="26"/>
              </w:rPr>
              <w:t>0,00 тыс. рублей, в том числе: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2019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2020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2021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2022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2023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2024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в 2025-2030 годах – 0,00 тыс. рублей.</w:t>
            </w:r>
          </w:p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  <w:r w:rsidRPr="0007213D">
              <w:rPr>
                <w:b/>
                <w:sz w:val="26"/>
                <w:szCs w:val="26"/>
              </w:rPr>
              <w:t>Средства поселений – 0,00</w:t>
            </w:r>
            <w:r w:rsidRPr="0007213D">
              <w:rPr>
                <w:sz w:val="26"/>
                <w:szCs w:val="26"/>
              </w:rPr>
              <w:t xml:space="preserve"> </w:t>
            </w:r>
            <w:r w:rsidRPr="0007213D">
              <w:rPr>
                <w:b/>
                <w:sz w:val="26"/>
                <w:szCs w:val="26"/>
              </w:rPr>
              <w:t>тыс. рублей, в том числе: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2019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2020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2021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2022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2023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2024 год – 0,00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в 2025-2030 годах – 0,00 тыс. рублей.</w:t>
            </w:r>
          </w:p>
          <w:p w:rsidR="000F23FD" w:rsidRPr="0007213D" w:rsidRDefault="000F23FD" w:rsidP="00DD692C">
            <w:pPr>
              <w:jc w:val="both"/>
              <w:rPr>
                <w:b/>
                <w:sz w:val="26"/>
                <w:szCs w:val="26"/>
              </w:rPr>
            </w:pPr>
            <w:r w:rsidRPr="0007213D">
              <w:rPr>
                <w:b/>
                <w:sz w:val="26"/>
                <w:szCs w:val="26"/>
              </w:rPr>
              <w:t xml:space="preserve">Иные источники – 278  135,56 тыс. рублей, в том числе: 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2019 год – 20 534,51</w:t>
            </w:r>
            <w:r w:rsidRPr="0007213D">
              <w:rPr>
                <w:sz w:val="26"/>
                <w:szCs w:val="26"/>
              </w:rPr>
              <w:t xml:space="preserve">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2020 год</w:t>
            </w:r>
            <w:r w:rsidRPr="0007213D">
              <w:rPr>
                <w:b/>
                <w:bCs/>
                <w:sz w:val="26"/>
                <w:szCs w:val="26"/>
              </w:rPr>
              <w:t xml:space="preserve"> – </w:t>
            </w:r>
            <w:r w:rsidRPr="0007213D">
              <w:rPr>
                <w:bCs/>
                <w:sz w:val="26"/>
                <w:szCs w:val="26"/>
              </w:rPr>
              <w:t>22 631,91</w:t>
            </w:r>
            <w:r w:rsidRPr="0007213D">
              <w:rPr>
                <w:sz w:val="26"/>
                <w:szCs w:val="26"/>
              </w:rPr>
              <w:t xml:space="preserve">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2021 год – 22 731,91</w:t>
            </w:r>
            <w:r w:rsidRPr="0007213D">
              <w:rPr>
                <w:sz w:val="26"/>
                <w:szCs w:val="26"/>
              </w:rPr>
              <w:t xml:space="preserve">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2022 год – 23 581,91</w:t>
            </w:r>
            <w:r w:rsidRPr="0007213D">
              <w:rPr>
                <w:sz w:val="26"/>
                <w:szCs w:val="26"/>
              </w:rPr>
              <w:t xml:space="preserve">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2023 год – 23 581,91</w:t>
            </w:r>
            <w:r w:rsidRPr="0007213D">
              <w:rPr>
                <w:sz w:val="26"/>
                <w:szCs w:val="26"/>
              </w:rPr>
              <w:t xml:space="preserve">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2024 год – 23 581,91</w:t>
            </w:r>
            <w:r w:rsidRPr="0007213D">
              <w:rPr>
                <w:sz w:val="26"/>
                <w:szCs w:val="26"/>
              </w:rPr>
              <w:t xml:space="preserve"> тыс. рублей,</w:t>
            </w:r>
          </w:p>
          <w:p w:rsidR="000F23FD" w:rsidRPr="0007213D" w:rsidRDefault="000F23FD" w:rsidP="00DD692C">
            <w:pPr>
              <w:ind w:firstLine="309"/>
              <w:jc w:val="both"/>
              <w:rPr>
                <w:bCs/>
                <w:sz w:val="26"/>
                <w:szCs w:val="26"/>
              </w:rPr>
            </w:pPr>
            <w:r w:rsidRPr="0007213D">
              <w:rPr>
                <w:bCs/>
                <w:sz w:val="26"/>
                <w:szCs w:val="26"/>
              </w:rPr>
              <w:t>в 2025-2030 годах – 141 491,48 тыс. рублей.</w:t>
            </w:r>
          </w:p>
        </w:tc>
      </w:tr>
      <w:tr w:rsidR="000F23FD" w:rsidRPr="00F41C13" w:rsidTr="00DD692C">
        <w:trPr>
          <w:trHeight w:val="131"/>
        </w:trPr>
        <w:tc>
          <w:tcPr>
            <w:tcW w:w="2385" w:type="dxa"/>
          </w:tcPr>
          <w:p w:rsidR="000F23FD" w:rsidRPr="0007213D" w:rsidRDefault="000F23FD" w:rsidP="00DD692C">
            <w:pPr>
              <w:rPr>
                <w:color w:val="FFFFFF" w:themeColor="background1"/>
                <w:sz w:val="26"/>
                <w:szCs w:val="26"/>
              </w:rPr>
            </w:pPr>
            <w:r w:rsidRPr="0007213D">
              <w:rPr>
                <w:sz w:val="26"/>
                <w:szCs w:val="26"/>
              </w:rPr>
              <w:lastRenderedPageBreak/>
              <w:t>в том числе  финансовое обеспечение портфеля проектов, проекта</w:t>
            </w:r>
          </w:p>
        </w:tc>
        <w:tc>
          <w:tcPr>
            <w:tcW w:w="7366" w:type="dxa"/>
          </w:tcPr>
          <w:p w:rsidR="000F23FD" w:rsidRPr="001F27B9" w:rsidRDefault="007941B2" w:rsidP="007941B2">
            <w:pPr>
              <w:ind w:firstLine="31"/>
              <w:jc w:val="both"/>
              <w:rPr>
                <w:bCs/>
                <w:sz w:val="26"/>
                <w:szCs w:val="26"/>
              </w:rPr>
            </w:pPr>
            <w:r w:rsidRPr="007941B2">
              <w:rPr>
                <w:bCs/>
                <w:sz w:val="26"/>
                <w:szCs w:val="26"/>
              </w:rPr>
              <w:t>Муниципальная программа не содержит финансового обеспеч</w:t>
            </w:r>
            <w:bookmarkStart w:id="0" w:name="_GoBack"/>
            <w:bookmarkEnd w:id="0"/>
            <w:r w:rsidRPr="007941B2">
              <w:rPr>
                <w:bCs/>
                <w:sz w:val="26"/>
                <w:szCs w:val="26"/>
              </w:rPr>
              <w:t>ения портфеля проектов, проекта</w:t>
            </w:r>
          </w:p>
        </w:tc>
      </w:tr>
    </w:tbl>
    <w:p w:rsidR="006147C8" w:rsidRDefault="007941B2"/>
    <w:sectPr w:rsidR="00614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A5294"/>
    <w:multiLevelType w:val="hybridMultilevel"/>
    <w:tmpl w:val="E740444C"/>
    <w:lvl w:ilvl="0" w:tplc="9830D3F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D8"/>
    <w:rsid w:val="0007213D"/>
    <w:rsid w:val="000F23FD"/>
    <w:rsid w:val="003C59D8"/>
    <w:rsid w:val="005C10DB"/>
    <w:rsid w:val="007941B2"/>
    <w:rsid w:val="00971230"/>
    <w:rsid w:val="00E1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2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1">
    <w:name w:val="Абзац списка1"/>
    <w:basedOn w:val="a"/>
    <w:rsid w:val="000F23FD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2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1">
    <w:name w:val="Абзац списка1"/>
    <w:basedOn w:val="a"/>
    <w:rsid w:val="000F23FD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Жанна Сергевна</dc:creator>
  <cp:lastModifiedBy>Николаева Ольга Владимировна</cp:lastModifiedBy>
  <cp:revision>4</cp:revision>
  <dcterms:created xsi:type="dcterms:W3CDTF">2018-10-24T06:54:00Z</dcterms:created>
  <dcterms:modified xsi:type="dcterms:W3CDTF">2018-11-02T10:25:00Z</dcterms:modified>
</cp:coreProperties>
</file>