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174" w:type="dxa"/>
        <w:tblInd w:w="-459" w:type="dxa"/>
        <w:tblLayout w:type="fixed"/>
        <w:tblLook w:val="04A0" w:firstRow="1" w:lastRow="0" w:firstColumn="1" w:lastColumn="0" w:noHBand="0" w:noVBand="1"/>
      </w:tblPr>
      <w:tblGrid>
        <w:gridCol w:w="3261"/>
        <w:gridCol w:w="567"/>
        <w:gridCol w:w="425"/>
        <w:gridCol w:w="425"/>
        <w:gridCol w:w="1276"/>
        <w:gridCol w:w="518"/>
        <w:gridCol w:w="1183"/>
        <w:gridCol w:w="1134"/>
        <w:gridCol w:w="1276"/>
        <w:gridCol w:w="857"/>
        <w:gridCol w:w="1263"/>
        <w:gridCol w:w="1134"/>
        <w:gridCol w:w="998"/>
        <w:gridCol w:w="857"/>
      </w:tblGrid>
      <w:tr w:rsidR="00237F37" w:rsidRPr="00B83B4B" w:rsidTr="00B83B4B">
        <w:trPr>
          <w:cantSplit/>
        </w:trPr>
        <w:tc>
          <w:tcPr>
            <w:tcW w:w="15174" w:type="dxa"/>
            <w:gridSpan w:val="14"/>
            <w:shd w:val="clear" w:color="auto" w:fill="auto"/>
            <w:noWrap/>
            <w:vAlign w:val="center"/>
            <w:hideMark/>
          </w:tcPr>
          <w:p w:rsidR="00B83B4B" w:rsidRPr="006431E8" w:rsidRDefault="00B83B4B" w:rsidP="006431E8">
            <w:pPr>
              <w:spacing w:after="0" w:line="240" w:lineRule="auto"/>
              <w:ind w:left="10813"/>
              <w:rPr>
                <w:rFonts w:ascii="Times New Roman" w:hAnsi="Times New Roman" w:cs="Times New Roman"/>
              </w:rPr>
            </w:pPr>
            <w:r w:rsidRPr="006431E8">
              <w:rPr>
                <w:rFonts w:ascii="Times New Roman" w:hAnsi="Times New Roman" w:cs="Times New Roman"/>
              </w:rPr>
              <w:t xml:space="preserve">Приложение 6.1 к решению </w:t>
            </w:r>
          </w:p>
          <w:p w:rsidR="00B83B4B" w:rsidRPr="006431E8" w:rsidRDefault="00B83B4B" w:rsidP="006431E8">
            <w:pPr>
              <w:spacing w:after="0" w:line="240" w:lineRule="auto"/>
              <w:ind w:left="10813"/>
              <w:rPr>
                <w:rFonts w:ascii="Times New Roman" w:hAnsi="Times New Roman" w:cs="Times New Roman"/>
              </w:rPr>
            </w:pPr>
            <w:r w:rsidRPr="006431E8">
              <w:rPr>
                <w:rFonts w:ascii="Times New Roman" w:hAnsi="Times New Roman" w:cs="Times New Roman"/>
              </w:rPr>
              <w:t xml:space="preserve">Думы Нефтеюганского района </w:t>
            </w:r>
          </w:p>
          <w:p w:rsidR="00B4293E" w:rsidRDefault="00B4293E" w:rsidP="00B4293E">
            <w:pPr>
              <w:spacing w:after="0" w:line="240" w:lineRule="auto"/>
              <w:ind w:left="10813"/>
              <w:rPr>
                <w:rFonts w:ascii="Times New Roman" w:hAnsi="Times New Roman" w:cs="Times New Roman"/>
                <w:u w:val="single"/>
              </w:rPr>
            </w:pPr>
            <w:bookmarkStart w:id="0" w:name="_GoBack"/>
            <w:bookmarkEnd w:id="0"/>
            <w:r>
              <w:rPr>
                <w:rFonts w:ascii="Times New Roman" w:hAnsi="Times New Roman" w:cs="Times New Roman"/>
              </w:rPr>
              <w:t>от «</w:t>
            </w:r>
            <w:r>
              <w:rPr>
                <w:rFonts w:ascii="Times New Roman" w:hAnsi="Times New Roman" w:cs="Times New Roman"/>
                <w:u w:val="single"/>
              </w:rPr>
              <w:t xml:space="preserve"> 31  </w:t>
            </w:r>
            <w:r>
              <w:rPr>
                <w:rFonts w:ascii="Times New Roman" w:hAnsi="Times New Roman" w:cs="Times New Roman"/>
              </w:rPr>
              <w:t>»</w:t>
            </w:r>
            <w:r>
              <w:rPr>
                <w:rFonts w:ascii="Times New Roman" w:hAnsi="Times New Roman" w:cs="Times New Roman"/>
                <w:u w:val="single"/>
              </w:rPr>
              <w:t xml:space="preserve">   августа  </w:t>
            </w:r>
            <w:r>
              <w:rPr>
                <w:rFonts w:ascii="Times New Roman" w:hAnsi="Times New Roman" w:cs="Times New Roman"/>
              </w:rPr>
              <w:t>2021 года №</w:t>
            </w:r>
            <w:r>
              <w:rPr>
                <w:rFonts w:ascii="Times New Roman" w:hAnsi="Times New Roman" w:cs="Times New Roman"/>
                <w:u w:val="single"/>
              </w:rPr>
              <w:t xml:space="preserve"> 651 </w:t>
            </w:r>
            <w:r>
              <w:rPr>
                <w:rFonts w:ascii="Times New Roman" w:hAnsi="Times New Roman" w:cs="Times New Roman"/>
                <w:color w:val="FFFFFF" w:themeColor="background1"/>
                <w:u w:val="single"/>
              </w:rPr>
              <w:t>.</w:t>
            </w:r>
          </w:p>
          <w:p w:rsidR="00237F37" w:rsidRPr="006431E8" w:rsidRDefault="00237F37" w:rsidP="006431E8">
            <w:pPr>
              <w:spacing w:after="0" w:line="240" w:lineRule="auto"/>
              <w:ind w:left="10813"/>
              <w:rPr>
                <w:rFonts w:ascii="Times New Roman" w:hAnsi="Times New Roman" w:cs="Times New Roman"/>
              </w:rPr>
            </w:pPr>
          </w:p>
        </w:tc>
      </w:tr>
      <w:tr w:rsidR="00237F37" w:rsidRPr="00B83B4B" w:rsidTr="00B83B4B">
        <w:trPr>
          <w:cantSplit/>
        </w:trPr>
        <w:tc>
          <w:tcPr>
            <w:tcW w:w="15174" w:type="dxa"/>
            <w:gridSpan w:val="14"/>
            <w:shd w:val="clear" w:color="auto" w:fill="auto"/>
            <w:vAlign w:val="center"/>
            <w:hideMark/>
          </w:tcPr>
          <w:p w:rsidR="00B83B4B" w:rsidRPr="006431E8" w:rsidRDefault="00B83B4B" w:rsidP="006431E8">
            <w:pPr>
              <w:spacing w:after="0" w:line="240" w:lineRule="auto"/>
              <w:ind w:left="10813"/>
              <w:rPr>
                <w:rFonts w:ascii="Times New Roman" w:hAnsi="Times New Roman" w:cs="Times New Roman"/>
              </w:rPr>
            </w:pPr>
            <w:r w:rsidRPr="006431E8">
              <w:rPr>
                <w:rFonts w:ascii="Times New Roman" w:hAnsi="Times New Roman" w:cs="Times New Roman"/>
              </w:rPr>
              <w:t xml:space="preserve"> «Приложение 7.1 к решению</w:t>
            </w:r>
          </w:p>
          <w:p w:rsidR="00B83B4B" w:rsidRPr="006431E8" w:rsidRDefault="00B83B4B" w:rsidP="006431E8">
            <w:pPr>
              <w:spacing w:after="0" w:line="240" w:lineRule="auto"/>
              <w:ind w:left="10813"/>
              <w:rPr>
                <w:rFonts w:ascii="Times New Roman" w:eastAsia="Times New Roman" w:hAnsi="Times New Roman" w:cs="Times New Roman"/>
                <w:u w:val="single"/>
                <w:lang w:eastAsia="ru-RU"/>
              </w:rPr>
            </w:pPr>
            <w:r w:rsidRPr="006431E8">
              <w:rPr>
                <w:rFonts w:ascii="Times New Roman" w:hAnsi="Times New Roman" w:cs="Times New Roman"/>
              </w:rPr>
              <w:t xml:space="preserve">Думы Нефтеюганского района                                                                                                                                                                                                                                                                                                                                                  </w:t>
            </w:r>
            <w:r w:rsidRPr="006431E8">
              <w:rPr>
                <w:rFonts w:ascii="Times New Roman" w:eastAsia="Times New Roman" w:hAnsi="Times New Roman" w:cs="Times New Roman"/>
                <w:lang w:eastAsia="ru-RU"/>
              </w:rPr>
              <w:t>от «</w:t>
            </w:r>
            <w:r w:rsidRPr="006431E8">
              <w:rPr>
                <w:rFonts w:ascii="Times New Roman" w:eastAsia="Times New Roman" w:hAnsi="Times New Roman" w:cs="Times New Roman"/>
                <w:u w:val="single"/>
                <w:lang w:eastAsia="ru-RU"/>
              </w:rPr>
              <w:t>25</w:t>
            </w:r>
            <w:r w:rsidRPr="006431E8">
              <w:rPr>
                <w:rFonts w:ascii="Times New Roman" w:eastAsia="Times New Roman" w:hAnsi="Times New Roman" w:cs="Times New Roman"/>
                <w:lang w:eastAsia="ru-RU"/>
              </w:rPr>
              <w:t>»</w:t>
            </w:r>
            <w:r w:rsidRPr="006431E8">
              <w:rPr>
                <w:rFonts w:ascii="Times New Roman" w:eastAsia="Times New Roman" w:hAnsi="Times New Roman" w:cs="Times New Roman"/>
                <w:u w:val="single"/>
                <w:lang w:eastAsia="ru-RU"/>
              </w:rPr>
              <w:t xml:space="preserve"> ноября</w:t>
            </w:r>
            <w:r w:rsidRPr="006431E8">
              <w:rPr>
                <w:rFonts w:ascii="Times New Roman" w:eastAsia="Times New Roman" w:hAnsi="Times New Roman" w:cs="Times New Roman"/>
                <w:lang w:eastAsia="ru-RU"/>
              </w:rPr>
              <w:t xml:space="preserve"> 2020 года №</w:t>
            </w:r>
            <w:r w:rsidRPr="006431E8">
              <w:rPr>
                <w:rFonts w:ascii="Times New Roman" w:eastAsia="Times New Roman" w:hAnsi="Times New Roman" w:cs="Times New Roman"/>
                <w:u w:val="single"/>
                <w:lang w:eastAsia="ru-RU"/>
              </w:rPr>
              <w:t xml:space="preserve"> 548</w:t>
            </w:r>
          </w:p>
          <w:p w:rsidR="00237F37" w:rsidRDefault="00237F37" w:rsidP="006431E8">
            <w:pPr>
              <w:spacing w:after="0" w:line="240" w:lineRule="auto"/>
              <w:ind w:left="10813"/>
              <w:rPr>
                <w:rFonts w:ascii="Times New Roman" w:hAnsi="Times New Roman" w:cs="Times New Roman"/>
              </w:rPr>
            </w:pPr>
          </w:p>
          <w:p w:rsidR="006431E8" w:rsidRPr="006431E8" w:rsidRDefault="006431E8" w:rsidP="006431E8">
            <w:pPr>
              <w:spacing w:after="0" w:line="240" w:lineRule="auto"/>
              <w:ind w:left="10813"/>
              <w:rPr>
                <w:rFonts w:ascii="Times New Roman" w:hAnsi="Times New Roman" w:cs="Times New Roman"/>
              </w:rPr>
            </w:pPr>
          </w:p>
        </w:tc>
      </w:tr>
      <w:tr w:rsidR="00237F37" w:rsidRPr="00B83B4B" w:rsidTr="00B83B4B">
        <w:trPr>
          <w:cantSplit/>
        </w:trPr>
        <w:tc>
          <w:tcPr>
            <w:tcW w:w="15174" w:type="dxa"/>
            <w:gridSpan w:val="14"/>
            <w:shd w:val="clear" w:color="auto" w:fill="auto"/>
            <w:vAlign w:val="center"/>
            <w:hideMark/>
          </w:tcPr>
          <w:p w:rsidR="00B83B4B" w:rsidRDefault="00237F37" w:rsidP="00B83B4B">
            <w:pPr>
              <w:spacing w:after="0"/>
              <w:jc w:val="center"/>
              <w:rPr>
                <w:rFonts w:ascii="Times New Roman" w:hAnsi="Times New Roman" w:cs="Times New Roman"/>
                <w:b/>
                <w:bCs/>
                <w:sz w:val="24"/>
                <w:szCs w:val="24"/>
              </w:rPr>
            </w:pPr>
            <w:r w:rsidRPr="006431E8">
              <w:rPr>
                <w:rFonts w:ascii="Times New Roman" w:hAnsi="Times New Roman" w:cs="Times New Roman"/>
                <w:b/>
                <w:bCs/>
                <w:sz w:val="24"/>
                <w:szCs w:val="24"/>
              </w:rPr>
              <w:t>Ведомственная структура  расходов бюджета Нефтеюганского района на плановый период 2022 и 2023 годов</w:t>
            </w:r>
          </w:p>
          <w:p w:rsidR="006431E8" w:rsidRPr="006431E8" w:rsidRDefault="006431E8" w:rsidP="00B83B4B">
            <w:pPr>
              <w:spacing w:after="0"/>
              <w:jc w:val="center"/>
              <w:rPr>
                <w:rFonts w:ascii="Times New Roman" w:hAnsi="Times New Roman" w:cs="Times New Roman"/>
                <w:b/>
                <w:bCs/>
                <w:sz w:val="24"/>
                <w:szCs w:val="24"/>
              </w:rPr>
            </w:pPr>
          </w:p>
        </w:tc>
      </w:tr>
      <w:tr w:rsidR="00237F37" w:rsidRPr="00B83B4B" w:rsidTr="00B83B4B">
        <w:trPr>
          <w:cantSplit/>
        </w:trPr>
        <w:tc>
          <w:tcPr>
            <w:tcW w:w="3261"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p>
        </w:tc>
        <w:tc>
          <w:tcPr>
            <w:tcW w:w="425"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425"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1276"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518"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1183"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1134"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p>
        </w:tc>
        <w:tc>
          <w:tcPr>
            <w:tcW w:w="857"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1263"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1134"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998"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c>
          <w:tcPr>
            <w:tcW w:w="857" w:type="dxa"/>
            <w:shd w:val="clear" w:color="auto" w:fill="auto"/>
            <w:noWrap/>
            <w:vAlign w:val="bottom"/>
            <w:hideMark/>
          </w:tcPr>
          <w:p w:rsidR="00237F37" w:rsidRPr="00B83B4B" w:rsidRDefault="00237F37" w:rsidP="00B83B4B">
            <w:pPr>
              <w:spacing w:after="0"/>
              <w:rPr>
                <w:rFonts w:ascii="Times New Roman" w:hAnsi="Times New Roman" w:cs="Times New Roman"/>
                <w:sz w:val="16"/>
                <w:szCs w:val="16"/>
              </w:rPr>
            </w:pPr>
          </w:p>
        </w:tc>
      </w:tr>
      <w:tr w:rsidR="00B83B4B" w:rsidRPr="00B83B4B" w:rsidTr="00B83B4B">
        <w:trPr>
          <w:cantSplit/>
        </w:trPr>
        <w:tc>
          <w:tcPr>
            <w:tcW w:w="3261"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567"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425"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425"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1276"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518"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1183"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1134"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1276" w:type="dxa"/>
            <w:tcBorders>
              <w:bottom w:val="single" w:sz="4" w:space="0" w:color="auto"/>
            </w:tcBorders>
            <w:shd w:val="clear" w:color="auto" w:fill="auto"/>
            <w:noWrap/>
            <w:vAlign w:val="bottom"/>
            <w:hideMark/>
          </w:tcPr>
          <w:p w:rsidR="00B83B4B" w:rsidRPr="00B83B4B" w:rsidRDefault="00B83B4B" w:rsidP="00B83B4B">
            <w:pPr>
              <w:spacing w:after="0"/>
              <w:jc w:val="right"/>
              <w:rPr>
                <w:rFonts w:ascii="Times New Roman" w:hAnsi="Times New Roman" w:cs="Times New Roman"/>
                <w:sz w:val="16"/>
                <w:szCs w:val="16"/>
              </w:rPr>
            </w:pPr>
          </w:p>
        </w:tc>
        <w:tc>
          <w:tcPr>
            <w:tcW w:w="857"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1134" w:type="dxa"/>
            <w:tcBorders>
              <w:bottom w:val="single" w:sz="4" w:space="0" w:color="auto"/>
            </w:tcBorders>
            <w:shd w:val="clear" w:color="auto" w:fill="auto"/>
            <w:noWrap/>
            <w:vAlign w:val="bottom"/>
            <w:hideMark/>
          </w:tcPr>
          <w:p w:rsidR="00B83B4B" w:rsidRPr="00B83B4B" w:rsidRDefault="00B83B4B" w:rsidP="00B83B4B">
            <w:pPr>
              <w:spacing w:after="0"/>
              <w:rPr>
                <w:rFonts w:ascii="Times New Roman" w:hAnsi="Times New Roman" w:cs="Times New Roman"/>
                <w:sz w:val="16"/>
                <w:szCs w:val="16"/>
              </w:rPr>
            </w:pPr>
          </w:p>
        </w:tc>
        <w:tc>
          <w:tcPr>
            <w:tcW w:w="1855" w:type="dxa"/>
            <w:gridSpan w:val="2"/>
            <w:tcBorders>
              <w:bottom w:val="single" w:sz="4" w:space="0" w:color="auto"/>
            </w:tcBorders>
            <w:shd w:val="clear" w:color="auto" w:fill="auto"/>
            <w:noWrap/>
            <w:vAlign w:val="bottom"/>
            <w:hideMark/>
          </w:tcPr>
          <w:p w:rsidR="00B83B4B" w:rsidRPr="00B83B4B" w:rsidRDefault="00B83B4B" w:rsidP="00B83B4B">
            <w:pPr>
              <w:spacing w:after="0"/>
              <w:jc w:val="right"/>
              <w:rPr>
                <w:rFonts w:ascii="Times New Roman" w:hAnsi="Times New Roman" w:cs="Times New Roman"/>
                <w:sz w:val="16"/>
                <w:szCs w:val="16"/>
              </w:rPr>
            </w:pPr>
            <w:r w:rsidRPr="00B83B4B">
              <w:rPr>
                <w:rFonts w:ascii="Times New Roman" w:hAnsi="Times New Roman" w:cs="Times New Roman"/>
                <w:sz w:val="16"/>
                <w:szCs w:val="16"/>
              </w:rPr>
              <w:t>тыс.рублей</w:t>
            </w:r>
          </w:p>
        </w:tc>
      </w:tr>
      <w:tr w:rsidR="00237F37" w:rsidRPr="00B83B4B" w:rsidTr="00B83B4B">
        <w:trPr>
          <w:cantSplit/>
        </w:trPr>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Пр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Целевая статья раздела</w:t>
            </w:r>
          </w:p>
        </w:tc>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Вид расхода</w:t>
            </w:r>
          </w:p>
        </w:tc>
        <w:tc>
          <w:tcPr>
            <w:tcW w:w="4450" w:type="dxa"/>
            <w:gridSpan w:val="4"/>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2022</w:t>
            </w:r>
          </w:p>
        </w:tc>
        <w:tc>
          <w:tcPr>
            <w:tcW w:w="4252" w:type="dxa"/>
            <w:gridSpan w:val="4"/>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2023</w:t>
            </w:r>
          </w:p>
        </w:tc>
      </w:tr>
      <w:tr w:rsidR="00237F37" w:rsidRPr="00B83B4B" w:rsidTr="00B83B4B">
        <w:trPr>
          <w:cantSplit/>
        </w:trPr>
        <w:tc>
          <w:tcPr>
            <w:tcW w:w="32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rPr>
                <w:rFonts w:ascii="Times New Roman" w:hAnsi="Times New Roman"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rPr>
                <w:rFonts w:ascii="Times New Roman" w:hAnsi="Times New Roman" w:cs="Times New Roman"/>
                <w:sz w:val="16"/>
                <w:szCs w:val="16"/>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rPr>
                <w:rFonts w:ascii="Times New Roman" w:hAnsi="Times New Roman" w:cs="Times New Roman"/>
                <w:sz w:val="16"/>
                <w:szCs w:val="16"/>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rPr>
                <w:rFonts w:ascii="Times New Roman" w:hAnsi="Times New Roman" w:cs="Times New Roman"/>
                <w:sz w:val="16"/>
                <w:szCs w:val="16"/>
              </w:rPr>
            </w:pPr>
          </w:p>
        </w:tc>
        <w:tc>
          <w:tcPr>
            <w:tcW w:w="5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37F37" w:rsidRPr="00B83B4B" w:rsidRDefault="00237F37" w:rsidP="00B83B4B">
            <w:pPr>
              <w:spacing w:after="0"/>
              <w:rPr>
                <w:rFonts w:ascii="Times New Roman" w:hAnsi="Times New Roman" w:cs="Times New Roman"/>
                <w:sz w:val="16"/>
                <w:szCs w:val="16"/>
              </w:rPr>
            </w:pP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Всего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Всего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261"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w:t>
            </w:r>
          </w:p>
        </w:tc>
        <w:tc>
          <w:tcPr>
            <w:tcW w:w="567"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w:t>
            </w:r>
          </w:p>
        </w:tc>
        <w:tc>
          <w:tcPr>
            <w:tcW w:w="425"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w:t>
            </w:r>
          </w:p>
        </w:tc>
        <w:tc>
          <w:tcPr>
            <w:tcW w:w="425"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w:t>
            </w:r>
          </w:p>
        </w:tc>
        <w:tc>
          <w:tcPr>
            <w:tcW w:w="1276"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w:t>
            </w:r>
          </w:p>
        </w:tc>
        <w:tc>
          <w:tcPr>
            <w:tcW w:w="518"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w:t>
            </w:r>
          </w:p>
        </w:tc>
        <w:tc>
          <w:tcPr>
            <w:tcW w:w="1183"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w:t>
            </w:r>
          </w:p>
        </w:tc>
        <w:tc>
          <w:tcPr>
            <w:tcW w:w="1134"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w:t>
            </w:r>
          </w:p>
        </w:tc>
        <w:tc>
          <w:tcPr>
            <w:tcW w:w="1276"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w:t>
            </w:r>
          </w:p>
        </w:tc>
        <w:tc>
          <w:tcPr>
            <w:tcW w:w="857"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63"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1134"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998"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857" w:type="dxa"/>
            <w:tcBorders>
              <w:top w:val="single" w:sz="4" w:space="0" w:color="auto"/>
            </w:tcBorders>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16 156,76700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16 156,76700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16 156,76700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16 156,76700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16 156,76700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16 156,76700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16 156,76700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16 156,76700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Непрограммные расходы органов муниципальной власти Нефтеюганского </w:t>
            </w:r>
            <w:r w:rsidRPr="00B83B4B">
              <w:rPr>
                <w:rFonts w:ascii="Times New Roman" w:hAnsi="Times New Roman" w:cs="Times New Roman"/>
                <w:sz w:val="16"/>
                <w:szCs w:val="16"/>
              </w:rPr>
              <w:lastRenderedPageBreak/>
              <w:t>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деятельности Думы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8 159,79989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50.1.00.02040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50.1.00.02040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50.1.00.02040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4 088,46913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50.1.00.02110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50.1.00.02110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50.1.00.02110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4 071,33076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деятельности счётной палаты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7 996,96711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50.2.00.02040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50.2.00.02040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50.2.00.02040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5 160,32093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50.2.00.02250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B83B4B">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50.2.00.02250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50.2.00.02250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2 836,64618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479 890,37332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350 974,43332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128 915,94000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687 184,14132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560 324,48132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126 859,66000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231 400,20388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219 204,90388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12 195,30000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441 245,05028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429 039,95028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12 205,10000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1 001,74942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5 217,78510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16 820,89829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16 820,89829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223 420,99001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223 420,99001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16 820,89829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16 820,89829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223 420,99001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223 420,99001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16 755,99329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16 755,99329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223 356,08501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223 356,08501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16 755,99329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16 755,99329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223 356,08501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223 356,08501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16 755,99329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16 755,99329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223 356,08501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223 356,08501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16 514,32453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16 514,32453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223 114,41625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223 114,41625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16 514,32453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16 514,32453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223 114,41625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223 114,41625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241,66876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64,90500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Судебная система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w:t>
            </w:r>
            <w:r w:rsidRPr="00B83B4B">
              <w:rPr>
                <w:rFonts w:ascii="Times New Roman" w:hAnsi="Times New Roman" w:cs="Times New Roman"/>
                <w:sz w:val="16"/>
                <w:szCs w:val="16"/>
              </w:rPr>
              <w:lastRenderedPageBreak/>
              <w:t xml:space="preserve">присяжные заседатели федеральных судов общей юрисдикции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10.1.05.51200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10.1.05.51200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10.1.05.51200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213 575,55617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201 382,25617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12 193,30000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212 600,17517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200 401,17517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12 199,00000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4 471,10000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3 465,00000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4 476,80000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3 465,00000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1 011,80000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1 011,80000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1 011,80000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07.0.01.84210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1 011,80000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1 011,80000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07.0.01.84210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07.0.01.84210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Социальное обеспечение и иные выплаты </w:t>
            </w:r>
            <w:r w:rsidRPr="00B83B4B">
              <w:rPr>
                <w:rFonts w:ascii="Times New Roman" w:hAnsi="Times New Roman" w:cs="Times New Roman"/>
                <w:sz w:val="16"/>
                <w:szCs w:val="16"/>
              </w:rPr>
              <w:lastRenderedPageBreak/>
              <w:t>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07.0.01.84210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07.0.01.84210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07.0.01.84210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889,10000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889,10000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894,80000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07.0.01.84210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889,10000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889,10000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894,80000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2 580,00000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w:t>
            </w:r>
            <w:r w:rsidRPr="00B83B4B">
              <w:rPr>
                <w:rFonts w:ascii="Times New Roman" w:hAnsi="Times New Roman" w:cs="Times New Roman"/>
                <w:sz w:val="16"/>
                <w:szCs w:val="16"/>
              </w:rPr>
              <w:lastRenderedPageBreak/>
              <w:t>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10.1.04.84250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1 741,30000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10.1.04.84250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1 737,93196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1 737,93196</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1 725,53509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1 725,53509</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10.1.04.84250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1 737,93196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1 737,93196</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1 725,53509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1 725,53509</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10.1.04.84250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3,36804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3,36804</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15,76491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15,76491</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10.1.04.84250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3,36804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3,36804</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15,76491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15,76491</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13.1.01.61600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13.1.01.61600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13.1.01.61600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19.0.03.84270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9 445,90000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19.0.03.84270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19.0.03.84270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8 516,81800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19.0.03.84270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19.0.03.84270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929,08200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191 917,25617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191 917,25617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192 436,17517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192 436,17517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191 792,25617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191 792,25617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192 311,17517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192 311,17517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191 792,25617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191 792,25617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192 311,17517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192 311,17517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190 792,25617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190 792,25617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191 311,17517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191 311,17517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68 204,94962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68 204,94962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69 124,94962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69 124,94962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68 204,94962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68 204,94962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69 124,94962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69 124,94962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121 790,99256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121 790,99256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121 389,91156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121 389,91156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121 790,99256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121 790,99256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121 389,91156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121 389,91156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796,31399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20.2.03.02400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20.2.03.02400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Премии и гранты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20.2.03.02400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23 620,90632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18 323,10632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23 552,90632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18 323,10632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Органы юстиции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5 297,80000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5 229,80000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4 091,30000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4 091,30000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4 023,30000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4 023,30000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3 707,70938</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383,59062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383,59062</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315,59062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315,59062</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383,59062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383,59062</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315,59062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315,59062</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20.1.03.D9300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83B4B">
              <w:rPr>
                <w:rFonts w:ascii="Times New Roman" w:hAnsi="Times New Roman" w:cs="Times New Roman"/>
                <w:sz w:val="16"/>
                <w:szCs w:val="16"/>
              </w:rPr>
              <w:lastRenderedPageBreak/>
              <w:t>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20.1.03.D9300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20.1.03.D9300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1 206,50000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18 033,10632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Основное мероприятие "Правовое просвещение и правовое информирование 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ЭКОНОМИКА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144 917,62900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88 248,68900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56 668,94000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143 826,95060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87 748,69060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56 078,26000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93 816,83600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42 597,19600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51 219,64000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93 226,15600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42 597,19600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50 628,96000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93 816,83600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42 597,19600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51 219,64000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93 226,15600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42 597,19600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50 628,96000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поддержку и развитие растениеводства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06.0.01.84140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06.0.01.84140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06.0.01.84140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84 977,47400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84 977,47400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поддержку и развитие животноводства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06.0.02.84350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06.0.02.84350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Субсидии юридическим лицам (кроме </w:t>
            </w:r>
            <w:r w:rsidRPr="00B83B4B">
              <w:rPr>
                <w:rFonts w:ascii="Times New Roman" w:hAnsi="Times New Roman" w:cs="Times New Roman"/>
                <w:sz w:val="16"/>
                <w:szCs w:val="16"/>
              </w:rPr>
              <w:lastRenderedPageBreak/>
              <w:t>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06.0.02.84350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46 835,10000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xml:space="preserve">46 </w:t>
            </w:r>
            <w:r w:rsidRPr="00B83B4B">
              <w:rPr>
                <w:rFonts w:ascii="Times New Roman" w:hAnsi="Times New Roman" w:cs="Times New Roman"/>
                <w:sz w:val="16"/>
                <w:szCs w:val="16"/>
              </w:rPr>
              <w:lastRenderedPageBreak/>
              <w:t>835,10000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38 142,37400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развитие рыбохозяйственного комплекса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06.0.03.84180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06.0.03.84180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06.0.03.84180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247,70000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1 063,42200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06.0.06.00000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поддержку  и развитие малых форм хозяйствования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06.0.06.84170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06.0.06.84170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B83B4B">
              <w:rPr>
                <w:rFonts w:ascii="Times New Roman" w:hAnsi="Times New Roman" w:cs="Times New Roman"/>
                <w:sz w:val="16"/>
                <w:szCs w:val="16"/>
              </w:rPr>
              <w:lastRenderedPageBreak/>
              <w:t>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06.0.06.84170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1 025,00000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4 817,24000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2 175,84000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4 851,56000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2 210,16000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06.0.09.84200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2 175,84000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2 175,84000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2 210,16000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2 210,16000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06.0.09.84200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2 175,84000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2 175,84000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2 210,16000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2 210,16000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06.0.09.84200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2 175,84000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2 175,84000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2 210,16000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2 210,16000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2 641,40000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Связь и информатика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30 964,00000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30 964,00000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30 464,00000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30 464,00000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04.0.01.20070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04.0.01.20070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04.0.01.20070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4 450,00000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04.0.02.20070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04.0.02.20070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04.0.02.20070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Услуги в области информационных </w:t>
            </w:r>
            <w:r w:rsidRPr="00B83B4B">
              <w:rPr>
                <w:rFonts w:ascii="Times New Roman" w:hAnsi="Times New Roman" w:cs="Times New Roman"/>
                <w:sz w:val="16"/>
                <w:szCs w:val="16"/>
              </w:rPr>
              <w:lastRenderedPageBreak/>
              <w:t>технологий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04.0.03.20070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04.0.03.20070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04.0.03.20070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04.0.04.20070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04.0.04.20070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04.0.04.20070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16 684,00000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16 684,00000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16 684,00000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16 684,00000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16 674,00000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21.1.07.00000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21.1.07.99990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21.1.07.99990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21.1.07.99990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1 185,50000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20 136,79300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14 687,49300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5 449,30000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20 136,79460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14 687,49460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5 449,30000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Муниципальная программа </w:t>
            </w:r>
            <w:r w:rsidRPr="00B83B4B">
              <w:rPr>
                <w:rFonts w:ascii="Times New Roman" w:hAnsi="Times New Roman" w:cs="Times New Roman"/>
                <w:sz w:val="16"/>
                <w:szCs w:val="16"/>
              </w:rPr>
              <w:lastRenderedPageBreak/>
              <w:t>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xml:space="preserve">2 </w:t>
            </w:r>
            <w:r w:rsidRPr="00B83B4B">
              <w:rPr>
                <w:rFonts w:ascii="Times New Roman" w:hAnsi="Times New Roman" w:cs="Times New Roman"/>
                <w:sz w:val="16"/>
                <w:szCs w:val="16"/>
              </w:rPr>
              <w:lastRenderedPageBreak/>
              <w:t>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развитие деятельности по заготовке и переработке дикоросов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06.0.04.84190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06.0.04.84190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06.0.04.84190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2 382,50000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w:t>
            </w:r>
            <w:r w:rsidRPr="00B83B4B">
              <w:rPr>
                <w:rFonts w:ascii="Times New Roman" w:hAnsi="Times New Roman" w:cs="Times New Roman"/>
                <w:sz w:val="16"/>
                <w:szCs w:val="16"/>
              </w:rPr>
              <w:lastRenderedPageBreak/>
              <w:t>Нефтеюганского района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«Градостроительная деятельность»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реализацию мероприятий по градостроительной деятельности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08.1.01.82761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08.1.01.82761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08.1.01.82761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1 629,21300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08.1.01.S2761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08.1.01.S2761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08.1.01.S2761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370,78700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3 640,49160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3 640,49160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3 640,49160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3 640,49160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"Создание условий </w:t>
            </w:r>
            <w:r w:rsidRPr="00B83B4B">
              <w:rPr>
                <w:rFonts w:ascii="Times New Roman" w:hAnsi="Times New Roman" w:cs="Times New Roman"/>
                <w:sz w:val="16"/>
                <w:szCs w:val="16"/>
              </w:rPr>
              <w:lastRenderedPageBreak/>
              <w:t>для развития субъектов малого и среднего предпринимательства"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458,95000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767,09556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767,09716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14.1.I4.00000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2 414,44444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2 414,44444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2 414,44444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2 414,44444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поддержку малого и среднего предпринимательства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14.1.I4.82380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14.1.I4.82380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14.1.I4.82380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2 173,00000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Поддержка малого и среднего предпринимательства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14.1.I4.S2380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14.1.I4.S2380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14.1.I4.S2380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241,44444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3 088,80000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3 088,80000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"Исполнение переданных отдельных государственных полномочий в сфере трудовых отношений и </w:t>
            </w:r>
            <w:r w:rsidRPr="00B83B4B">
              <w:rPr>
                <w:rFonts w:ascii="Times New Roman" w:hAnsi="Times New Roman" w:cs="Times New Roman"/>
                <w:sz w:val="16"/>
                <w:szCs w:val="16"/>
              </w:rPr>
              <w:lastRenderedPageBreak/>
              <w:t>государственного управления охраной труда"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18.0.01.84120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3 066,80000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18.0.01.84120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2 728,33219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2 728,33219</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2 603,33219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2 603,33219</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18.0.01.84120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2 728,33219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2 728,33219</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2 603,33219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2 603,33219</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18.0.01.84120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338,46781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338,46781</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463,46781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463,46781</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18.0.01.84120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338,46781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338,46781</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463,46781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463,46781</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625,00300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Проведение работ по формированию земельных участков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20.1.02.20621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20.1.02.20621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20.1.02.20621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375,00300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ОХРАНА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"Повышение квалификации, формирование резервов </w:t>
            </w:r>
            <w:r w:rsidRPr="00B83B4B">
              <w:rPr>
                <w:rFonts w:ascii="Times New Roman" w:hAnsi="Times New Roman" w:cs="Times New Roman"/>
                <w:sz w:val="16"/>
                <w:szCs w:val="16"/>
              </w:rPr>
              <w:lastRenderedPageBreak/>
              <w:t>управленческих кадров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КУЛЬТУРА, КИНЕМАТОГРАФИЯ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6 840,53412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6 582,73412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6 863,33412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6 582,73412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6 840,53412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6 582,73412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6 863,33412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6 582,73412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2 202,47000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4 638,06412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4 660,86412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4 638,06412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4 660,86412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w:t>
            </w:r>
            <w:r w:rsidRPr="00B83B4B">
              <w:rPr>
                <w:rFonts w:ascii="Times New Roman" w:hAnsi="Times New Roman" w:cs="Times New Roman"/>
                <w:sz w:val="16"/>
                <w:szCs w:val="16"/>
              </w:rPr>
              <w:lastRenderedPageBreak/>
              <w:t>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4 638,06412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4 660,86412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20.1.04.20628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20.1.04.20628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20.1.04.20628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4 380,26412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20.1.04.84100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20.1.04.84100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20.1.04.84100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257,80000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СОЦИАЛЬНАЯ ПОЛИТИКА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72 016,10000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17 520,00000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54 496,10000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70 585,90000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17 520,00000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53 065,90000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Пенсионное обеспечение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20.1.01.71600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20.1.01.71600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20.1.01.71600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Охрана семьи и детства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19.0.01.84060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19.0.01.84060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19.0.01.84060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36 819,20000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35 389,00000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Муниципальная программа Нефтеюганского района «Социальная </w:t>
            </w:r>
            <w:r w:rsidRPr="00B83B4B">
              <w:rPr>
                <w:rFonts w:ascii="Times New Roman" w:hAnsi="Times New Roman" w:cs="Times New Roman"/>
                <w:sz w:val="16"/>
                <w:szCs w:val="16"/>
              </w:rPr>
              <w:lastRenderedPageBreak/>
              <w:t>поддержка жителей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Субвенция на осуществление деятельности по опеке и попечительству</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19.0.02.84320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17 676,90000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19.0.02.84320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15 194,07000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19.0.02.84320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15 194,07000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19.0.02.84320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1 997,23000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1 997,23000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19.0.02.84320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1 997,23000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1 997,23000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19.0.02.84320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19.0.02.84320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485,60000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507 781,20400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411 252,16400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96 529,04000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760 475,78400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663 783,16400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96 692,62000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150 239,08900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149 572,68900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231 434,08900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230 767,68900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55 639,08900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54 972,68900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55 834,08900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55 167,68900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55 639,08900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54 972,68900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55 834,08900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55 167,68900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55 639,08900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54 972,68900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55 834,08900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55 167,68900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55 639,08900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54 972,68900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55 834,08900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55 167,68900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на обеспечение функций органов </w:t>
            </w:r>
            <w:r w:rsidRPr="00B83B4B">
              <w:rPr>
                <w:rFonts w:ascii="Times New Roman" w:hAnsi="Times New Roman" w:cs="Times New Roman"/>
                <w:sz w:val="16"/>
                <w:szCs w:val="16"/>
              </w:rPr>
              <w:lastRenderedPageBreak/>
              <w:t>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54 972,68900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54 972,68900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55 167,68900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55 167,68900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54 935,68900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54 935,68900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55 130,68900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55 130,68900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54 935,68900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54 935,68900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55 130,68900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55 130,68900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17.1.01.84260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17.1.01.84260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17.1.01.84260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Резервные фонды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Резервный фонд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50.0.00.20940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50.0.00.20940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Резервные средства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50.0.00.20940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Резервные средства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88 000,00000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169 000,00000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xml:space="preserve">169 </w:t>
            </w:r>
            <w:r w:rsidRPr="00B83B4B">
              <w:rPr>
                <w:rFonts w:ascii="Times New Roman" w:hAnsi="Times New Roman" w:cs="Times New Roman"/>
                <w:sz w:val="16"/>
                <w:szCs w:val="16"/>
              </w:rPr>
              <w:lastRenderedPageBreak/>
              <w:t>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ОБОРОНА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50.0.00.51180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50.0.00.51180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50.0.00.51180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4 934,00000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5 111,20000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1 039,60000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Органы юстиции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986,10000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963,90000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733,70000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733,70000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20.1.03.59300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755,90000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733,70000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20.1.03.D9300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20.1.03.D9300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20.1.03.D9300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230,20000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Муниципальная программа </w:t>
            </w:r>
            <w:r w:rsidRPr="00B83B4B">
              <w:rPr>
                <w:rFonts w:ascii="Times New Roman" w:hAnsi="Times New Roman" w:cs="Times New Roman"/>
                <w:sz w:val="16"/>
                <w:szCs w:val="16"/>
              </w:rPr>
              <w:lastRenderedPageBreak/>
              <w:t>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создание условий для деятельности народных дружин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10.1.01.82300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10.1.01.82300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10.1.01.82300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ЭКОНОМИКА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06.0.09.84200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06.0.09.84200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06.0.09.84200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543,96000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552,54000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Благоустройство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реализацию инициативных проектов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09.4.04.89011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09.4.04.89011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Иные 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09.4.04.89011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09.4.F2.00000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09.4.F2.55550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09.4.F2.55550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09.4.F2.55550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7 541,87500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ОХРАНА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16 506,88000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16 506,88000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16 506,88000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16 506,88000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16 506,88000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16 506,88000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12.0.02.84290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12.0.02.84290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12.0.02.84290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24,18000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B83B4B">
              <w:rPr>
                <w:rFonts w:ascii="Times New Roman" w:hAnsi="Times New Roman" w:cs="Times New Roman"/>
                <w:sz w:val="16"/>
                <w:szCs w:val="16"/>
              </w:rPr>
              <w:br/>
              <w:t>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12.0.03.89002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12.0.03.89002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12.0.03.89002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16 482,70000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50.0.00.20980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50.0.00.20980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50.0.00.20980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474 169,60000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384 795,20000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17.3.01.86010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17.3.01.86010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Дотации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17.3.01.86010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300 833,60000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211 459,20000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89 374,40000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173 336,00000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173 336,00000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173 336,00000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173 336,00000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173 336,00000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173 336,00000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17.3.01.89030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17.3.01.89030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17.3.01.89030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170 336,00000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17.3.02.89050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17.3.02.89050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17.3.02.89050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17.3.03.89070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17.3.03.89070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Иные межбюджетные трансферты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17.3.03.89070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436 972,63300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408 352,13300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28 620,50000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994 269,86800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966 691,16800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27 578,70000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7 256,50053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7 256,50053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45 321,75543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45 321,75543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7 256,50053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7 256,50053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45 321,75543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45 321,75543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7 256,50053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7 256,50053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45 321,75543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45 321,75543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2 676,73755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2 676,73755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2 675,79555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2 675,79555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16.0.01.20961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1 676,73755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1 676,73755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1 675,79555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1 675,79555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16.0.01.20961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1 676,73755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1 676,73755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1 675,79555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1 675,79555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16.0.01.20961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1 676,73755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1 676,73755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1 675,79555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1 675,79555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16.0.01.20963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16.0.01.20963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16.0.01.20963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4 579,76298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4 579,76298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42 645,95988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42 645,95988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4 579,76298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4 579,76298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42 645,95988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42 645,95988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4 239,76298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4 239,76298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42 305,95988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42 305,95988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4 239,76298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4 239,76298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42 305,95988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42 305,95988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Иные закупки товаров, работ и услуг для </w:t>
            </w:r>
            <w:r w:rsidRPr="00B83B4B">
              <w:rPr>
                <w:rFonts w:ascii="Times New Roman" w:hAnsi="Times New Roman" w:cs="Times New Roman"/>
                <w:sz w:val="16"/>
                <w:szCs w:val="16"/>
              </w:rPr>
              <w:lastRenderedPageBreak/>
              <w:t>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16.0.02.02040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397 502,84826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397 499,94826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917 784,73362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917 781,83362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Жилищное хозяйство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397 499,94826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397 499,94826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917 781,83362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917 781,83362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397 499,94826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397 499,94826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917 781,83362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917 781,83362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397 499,94826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397 499,94826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917 781,83362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917 781,83362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199 529,38646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199 529,38646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127 231,15946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127 231,15946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08.2.01.82762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105 598,40000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105 598,40000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55 653,70000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55 653,70000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08.2.01.82762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105 598,40000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105 598,40000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55 653,70000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55 653,70000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08.2.01.82762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105 598,40000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105 598,40000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55 653,70000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55 653,70000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80 879,49882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80 879,49882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64 698,91227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64 698,91227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80 879,49882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80 879,49882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64 698,91227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64 698,91227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80 879,49882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80 879,49882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64 698,91227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64 698,91227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08.2.01.S2762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13 051,48764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13 051,48764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6 878,54719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6 878,54719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08.2.01.S2762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13 051,48764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13 051,48764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6 878,54719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6 878,54719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08.2.01.S2762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13 051,48764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13 051,48764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6 878,54719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6 878,54719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197 970,56180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197 970,56180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790 550,67416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790 550,67416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44 634,00000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44 634,00000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178 235,80000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178 235,80000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44 634,00000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44 634,00000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178 235,80000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178 235,80000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44 634,00000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44 634,00000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178 235,80000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178 235,80000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131 559,80000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131 559,80000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525 354,30000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525 354,30000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131 559,80000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131 559,80000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525 354,30000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525 354,30000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131 559,80000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131 559,80000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525 354,30000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525 354,30000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08.2.F3.6748S</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21 776,76180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21 776,76180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86 960,57416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86 960,57416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08.2.F3.6748S</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21 776,76180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21 776,76180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86 960,57416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86 960,57416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08.2.F3.6748S</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21 776,76180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21 776,76180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86 960,57416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86 960,57416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жилищно-</w:t>
            </w:r>
            <w:r w:rsidRPr="00B83B4B">
              <w:rPr>
                <w:rFonts w:ascii="Times New Roman" w:hAnsi="Times New Roman" w:cs="Times New Roman"/>
                <w:sz w:val="16"/>
                <w:szCs w:val="16"/>
              </w:rPr>
              <w:lastRenderedPageBreak/>
              <w:t>коммунального хозяйства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08.3.03.84220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08.3.03.84220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08.3.03.84220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"Повышение квалификации, формирование резервов </w:t>
            </w:r>
            <w:r w:rsidRPr="00B83B4B">
              <w:rPr>
                <w:rFonts w:ascii="Times New Roman" w:hAnsi="Times New Roman" w:cs="Times New Roman"/>
                <w:sz w:val="16"/>
                <w:szCs w:val="16"/>
              </w:rPr>
              <w:lastRenderedPageBreak/>
              <w:t>управленческих кадров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СОЦИАЛЬНАЯ ПОЛИТИКА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32 173,28421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28 617,60000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31 123,37895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27 575,80000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16 065,50000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13 230,60000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08.3.03.51350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12 285,40000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12 285,40000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10 395,20000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10 395,20000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08.3.03.51350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12 285,40000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12 285,40000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10 395,20000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10 395,20000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08.3.03.51350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12 285,40000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12 285,40000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10 395,20000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10 395,20000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08.3.03.51760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3 780,10000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3 780,10000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2 835,40000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2 835,40000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08.3.03.51760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3 780,10000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3 780,10000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2 835,40000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2 835,40000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08.3.03.51760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3 780,10000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3 780,10000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2 835,40000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2 835,40000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Охрана семьи и детства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16 107,78421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17 892,77895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08.3.03.L4970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08.3.03.L4970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08.3.03.L4970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3 555,68421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3 547,57895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19.0.01.84310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19.0.01.84310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19.0.01.84310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12 552,10000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14 345,20000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2 070 527,40700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563 490,70700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1 507 036,70000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2 163 310,90700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629 920,30700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1 533 390,60000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ЭКОНОМИКА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14 002,50000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14 002,50000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Муниципальная программа Нефтеюганского района "Улучшение  условий и охраны  труда в муниципальном  </w:t>
            </w:r>
            <w:r w:rsidRPr="00B83B4B">
              <w:rPr>
                <w:rFonts w:ascii="Times New Roman" w:hAnsi="Times New Roman" w:cs="Times New Roman"/>
                <w:sz w:val="16"/>
                <w:szCs w:val="16"/>
              </w:rPr>
              <w:lastRenderedPageBreak/>
              <w:t>образовании  Нефтеюганский  район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18.0.03.85060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18.0.03.85060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18.0.03.85060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802,50000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Связь и информатика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ОХРАНА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2 034 298,90700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548 888,20700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1 485 410,70000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2 127 082,40700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615 317,80700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1 511 764,60000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Дошкольное 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553 617,35500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143 315,55500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556 367,31600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146 065,51600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552 460,85500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142 159,05500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555 777,91600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145 476,11600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547 960,85500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551 277,91600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547 960,85500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551 277,91600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137 659,05500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140 976,11600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410 301,80000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1 156,50000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589,40000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589,40000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02.0.02.20624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02.0.02.20624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02.0.02.20624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817,70000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Общее 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1 302 552,16100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241 267,66100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1 061 284,50000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1 329 972,82200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242 334,42200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1 087 638,40000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1 301 952,16100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240 667,66100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1 061 284,50000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1 329 727,72200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242 089,32200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1 087 638,40000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1 228 244,16100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231 567,66100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996 676,50000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1 229 665,82200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232 989,32200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996 676,50000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1 228 244,16100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231 567,66100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996 676,50000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1 229 665,82200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232 989,32200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996 676,50000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143 612,26100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143 612,26100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145 466,52200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145 466,52200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143 612,26100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143 612,26100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145 466,52200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145 466,52200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143 612,26100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xml:space="preserve">143 </w:t>
            </w:r>
            <w:r w:rsidRPr="00B83B4B">
              <w:rPr>
                <w:rFonts w:ascii="Times New Roman" w:hAnsi="Times New Roman" w:cs="Times New Roman"/>
                <w:sz w:val="16"/>
                <w:szCs w:val="16"/>
              </w:rPr>
              <w:lastRenderedPageBreak/>
              <w:t>612,26100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145 466,52200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xml:space="preserve">145 </w:t>
            </w:r>
            <w:r w:rsidRPr="00B83B4B">
              <w:rPr>
                <w:rFonts w:ascii="Times New Roman" w:hAnsi="Times New Roman" w:cs="Times New Roman"/>
                <w:sz w:val="16"/>
                <w:szCs w:val="16"/>
              </w:rPr>
              <w:lastRenderedPageBreak/>
              <w:t>466,52200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14 391,00000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01.1.03.53030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01.1.03.53030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01.1.03.53030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42 028,60000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991 556,90000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01.1.03.84305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5 119,60000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01.1.03.L3040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31 535,80000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31 535,80000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31 103,20000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31 103,20000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субсидий бюджетным, </w:t>
            </w:r>
            <w:r w:rsidRPr="00B83B4B">
              <w:rPr>
                <w:rFonts w:ascii="Times New Roman" w:hAnsi="Times New Roman" w:cs="Times New Roman"/>
                <w:sz w:val="16"/>
                <w:szCs w:val="16"/>
              </w:rPr>
              <w:lastRenderedPageBreak/>
              <w:t>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01.1.03.L3040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31 535,80000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31 535,80000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31 103,20000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31 103,20000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01.1.03.L3040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31 535,80000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31 535,80000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31 103,20000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31 103,20000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73 708,00000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100 061,90000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64 608,00000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90 961,90000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Адаптация приоритетных объектов социальной инфраструктуры и услуг для </w:t>
            </w:r>
            <w:r w:rsidRPr="00B83B4B">
              <w:rPr>
                <w:rFonts w:ascii="Times New Roman" w:hAnsi="Times New Roman" w:cs="Times New Roman"/>
                <w:sz w:val="16"/>
                <w:szCs w:val="16"/>
              </w:rPr>
              <w:lastRenderedPageBreak/>
              <w:t>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77 174,61600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77 174,61600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78 510,12800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78 510,12800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77 174,61600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77 174,61600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78 510,12800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78 510,12800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75 774,61600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75 774,61600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77 110,12800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77 110,12800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01.1.02.00592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субсидий бюджетным, автономным учреждениям и иным </w:t>
            </w:r>
            <w:r w:rsidRPr="00B83B4B">
              <w:rPr>
                <w:rFonts w:ascii="Times New Roman" w:hAnsi="Times New Roman" w:cs="Times New Roman"/>
                <w:sz w:val="16"/>
                <w:szCs w:val="16"/>
              </w:rPr>
              <w:lastRenderedPageBreak/>
              <w:t>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01.1.02.00592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01.1.02.00592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58 774,61600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58 774,61600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60 110,12800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60 110,12800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58 774,61600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58 774,61600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60 110,12800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60 110,12800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58 774,61600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58 774,61600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60 110,12800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60 110,12800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44 313,68900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44 313,68900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45 324,06600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45 324,06600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14 460,92700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14 460,92700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14 786,06200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14 786,06200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01.3.01.20812</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1 400,00000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2 050,71500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2 050,71500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2 068,91500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2 068,91500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1 827,91500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1 827,91500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1 827,91500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1 827,91500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1 783,81500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1 783,81500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1 783,81500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1 783,81500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1 157,41500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326,40000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02.0.02.20624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субсидий бюджетным, автономным учреждениям и иным </w:t>
            </w:r>
            <w:r w:rsidRPr="00B83B4B">
              <w:rPr>
                <w:rFonts w:ascii="Times New Roman" w:hAnsi="Times New Roman" w:cs="Times New Roman"/>
                <w:sz w:val="16"/>
                <w:szCs w:val="16"/>
              </w:rPr>
              <w:lastRenderedPageBreak/>
              <w:t>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02.0.02.20624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02.0.02.20624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Молодежная политика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48 669,39000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37 121,23000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48 794,85600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37 246,69600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36 618,00000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25 069,84000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36 743,46600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25 195,30600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27 846,66000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16 298,50000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27 846,66000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16 298,50000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27 846,66000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16 298,50000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27 846,66000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16 298,50000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3 656,74248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3 656,74248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3 656,74248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3 656,74248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466,07119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3 190,67129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субсидий бюджетным, </w:t>
            </w:r>
            <w:r w:rsidRPr="00B83B4B">
              <w:rPr>
                <w:rFonts w:ascii="Times New Roman" w:hAnsi="Times New Roman" w:cs="Times New Roman"/>
                <w:sz w:val="16"/>
                <w:szCs w:val="16"/>
              </w:rPr>
              <w:lastRenderedPageBreak/>
              <w:t>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01.1.05.20011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0,25752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01.1.05.82050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01.1.05.82050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01.1.05.82050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7 584,90000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11 548,16000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11 405,49545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142,66455</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01.1.05.S2050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01.1.05.S2050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01.1.05.S2050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5 056,60000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8 771,34000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8 771,34000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8 896,80600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8 896,80600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5 567,74000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5 567,74000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5 693,20600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5 693,20600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B83B4B">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01.2.01.20810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5 567,74000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5 567,74000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5 693,20600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5 693,20600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01.2.01.20810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01.2.01.20810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01.2.01.20810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Премии и гранты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01.2.01.20810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01.2.01.20810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5 267,74000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5 267,74000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5 393,20600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5 393,20600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01.2.01.20810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5 267,74000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5 267,74000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5 393,20600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5 393,20600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01.2.02.20811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3 203,60000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01.2.02.20811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Премии и гранты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01.2.02.20811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01.2.02.20811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01.2.02.20811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3 005,60000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Иные закупки товаров, работ и услуг для обеспечения государственных </w:t>
            </w:r>
            <w:r w:rsidRPr="00B83B4B">
              <w:rPr>
                <w:rFonts w:ascii="Times New Roman" w:hAnsi="Times New Roman" w:cs="Times New Roman"/>
                <w:sz w:val="16"/>
                <w:szCs w:val="16"/>
              </w:rPr>
              <w:lastRenderedPageBreak/>
              <w:t>(муниципальных)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15.2.01.20060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51,39000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15.2.01.20060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15.2.01.20060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27,84000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15.2.01.20060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15.2.01.20060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23,55000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50 234,67000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47 958,43000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2 276,24000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111 368,37000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109 092,13000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2 276,24000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49 934,67000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47 658,43000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2 276,24000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111 068,37000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108 792,13000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2 276,24000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13 963,17000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13 532,93000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13 963,17000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13 532,93000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8 091,14000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8 091,14000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8 091,14000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8 091,14000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на выплаты персоналу в целях обеспечения выполнения функций </w:t>
            </w:r>
            <w:r w:rsidRPr="00B83B4B">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6 996,00000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6 996,00000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6 996,00000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6 996,00000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01.1.01.20803</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622,99000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622,99000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622,99000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622,99000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142,10000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480,89000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480,89000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480,89000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480,89000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01.1.01.20804</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01.1.01.20807</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338,65000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338,65000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338,65000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338,65000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01.1.01.20807</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01.1.01.20807</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01.1.01.20807</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Субсидии автономным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01.1.01.20807</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202,75000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4 307,39000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4 307,39000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4 307,39000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4 307,39000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699,82000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699,82000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699,82000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699,82000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463,65000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174,67000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561,25000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561,25000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561,25000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561,25000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126,25000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Премии и гранты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3 046,32000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3 046,32000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3 046,32000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3 046,32000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271,45000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Закупка товаров, работ и услуг для </w:t>
            </w:r>
            <w:r w:rsidRPr="00B83B4B">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297,40000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2 477,47000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2 477,47000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2 477,47000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2 477,47000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2 089,67000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2 089,67000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2 089,67000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2 089,67000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01.1.02.20808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387,80000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387,80000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387,80000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01.1.04.20809</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1 074,40000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01.1.04.20809</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01.1.04.20809</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01.1.04.20809</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01.1.04.20809</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774,40000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490,24000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490,24000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01.1.05.84080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430,24000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35 971,50000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34 125,50000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97 105,20000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95 259,20000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35 971,50000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34 125,50000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97 105,20000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95 259,20000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30 137,10000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30 137,10000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46 920,80000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46 920,80000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17 363,40000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17 363,40000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34 011,60000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34 011,60000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17 363,40000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17 363,40000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34 011,60000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34 011,60000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12 773,70000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12 773,70000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12 909,20000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12 909,20000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12 773,70000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12 773,70000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12 909,20000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12 909,20000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3 988,40000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3 988,40000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48 338,40000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48 338,40000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3 966,40000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3 966,40000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48 316,40000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48 316,40000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3 966,40000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3 966,40000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48 316,40000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48 316,40000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B83B4B">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1 846,00000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субсидий бюджетным, </w:t>
            </w:r>
            <w:r w:rsidRPr="00B83B4B">
              <w:rPr>
                <w:rFonts w:ascii="Times New Roman" w:hAnsi="Times New Roman" w:cs="Times New Roman"/>
                <w:sz w:val="16"/>
                <w:szCs w:val="16"/>
              </w:rPr>
              <w:lastRenderedPageBreak/>
              <w:t>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21.1.06.99990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СОЦИАЛЬНАЯ ПОЛИТИКА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Охрана семьи и детства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01.3.03.84050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21 626,00000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452 912,44700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452 912,44700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452 808,62100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452 808,62100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ЭКОНОМИКА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Связь и информатика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67 063,79836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67 063,79836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67 063,79836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67 063,79836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66 421,39836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66 421,39836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66 421,39836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66 421,39836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66 201,39836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642,40000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642,40000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642,40000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642,40000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386,60000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386,60000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386,60000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342,10000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342,10000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342,10000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228,50000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субсидий бюджетным, </w:t>
            </w:r>
            <w:r w:rsidRPr="00B83B4B">
              <w:rPr>
                <w:rFonts w:ascii="Times New Roman" w:hAnsi="Times New Roman" w:cs="Times New Roman"/>
                <w:sz w:val="16"/>
                <w:szCs w:val="16"/>
              </w:rPr>
              <w:lastRenderedPageBreak/>
              <w:t>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Подпрограмма "Укрепление </w:t>
            </w:r>
            <w:r w:rsidRPr="00B83B4B">
              <w:rPr>
                <w:rFonts w:ascii="Times New Roman" w:hAnsi="Times New Roman" w:cs="Times New Roman"/>
                <w:sz w:val="16"/>
                <w:szCs w:val="16"/>
              </w:rPr>
              <w:lastRenderedPageBreak/>
              <w:t>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КУЛЬТУРА, КИНЕМАТОГРАФИЯ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229 737,70001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229 737,70001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229 627,70001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229 627,70001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Культура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135 664,81034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135 664,81034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135 554,81034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135 554,81034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02.0.01.20626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179,00000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134 704,81034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134 704,81034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134 704,81034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134 704,81034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Подпрограмма "Укрепление единого </w:t>
            </w:r>
            <w:r w:rsidRPr="00B83B4B">
              <w:rPr>
                <w:rFonts w:ascii="Times New Roman" w:hAnsi="Times New Roman" w:cs="Times New Roman"/>
                <w:sz w:val="16"/>
                <w:szCs w:val="16"/>
              </w:rPr>
              <w:lastRenderedPageBreak/>
              <w:t>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134 634,81034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xml:space="preserve">134 </w:t>
            </w:r>
            <w:r w:rsidRPr="00B83B4B">
              <w:rPr>
                <w:rFonts w:ascii="Times New Roman" w:hAnsi="Times New Roman" w:cs="Times New Roman"/>
                <w:sz w:val="16"/>
                <w:szCs w:val="16"/>
              </w:rPr>
              <w:lastRenderedPageBreak/>
              <w:t>634,81034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134 634,81034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xml:space="preserve">134 </w:t>
            </w:r>
            <w:r w:rsidRPr="00B83B4B">
              <w:rPr>
                <w:rFonts w:ascii="Times New Roman" w:hAnsi="Times New Roman" w:cs="Times New Roman"/>
                <w:sz w:val="16"/>
                <w:szCs w:val="16"/>
              </w:rPr>
              <w:lastRenderedPageBreak/>
              <w:t>634,81034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107 187,87723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107 187,87723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107 187,87723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107 187,87723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93 187,87723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03.2.03.61600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03.2.03.61600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03.2.03.61600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1 837,00000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25 559,93311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25 559,93311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25 559,93311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25 559,93311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24 867,55811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Субсидии на развитие сферы культуры в </w:t>
            </w:r>
            <w:r w:rsidRPr="00B83B4B">
              <w:rPr>
                <w:rFonts w:ascii="Times New Roman" w:hAnsi="Times New Roman" w:cs="Times New Roman"/>
                <w:sz w:val="16"/>
                <w:szCs w:val="16"/>
              </w:rPr>
              <w:lastRenderedPageBreak/>
              <w:t>муниципальных образованиях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03.2.04.82520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03.2.04.82520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03.2.04.82520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553,90000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03.2.04.S2520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03.2.04.S2520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03.2.04.S2520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138,47500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03.2.05.99990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07.0.04.99990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361,00000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Муниципальная программа Нефтеюганского района "Профилактика </w:t>
            </w:r>
            <w:r w:rsidRPr="00B83B4B">
              <w:rPr>
                <w:rFonts w:ascii="Times New Roman" w:hAnsi="Times New Roman" w:cs="Times New Roman"/>
                <w:sz w:val="16"/>
                <w:szCs w:val="16"/>
              </w:rPr>
              <w:lastRenderedPageBreak/>
              <w:t>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21.1.08.00000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21.1.08.99990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21.1.08.99990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21.1.08.99990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21.1.09.00000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21.1.09.99990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21.1.09.99990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21.1.09.99990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Основное мероприятие "Сохранение и популяризация самобытной казачьей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21.1.12.00000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21.1.12.99990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21.1.12.99990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21.1.12.99990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94 072,88967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9 735,87582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9 735,87582</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9 735,87582</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9 735,87582</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8 926,31311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8 765,43393</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03.2.02.00590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160,87918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809,56271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на выплаты персоналу в целях обеспечения выполнения функций </w:t>
            </w:r>
            <w:r w:rsidRPr="00B83B4B">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797,71271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03.2.04.00590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11,85000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84 337,01385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59 776,80021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59 776,80021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59 776,80021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59 776,80021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41 563,79621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18 213,00400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24 560,21364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24 560,21364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24 560,21364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24 560,21364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24 154,36364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Иные закупки товаров, работ и услуг для обеспечения государственных </w:t>
            </w:r>
            <w:r w:rsidRPr="00B83B4B">
              <w:rPr>
                <w:rFonts w:ascii="Times New Roman" w:hAnsi="Times New Roman" w:cs="Times New Roman"/>
                <w:sz w:val="16"/>
                <w:szCs w:val="16"/>
              </w:rPr>
              <w:lastRenderedPageBreak/>
              <w:t>(муниципальных)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03.3.01.02040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405,85000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138 984,21175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138 984,21175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138 990,38575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138 990,38575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Физическая культура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137 686,21175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137 686,21175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137 692,38575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137 692,38575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137 686,21175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137 686,21175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137 692,38575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137 692,38575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67 092,84381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67 092,84381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67 159,01781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67 159,01781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1 987,08045</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1 775,15445</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64 975,63836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64 975,63836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64 906,11336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64 906,11336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39 975,63836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39 975,63836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39 906,11336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39 906,11336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4 854,38479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35 017,25357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35 017,25357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34 947,72857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34 947,72857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35 017,25357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35 017,25357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34 947,72857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34 947,72857</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Предоставление субсидий бюджетным, </w:t>
            </w:r>
            <w:r w:rsidRPr="00B83B4B">
              <w:rPr>
                <w:rFonts w:ascii="Times New Roman" w:hAnsi="Times New Roman" w:cs="Times New Roman"/>
                <w:sz w:val="16"/>
                <w:szCs w:val="16"/>
              </w:rPr>
              <w:lastRenderedPageBreak/>
              <w:t>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130,12500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130,12500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477,75000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477,75000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05.1.05.82130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382,20000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382,20000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05.1.05.82130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382,20000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382,20000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05.1.05.82130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104,10000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382,20000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382,20000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05.1.05.S2130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26,02500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26,02500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95,55000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05.1.05.S2130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26,02500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26,02500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95,55000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05.1.05.S2130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26,02500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26,02500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95,55000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70 258,26794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70 258,26794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70 198,26794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70 198,26794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9 927,30000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9 767,30000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684,80000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784,80000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05.2.02.82110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05.2.02.82110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05.2.02.82110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84,80000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578,80000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578,80000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678,80000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578,80000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578,80000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678,80000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578,80000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578,80000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678,80000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678,80000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05.2.02.S2110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05.2.02.S2110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05.2.02.S2110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21,20000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05.2.03.00590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59 646,16794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335,10000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35,10000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Премии и гранты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05.3.02.99990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Массовый спорт</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05.1.01.61600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05.1.01.61600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05.1.01.61600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630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1 298,00000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13 126,73688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 xml:space="preserve">Департамент строительства и жилищно-коммунального комплекса </w:t>
            </w:r>
            <w:r w:rsidRPr="00B83B4B">
              <w:rPr>
                <w:rFonts w:ascii="Times New Roman" w:hAnsi="Times New Roman" w:cs="Times New Roman"/>
                <w:b/>
                <w:bCs/>
                <w:sz w:val="16"/>
                <w:szCs w:val="16"/>
              </w:rPr>
              <w:lastRenderedPageBreak/>
              <w:t>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1 114 550,06868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1 106 152,94868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8 397,12000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222 860,41168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214 463,29168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8 397,12000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11 667,76668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11 667,76668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12 481,71868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12 481,71868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Гражданская оборона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11.3.02.20916</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6 056,30498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6 870,25698</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5 611,46170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Основное мероприятие "Обеспечение деятельности муниципального казенного </w:t>
            </w:r>
            <w:r w:rsidRPr="00B83B4B">
              <w:rPr>
                <w:rFonts w:ascii="Times New Roman" w:hAnsi="Times New Roman" w:cs="Times New Roman"/>
                <w:sz w:val="16"/>
                <w:szCs w:val="16"/>
              </w:rPr>
              <w:lastRenderedPageBreak/>
              <w:t>учреждения "Единая дежурно-диспетчерская  служба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3 259,21514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3 253,24514</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5,97000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2 352,24656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2 352,24656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11.3.02.20915</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2 052,24656</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Содержание программного комплекса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11.3.02.20918</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НАЦИОНАЛЬНАЯ ЭКОНОМИКА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406 738,98711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406 738,98711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129 959,07300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129 959,07300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379 237,94444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15.1.02.20951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15.1.02.20951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15.1.02.20951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28 086,50000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15.1.02.82390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183 682,30000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183 682,30000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15.1.02.82390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183 682,30000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183 682,30000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15.1.02.82390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183 682,30000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183 682,30000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147 059,94444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147 059,94444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147 059,94444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147 059,94444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147 059,94444</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147 059,94444</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15.1.02.S2390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20 409,20000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20 409,20000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15.1.02.S2390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20 409,20000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20 409,20000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15.1.02.S2390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20 409,20000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20 409,20000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Связь и информатика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Нефтеюганского </w:t>
            </w:r>
            <w:r w:rsidRPr="00B83B4B">
              <w:rPr>
                <w:rFonts w:ascii="Times New Roman" w:hAnsi="Times New Roman" w:cs="Times New Roman"/>
                <w:sz w:val="16"/>
                <w:szCs w:val="16"/>
              </w:rPr>
              <w:lastRenderedPageBreak/>
              <w:t>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13.2.01.99990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25 501,04267</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97 872,57300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20 755,58011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20 755,58011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62 089,63659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62 089,63659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6 176,30511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6 176,30511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31 098,08659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31 098,08659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6 176,30511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6 176,30511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31 098,08659</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31 098,08659</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14 241,27500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14 241,27500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30 653,55000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30 653,55000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14 241,27500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14 241,27500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30 653,55000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30 653,55000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850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338,00000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 xml:space="preserve"> Расходы на обеспечение функций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4 745,46256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4 745,46256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35 782,93641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35 782,93641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4 745,46256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4 745,46256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35 782,93641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35 782,93641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04</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09.1.03.02040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4 745,46256</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4 745,46256</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35 782,93641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35 782,93641</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671 749,03608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671 749,03608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69 628,90000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69 628,90000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Жилищное хозяйство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09.3.04.99990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Коммунальное хозяйство</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671 749,03608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671 749,03608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68 628,90000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68 628,90000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15 915,93608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15 915,93608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68 628,90000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68 628,90000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15 915,93608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15 915,93608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68 628,90000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68 628,90000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09.1.01.42110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09.1.01.42110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09.1.01.42110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7 514,66108</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09.1.01.99990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2 300,00000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7 828,55000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7 828,55000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47 718,27500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47 718,27500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09.1.02.82591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3 477,40000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3 477,40000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2 217,90000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2 217,90000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09.1.02.82591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3 477,40000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3 477,40000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2 217,90000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2 217,90000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09.1.02.82591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3 477,40000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3 477,40000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2 217,90000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2 217,90000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3 481,80000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3 481,80000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44 945,90000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44 945,90000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3 481,80000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3 481,80000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44 945,90000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44 945,90000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3 481,80000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3 481,80000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44 945,90000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44 945,90000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09.1.02.S2591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869,35000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869,35000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554,47500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554,47500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09.1.02.S2591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869,35000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869,35000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554,47500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554,47500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09.1.02.S2591</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869,35000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869,35000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554,47500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554,47500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37,00000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09.1.04.00000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09.1.04.99990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233,00000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82,00000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09.1.09.00000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09.1.09.20650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09.1.09.20650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Субсидии юридическим лицам (кроме некоммерческих организаций), </w:t>
            </w:r>
            <w:r w:rsidRPr="00B83B4B">
              <w:rPr>
                <w:rFonts w:ascii="Times New Roman" w:hAnsi="Times New Roman" w:cs="Times New Roman"/>
                <w:sz w:val="16"/>
                <w:szCs w:val="16"/>
              </w:rPr>
              <w:lastRenderedPageBreak/>
              <w:t>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09.1.09.20650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302,72500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18 491,62500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655 833,10000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655 833,10000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"Чистая вода"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12.0.05.42110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12.0.05.42110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12.0.05.42110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480 000,00000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12.0.F5.00000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12.0.F5.52430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12.0.F5.52430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02</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12.0.F5.52430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175 833,10000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ОХРАНА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12.0.02.84290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83B4B">
              <w:rPr>
                <w:rFonts w:ascii="Times New Roman" w:hAnsi="Times New Roman" w:cs="Times New Roman"/>
                <w:sz w:val="16"/>
                <w:szCs w:val="16"/>
              </w:rPr>
              <w:lastRenderedPageBreak/>
              <w:t>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12.0.02.84290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12.0.02.84290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96,72000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Реализация мероприятий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06</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12.0.02.99990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2 000,00000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ОБРАЗОВАНИЕ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393,60000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206,00000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195,00000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09.1.03.02400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 xml:space="preserve">Муниципальная программа Нефтеюганского района "Защита населения </w:t>
            </w:r>
            <w:r w:rsidRPr="00B83B4B">
              <w:rPr>
                <w:rFonts w:ascii="Times New Roman" w:hAnsi="Times New Roman" w:cs="Times New Roman"/>
                <w:sz w:val="16"/>
                <w:szCs w:val="16"/>
              </w:rPr>
              <w:lastRenderedPageBreak/>
              <w:t>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11.3.01.00590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87,60000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07</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05</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20.2.01.02400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100,00000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КУЛЬТУРА, КИНЕМАТОГРАФИЯ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Культура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w:t>
            </w:r>
            <w:r w:rsidRPr="00B83B4B">
              <w:rPr>
                <w:rFonts w:ascii="Times New Roman" w:hAnsi="Times New Roman" w:cs="Times New Roman"/>
                <w:sz w:val="16"/>
                <w:szCs w:val="16"/>
              </w:rPr>
              <w:lastRenderedPageBreak/>
              <w:t>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lastRenderedPageBreak/>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03.1.00.00000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03.1.01.00000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03.1.01.42110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03.1.01.42110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Бюджетные инвестиции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08</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01</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03.1.01.42110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410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13 603,55881</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ЗДРАВООХРАНЕНИЕ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09.0.00.00000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09.2.00.00000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09.2.03.00000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09.2.03.84280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8 300,40000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09.2.03.84280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09.2.03.84280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120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34,00000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09.2.03.84280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200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sz w:val="16"/>
                <w:szCs w:val="16"/>
              </w:rPr>
            </w:pPr>
            <w:r w:rsidRPr="00B83B4B">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481</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09.2.03.84280</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240</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8 266,40000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sz w:val="16"/>
                <w:szCs w:val="16"/>
              </w:rPr>
            </w:pPr>
            <w:r w:rsidRPr="00B83B4B">
              <w:rPr>
                <w:rFonts w:ascii="Times New Roman" w:hAnsi="Times New Roman" w:cs="Times New Roman"/>
                <w:sz w:val="16"/>
                <w:szCs w:val="16"/>
              </w:rPr>
              <w:t> </w:t>
            </w:r>
          </w:p>
        </w:tc>
      </w:tr>
      <w:tr w:rsidR="00237F37" w:rsidRPr="00B83B4B" w:rsidTr="00B83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1" w:type="dxa"/>
            <w:shd w:val="clear" w:color="auto" w:fill="auto"/>
            <w:vAlign w:val="bottom"/>
            <w:hideMark/>
          </w:tcPr>
          <w:p w:rsidR="00237F37" w:rsidRPr="00B83B4B" w:rsidRDefault="00237F37" w:rsidP="00B83B4B">
            <w:pPr>
              <w:spacing w:after="0"/>
              <w:rPr>
                <w:rFonts w:ascii="Times New Roman" w:hAnsi="Times New Roman" w:cs="Times New Roman"/>
                <w:b/>
                <w:bCs/>
                <w:sz w:val="16"/>
                <w:szCs w:val="16"/>
              </w:rPr>
            </w:pPr>
            <w:r w:rsidRPr="00B83B4B">
              <w:rPr>
                <w:rFonts w:ascii="Times New Roman" w:hAnsi="Times New Roman" w:cs="Times New Roman"/>
                <w:b/>
                <w:bCs/>
                <w:sz w:val="16"/>
                <w:szCs w:val="16"/>
              </w:rPr>
              <w:t xml:space="preserve">Итого расходов  по муниципальному </w:t>
            </w:r>
            <w:r w:rsidRPr="00B83B4B">
              <w:rPr>
                <w:rFonts w:ascii="Times New Roman" w:hAnsi="Times New Roman" w:cs="Times New Roman"/>
                <w:b/>
                <w:bCs/>
                <w:sz w:val="16"/>
                <w:szCs w:val="16"/>
              </w:rPr>
              <w:lastRenderedPageBreak/>
              <w:t>району</w:t>
            </w:r>
          </w:p>
        </w:tc>
        <w:tc>
          <w:tcPr>
            <w:tcW w:w="567"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425"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276"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518" w:type="dxa"/>
            <w:shd w:val="clear" w:color="auto" w:fill="auto"/>
            <w:vAlign w:val="center"/>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w:t>
            </w:r>
          </w:p>
        </w:tc>
        <w:tc>
          <w:tcPr>
            <w:tcW w:w="118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xml:space="preserve">5 078 </w:t>
            </w:r>
            <w:r w:rsidRPr="00B83B4B">
              <w:rPr>
                <w:rFonts w:ascii="Times New Roman" w:hAnsi="Times New Roman" w:cs="Times New Roman"/>
                <w:b/>
                <w:bCs/>
                <w:sz w:val="16"/>
                <w:szCs w:val="16"/>
              </w:rPr>
              <w:lastRenderedPageBreak/>
              <w:t>790,90000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 xml:space="preserve">3 309 </w:t>
            </w:r>
            <w:r w:rsidRPr="00B83B4B">
              <w:rPr>
                <w:rFonts w:ascii="Times New Roman" w:hAnsi="Times New Roman" w:cs="Times New Roman"/>
                <w:b/>
                <w:bCs/>
                <w:sz w:val="16"/>
                <w:szCs w:val="16"/>
              </w:rPr>
              <w:lastRenderedPageBreak/>
              <w:t>291,60000</w:t>
            </w:r>
          </w:p>
        </w:tc>
        <w:tc>
          <w:tcPr>
            <w:tcW w:w="1276"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 xml:space="preserve">1 769 </w:t>
            </w:r>
            <w:r w:rsidRPr="00B83B4B">
              <w:rPr>
                <w:rFonts w:ascii="Times New Roman" w:hAnsi="Times New Roman" w:cs="Times New Roman"/>
                <w:b/>
                <w:bCs/>
                <w:sz w:val="16"/>
                <w:szCs w:val="16"/>
              </w:rPr>
              <w:lastRenderedPageBreak/>
              <w:t>499,30000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 </w:t>
            </w:r>
          </w:p>
        </w:tc>
        <w:tc>
          <w:tcPr>
            <w:tcW w:w="1263"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t xml:space="preserve">5 297 </w:t>
            </w:r>
            <w:r w:rsidRPr="00B83B4B">
              <w:rPr>
                <w:rFonts w:ascii="Times New Roman" w:hAnsi="Times New Roman" w:cs="Times New Roman"/>
                <w:b/>
                <w:bCs/>
                <w:sz w:val="16"/>
                <w:szCs w:val="16"/>
              </w:rPr>
              <w:lastRenderedPageBreak/>
              <w:t>066,50000</w:t>
            </w:r>
          </w:p>
        </w:tc>
        <w:tc>
          <w:tcPr>
            <w:tcW w:w="1134"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 xml:space="preserve">3 504 </w:t>
            </w:r>
            <w:r w:rsidRPr="00B83B4B">
              <w:rPr>
                <w:rFonts w:ascii="Times New Roman" w:hAnsi="Times New Roman" w:cs="Times New Roman"/>
                <w:b/>
                <w:bCs/>
                <w:sz w:val="16"/>
                <w:szCs w:val="16"/>
              </w:rPr>
              <w:lastRenderedPageBreak/>
              <w:t>147,80000</w:t>
            </w:r>
          </w:p>
        </w:tc>
        <w:tc>
          <w:tcPr>
            <w:tcW w:w="998"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 xml:space="preserve">1 792 </w:t>
            </w:r>
            <w:r w:rsidRPr="00B83B4B">
              <w:rPr>
                <w:rFonts w:ascii="Times New Roman" w:hAnsi="Times New Roman" w:cs="Times New Roman"/>
                <w:b/>
                <w:bCs/>
                <w:sz w:val="16"/>
                <w:szCs w:val="16"/>
              </w:rPr>
              <w:lastRenderedPageBreak/>
              <w:t>918,70000</w:t>
            </w:r>
          </w:p>
        </w:tc>
        <w:tc>
          <w:tcPr>
            <w:tcW w:w="857" w:type="dxa"/>
            <w:shd w:val="clear" w:color="auto" w:fill="auto"/>
            <w:vAlign w:val="bottom"/>
            <w:hideMark/>
          </w:tcPr>
          <w:p w:rsidR="00237F37" w:rsidRPr="00B83B4B" w:rsidRDefault="00237F37" w:rsidP="00B83B4B">
            <w:pPr>
              <w:spacing w:after="0"/>
              <w:jc w:val="center"/>
              <w:rPr>
                <w:rFonts w:ascii="Times New Roman" w:hAnsi="Times New Roman" w:cs="Times New Roman"/>
                <w:b/>
                <w:bCs/>
                <w:sz w:val="16"/>
                <w:szCs w:val="16"/>
              </w:rPr>
            </w:pPr>
            <w:r w:rsidRPr="00B83B4B">
              <w:rPr>
                <w:rFonts w:ascii="Times New Roman" w:hAnsi="Times New Roman" w:cs="Times New Roman"/>
                <w:b/>
                <w:bCs/>
                <w:sz w:val="16"/>
                <w:szCs w:val="16"/>
              </w:rPr>
              <w:lastRenderedPageBreak/>
              <w:t> </w:t>
            </w:r>
          </w:p>
        </w:tc>
      </w:tr>
    </w:tbl>
    <w:p w:rsidR="00340885" w:rsidRPr="00237F37" w:rsidRDefault="00B83B4B" w:rsidP="00B83B4B">
      <w:pPr>
        <w:jc w:val="right"/>
      </w:pPr>
      <w:r w:rsidRPr="005D007B">
        <w:rPr>
          <w:rFonts w:ascii="Times New Roman" w:hAnsi="Times New Roman" w:cs="Times New Roman"/>
          <w:sz w:val="18"/>
          <w:szCs w:val="18"/>
        </w:rPr>
        <w:t>».</w:t>
      </w:r>
    </w:p>
    <w:sectPr w:rsidR="00340885" w:rsidRPr="00237F37" w:rsidSect="00B83B4B">
      <w:pgSz w:w="16838" w:h="11906" w:orient="landscape"/>
      <w:pgMar w:top="709"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F37"/>
    <w:rsid w:val="00237F37"/>
    <w:rsid w:val="00340885"/>
    <w:rsid w:val="006431E8"/>
    <w:rsid w:val="00B4293E"/>
    <w:rsid w:val="00B83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54775B-76AC-4F72-925D-5AC44A0B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37F37"/>
    <w:rPr>
      <w:color w:val="0000FF"/>
      <w:u w:val="single"/>
    </w:rPr>
  </w:style>
  <w:style w:type="character" w:styleId="a4">
    <w:name w:val="FollowedHyperlink"/>
    <w:basedOn w:val="a0"/>
    <w:uiPriority w:val="99"/>
    <w:semiHidden/>
    <w:unhideWhenUsed/>
    <w:rsid w:val="00237F37"/>
    <w:rPr>
      <w:color w:val="800080"/>
      <w:u w:val="single"/>
    </w:rPr>
  </w:style>
  <w:style w:type="paragraph" w:customStyle="1" w:styleId="xl63">
    <w:name w:val="xl63"/>
    <w:basedOn w:val="a"/>
    <w:rsid w:val="00237F3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237F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237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37F3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237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37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37F3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237F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237F3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237F3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237F3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237F3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237F3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237F3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237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237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237F3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237F3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237F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237F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237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237F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237F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237F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237F3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237F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237F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237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237F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237F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237F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237F3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237F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237F3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237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237F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237F3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237F3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237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237F3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237F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237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237F3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237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237F3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237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237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237F37"/>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237F3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237F3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237F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237F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237F3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237F3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237F3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237F3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2115121">
      <w:bodyDiv w:val="1"/>
      <w:marLeft w:val="0"/>
      <w:marRight w:val="0"/>
      <w:marTop w:val="0"/>
      <w:marBottom w:val="0"/>
      <w:divBdr>
        <w:top w:val="none" w:sz="0" w:space="0" w:color="auto"/>
        <w:left w:val="none" w:sz="0" w:space="0" w:color="auto"/>
        <w:bottom w:val="none" w:sz="0" w:space="0" w:color="auto"/>
        <w:right w:val="none" w:sz="0" w:space="0" w:color="auto"/>
      </w:divBdr>
    </w:div>
    <w:div w:id="167399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81</Pages>
  <Words>31667</Words>
  <Characters>180508</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Алена Веняминовна</dc:creator>
  <cp:lastModifiedBy>Климчук Людмила Александровна</cp:lastModifiedBy>
  <cp:revision>2</cp:revision>
  <dcterms:created xsi:type="dcterms:W3CDTF">2021-08-30T05:17:00Z</dcterms:created>
  <dcterms:modified xsi:type="dcterms:W3CDTF">2021-08-30T05:17:00Z</dcterms:modified>
</cp:coreProperties>
</file>