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8DE2" w14:textId="0FD6FE44" w:rsidR="001C2D39" w:rsidRPr="00D9162B" w:rsidRDefault="001C2D39" w:rsidP="00D9162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162B">
        <w:rPr>
          <w:rFonts w:ascii="Times New Roman" w:hAnsi="Times New Roman"/>
          <w:b/>
          <w:sz w:val="28"/>
          <w:szCs w:val="28"/>
        </w:rPr>
        <w:t xml:space="preserve">Информация к заседанию Общественного Совета Нефтеюганского района по </w:t>
      </w:r>
      <w:r w:rsidRPr="00533DA6">
        <w:rPr>
          <w:rFonts w:ascii="Times New Roman" w:hAnsi="Times New Roman"/>
          <w:b/>
          <w:sz w:val="28"/>
          <w:szCs w:val="28"/>
        </w:rPr>
        <w:t xml:space="preserve">вопросу № 2 </w:t>
      </w:r>
      <w:r w:rsidRPr="00D9162B">
        <w:rPr>
          <w:rFonts w:ascii="Times New Roman" w:hAnsi="Times New Roman"/>
          <w:b/>
          <w:sz w:val="28"/>
          <w:szCs w:val="28"/>
        </w:rPr>
        <w:t xml:space="preserve">«Отчет о реализации муниципальной программы </w:t>
      </w:r>
      <w:r w:rsidRPr="00D9162B">
        <w:rPr>
          <w:rFonts w:ascii="Times New Roman" w:hAnsi="Times New Roman"/>
          <w:b/>
          <w:bCs/>
          <w:sz w:val="28"/>
          <w:szCs w:val="28"/>
        </w:rPr>
        <w:t xml:space="preserve">«Управление муниципальными </w:t>
      </w:r>
      <w:r w:rsidRPr="00D9162B">
        <w:rPr>
          <w:rFonts w:ascii="Times New Roman" w:hAnsi="Times New Roman"/>
          <w:b/>
          <w:sz w:val="28"/>
          <w:szCs w:val="28"/>
        </w:rPr>
        <w:t>финансами» за 202</w:t>
      </w:r>
      <w:r w:rsidR="0042608C">
        <w:rPr>
          <w:rFonts w:ascii="Times New Roman" w:hAnsi="Times New Roman"/>
          <w:b/>
          <w:sz w:val="28"/>
          <w:szCs w:val="28"/>
        </w:rPr>
        <w:t>3</w:t>
      </w:r>
      <w:r w:rsidRPr="00D9162B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6FC24905" w14:textId="0B784925" w:rsidR="000B07AD" w:rsidRPr="00D9162B" w:rsidRDefault="000B07AD" w:rsidP="00D9162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C905B3B" w14:textId="77777777" w:rsidR="000B07AD" w:rsidRPr="00D9162B" w:rsidRDefault="000B07AD" w:rsidP="00D9162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162B">
        <w:rPr>
          <w:rFonts w:ascii="Times New Roman" w:hAnsi="Times New Roman"/>
          <w:b/>
          <w:sz w:val="28"/>
          <w:szCs w:val="28"/>
        </w:rPr>
        <w:t xml:space="preserve">Уважаемая </w:t>
      </w:r>
    </w:p>
    <w:p w14:paraId="209ABB87" w14:textId="1E729379" w:rsidR="000B07AD" w:rsidRPr="00D9162B" w:rsidRDefault="000B07AD" w:rsidP="00D916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62B">
        <w:rPr>
          <w:rFonts w:ascii="Times New Roman" w:hAnsi="Times New Roman"/>
          <w:sz w:val="28"/>
          <w:szCs w:val="28"/>
        </w:rPr>
        <w:t>Татьяна Владимировна</w:t>
      </w:r>
    </w:p>
    <w:p w14:paraId="6A2E1972" w14:textId="3908AAD8" w:rsidR="000B07AD" w:rsidRPr="00D9162B" w:rsidRDefault="000B07AD" w:rsidP="00D916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62B">
        <w:rPr>
          <w:rFonts w:ascii="Times New Roman" w:hAnsi="Times New Roman"/>
          <w:sz w:val="28"/>
          <w:szCs w:val="28"/>
        </w:rPr>
        <w:t>Наталья Сергеевна</w:t>
      </w:r>
    </w:p>
    <w:p w14:paraId="1C8EF417" w14:textId="342C4DFF" w:rsidR="000B07AD" w:rsidRPr="00D9162B" w:rsidRDefault="000B07AD" w:rsidP="00D916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62B">
        <w:rPr>
          <w:rFonts w:ascii="Times New Roman" w:hAnsi="Times New Roman"/>
          <w:sz w:val="28"/>
          <w:szCs w:val="28"/>
        </w:rPr>
        <w:t>члены общественного совета</w:t>
      </w:r>
    </w:p>
    <w:p w14:paraId="070B4444" w14:textId="2053EAB0" w:rsidR="000B07AD" w:rsidRPr="00D9162B" w:rsidRDefault="000B07AD" w:rsidP="00D916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62B">
        <w:rPr>
          <w:rFonts w:ascii="Times New Roman" w:hAnsi="Times New Roman"/>
          <w:sz w:val="28"/>
          <w:szCs w:val="28"/>
        </w:rPr>
        <w:t>приглашенные</w:t>
      </w:r>
    </w:p>
    <w:p w14:paraId="7776901B" w14:textId="77777777" w:rsidR="001C2D39" w:rsidRPr="00D9162B" w:rsidRDefault="001C2D39" w:rsidP="00D916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7F7E1B" w14:textId="45E52EC0" w:rsidR="006B7A26" w:rsidRPr="00D9162B" w:rsidRDefault="00FA164C" w:rsidP="00D916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62B">
        <w:rPr>
          <w:rFonts w:ascii="Times New Roman" w:hAnsi="Times New Roman"/>
          <w:sz w:val="28"/>
          <w:szCs w:val="28"/>
        </w:rPr>
        <w:t>Муниципальная программа «Управление муниципальными финансами»</w:t>
      </w:r>
      <w:r w:rsidR="000B07AD" w:rsidRPr="00D9162B">
        <w:rPr>
          <w:rFonts w:ascii="Times New Roman" w:hAnsi="Times New Roman"/>
          <w:sz w:val="28"/>
          <w:szCs w:val="28"/>
        </w:rPr>
        <w:t xml:space="preserve"> </w:t>
      </w:r>
      <w:r w:rsidR="009161DA" w:rsidRPr="00D9162B">
        <w:rPr>
          <w:rFonts w:ascii="Times New Roman" w:hAnsi="Times New Roman"/>
          <w:sz w:val="28"/>
          <w:szCs w:val="28"/>
        </w:rPr>
        <w:t xml:space="preserve">реализуется Департаментом финансов Нефтеюганского района и </w:t>
      </w:r>
      <w:r w:rsidR="006B7A26" w:rsidRPr="00D9162B">
        <w:rPr>
          <w:rFonts w:ascii="Times New Roman" w:hAnsi="Times New Roman"/>
          <w:sz w:val="28"/>
          <w:szCs w:val="28"/>
        </w:rPr>
        <w:t xml:space="preserve">направлена на решение </w:t>
      </w:r>
      <w:r w:rsidR="000B07AD" w:rsidRPr="00D9162B">
        <w:rPr>
          <w:rFonts w:ascii="Times New Roman" w:hAnsi="Times New Roman"/>
          <w:sz w:val="28"/>
          <w:szCs w:val="28"/>
        </w:rPr>
        <w:t>задач</w:t>
      </w:r>
      <w:r w:rsidR="006B7A26" w:rsidRPr="00D9162B">
        <w:rPr>
          <w:rFonts w:ascii="Times New Roman" w:hAnsi="Times New Roman"/>
          <w:sz w:val="28"/>
          <w:szCs w:val="28"/>
        </w:rPr>
        <w:t>:</w:t>
      </w:r>
    </w:p>
    <w:p w14:paraId="20EF29F8" w14:textId="1DF24762" w:rsidR="006B7A26" w:rsidRPr="00D9162B" w:rsidRDefault="006B7A26" w:rsidP="003327D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ar-SA"/>
        </w:rPr>
      </w:pPr>
      <w:r w:rsidRPr="00D9162B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ar-SA"/>
        </w:rPr>
        <w:t>Обеспечение условий для устойчивого исполнения расходных обязательств Нефтеюганского района.</w:t>
      </w:r>
    </w:p>
    <w:p w14:paraId="6B8999A0" w14:textId="77777777" w:rsidR="006B7A26" w:rsidRPr="00D9162B" w:rsidRDefault="006B7A26" w:rsidP="003327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916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Совершенствование межбюджетных отношений в Нефтеюганском районе. </w:t>
      </w:r>
    </w:p>
    <w:p w14:paraId="22A210FE" w14:textId="77777777" w:rsidR="00770C31" w:rsidRPr="00D9162B" w:rsidRDefault="00770C31" w:rsidP="00D91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D94E3C" w14:textId="32341793" w:rsidR="00770C31" w:rsidRPr="00D9162B" w:rsidRDefault="00770C31" w:rsidP="004160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62B">
        <w:rPr>
          <w:rFonts w:ascii="Times New Roman" w:hAnsi="Times New Roman"/>
          <w:sz w:val="28"/>
          <w:szCs w:val="28"/>
        </w:rPr>
        <w:t>Поставленные задачи решаются путем выполнения комплекса основных мероприятий, направленных на</w:t>
      </w:r>
      <w:r w:rsidRPr="00D91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62B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бюджетной системы Нефтеюганского района и повышение эффективности бюджетных расходов.</w:t>
      </w:r>
    </w:p>
    <w:p w14:paraId="61077DD0" w14:textId="77777777" w:rsidR="006B7A26" w:rsidRPr="00D9162B" w:rsidRDefault="006B7A26" w:rsidP="00D9162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14:paraId="7851D6BE" w14:textId="7856FF30" w:rsidR="003045C4" w:rsidRPr="00D9162B" w:rsidRDefault="00C413AB" w:rsidP="00D9162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Бюджетный процесс включает в себя</w:t>
      </w:r>
      <w:r w:rsidR="006B7A26"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045C4" w:rsidRPr="00D9162B">
        <w:rPr>
          <w:rFonts w:ascii="Times New Roman" w:hAnsi="Times New Roman"/>
          <w:bCs/>
          <w:sz w:val="28"/>
          <w:szCs w:val="28"/>
          <w:lang w:eastAsia="ar-SA"/>
        </w:rPr>
        <w:t>– составление проекта бюджета, организаци</w:t>
      </w:r>
      <w:r w:rsidR="0042608C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3045C4"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исполнения бюджета, формирование отчетности, проведение единой бюджетной политики. Кадровый состав Департамента финансов сост</w:t>
      </w:r>
      <w:r>
        <w:rPr>
          <w:rFonts w:ascii="Times New Roman" w:hAnsi="Times New Roman"/>
          <w:bCs/>
          <w:sz w:val="28"/>
          <w:szCs w:val="28"/>
          <w:lang w:eastAsia="ar-SA"/>
        </w:rPr>
        <w:t>оит из</w:t>
      </w:r>
      <w:r w:rsidR="003045C4"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47D93" w:rsidRPr="00D9162B">
        <w:rPr>
          <w:rFonts w:ascii="Times New Roman" w:hAnsi="Times New Roman"/>
          <w:bCs/>
          <w:sz w:val="28"/>
          <w:szCs w:val="28"/>
          <w:lang w:eastAsia="ar-SA"/>
        </w:rPr>
        <w:t>квалифицированны</w:t>
      </w:r>
      <w:r>
        <w:rPr>
          <w:rFonts w:ascii="Times New Roman" w:hAnsi="Times New Roman"/>
          <w:bCs/>
          <w:sz w:val="28"/>
          <w:szCs w:val="28"/>
          <w:lang w:eastAsia="ar-SA"/>
        </w:rPr>
        <w:t>х</w:t>
      </w:r>
      <w:r w:rsidR="00147D93"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045C4" w:rsidRPr="00D9162B">
        <w:rPr>
          <w:rFonts w:ascii="Times New Roman" w:hAnsi="Times New Roman"/>
          <w:bCs/>
          <w:sz w:val="28"/>
          <w:szCs w:val="28"/>
          <w:lang w:eastAsia="ar-SA"/>
        </w:rPr>
        <w:t>специалист</w:t>
      </w:r>
      <w:r>
        <w:rPr>
          <w:rFonts w:ascii="Times New Roman" w:hAnsi="Times New Roman"/>
          <w:bCs/>
          <w:sz w:val="28"/>
          <w:szCs w:val="28"/>
          <w:lang w:eastAsia="ar-SA"/>
        </w:rPr>
        <w:t>ов</w:t>
      </w:r>
      <w:r w:rsidR="003045C4" w:rsidRPr="00D9162B">
        <w:rPr>
          <w:rFonts w:ascii="Times New Roman" w:hAnsi="Times New Roman"/>
          <w:bCs/>
          <w:sz w:val="28"/>
          <w:szCs w:val="28"/>
          <w:lang w:eastAsia="ar-SA"/>
        </w:rPr>
        <w:t>, обладающи</w:t>
      </w:r>
      <w:r>
        <w:rPr>
          <w:rFonts w:ascii="Times New Roman" w:hAnsi="Times New Roman"/>
          <w:bCs/>
          <w:sz w:val="28"/>
          <w:szCs w:val="28"/>
          <w:lang w:eastAsia="ar-SA"/>
        </w:rPr>
        <w:t>х</w:t>
      </w:r>
      <w:r w:rsidR="003045C4"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необходимыми знаниями</w:t>
      </w:r>
      <w:r w:rsidR="00147D93"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и опытом, постоянно повышающи</w:t>
      </w:r>
      <w:r w:rsidR="0042608C">
        <w:rPr>
          <w:rFonts w:ascii="Times New Roman" w:hAnsi="Times New Roman"/>
          <w:bCs/>
          <w:sz w:val="28"/>
          <w:szCs w:val="28"/>
          <w:lang w:eastAsia="ar-SA"/>
        </w:rPr>
        <w:t>х</w:t>
      </w:r>
      <w:r w:rsidR="00147D93"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уровень знаний, что позволяет решать задачи, возложенные на финансовый орган.</w:t>
      </w:r>
    </w:p>
    <w:p w14:paraId="267D11D1" w14:textId="5EEABA34" w:rsidR="00147D93" w:rsidRPr="00D9162B" w:rsidRDefault="00147D93" w:rsidP="00D9162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9162B">
        <w:rPr>
          <w:rFonts w:ascii="Times New Roman" w:hAnsi="Times New Roman"/>
          <w:bCs/>
          <w:sz w:val="28"/>
          <w:szCs w:val="28"/>
          <w:lang w:eastAsia="ar-SA"/>
        </w:rPr>
        <w:lastRenderedPageBreak/>
        <w:t>Бюджетная политика в 202</w:t>
      </w:r>
      <w:r w:rsidR="0042608C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году осуществлялась с учетом текущей экономической ситуации, связанной с</w:t>
      </w:r>
      <w:r w:rsidR="005934C6">
        <w:rPr>
          <w:rFonts w:ascii="Times New Roman" w:hAnsi="Times New Roman"/>
          <w:bCs/>
          <w:sz w:val="28"/>
          <w:szCs w:val="28"/>
          <w:lang w:eastAsia="ar-SA"/>
        </w:rPr>
        <w:t xml:space="preserve"> ухудшением геополитической обстановки, ростом расходов на оборонный комплекс страны</w:t>
      </w:r>
      <w:r w:rsidR="00841375" w:rsidRPr="0084137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41375">
        <w:rPr>
          <w:rFonts w:ascii="Times New Roman" w:hAnsi="Times New Roman"/>
          <w:bCs/>
          <w:sz w:val="28"/>
          <w:szCs w:val="28"/>
          <w:lang w:eastAsia="ar-SA"/>
        </w:rPr>
        <w:t xml:space="preserve">в условиях </w:t>
      </w:r>
      <w:r w:rsidR="00841375" w:rsidRPr="00AE10AD">
        <w:rPr>
          <w:rFonts w:ascii="Times New Roman" w:hAnsi="Times New Roman"/>
          <w:bCs/>
          <w:sz w:val="28"/>
          <w:szCs w:val="28"/>
          <w:lang w:eastAsia="ar-SA"/>
        </w:rPr>
        <w:t xml:space="preserve">продолжения </w:t>
      </w:r>
      <w:r w:rsidR="00841375" w:rsidRPr="00AE10A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«военной спецоперации»</w:t>
      </w:r>
      <w:r w:rsidRPr="00AE10AD">
        <w:rPr>
          <w:rFonts w:ascii="Times New Roman" w:hAnsi="Times New Roman"/>
          <w:bCs/>
          <w:sz w:val="28"/>
          <w:szCs w:val="28"/>
          <w:lang w:eastAsia="ar-SA"/>
        </w:rPr>
        <w:t>, а также</w:t>
      </w:r>
      <w:r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413AB">
        <w:rPr>
          <w:rFonts w:ascii="Times New Roman" w:hAnsi="Times New Roman"/>
          <w:bCs/>
          <w:sz w:val="28"/>
          <w:szCs w:val="28"/>
          <w:lang w:eastAsia="ar-SA"/>
        </w:rPr>
        <w:t>оперативного</w:t>
      </w:r>
      <w:r w:rsidRPr="00D9162B">
        <w:rPr>
          <w:rFonts w:ascii="Times New Roman" w:hAnsi="Times New Roman"/>
          <w:bCs/>
          <w:sz w:val="28"/>
          <w:szCs w:val="28"/>
          <w:lang w:eastAsia="ar-SA"/>
        </w:rPr>
        <w:t xml:space="preserve"> реагирования на принимаемые государством меры.</w:t>
      </w:r>
    </w:p>
    <w:p w14:paraId="3CEAFFA5" w14:textId="17E546A6" w:rsidR="00147D93" w:rsidRPr="00D9162B" w:rsidRDefault="00147D93" w:rsidP="004160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162B">
        <w:rPr>
          <w:rFonts w:ascii="Times New Roman" w:hAnsi="Times New Roman"/>
          <w:color w:val="000000" w:themeColor="text1"/>
          <w:sz w:val="28"/>
          <w:szCs w:val="28"/>
        </w:rPr>
        <w:t>Своевременно принят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ый основной финансовый документ </w:t>
      </w:r>
      <w:r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год и пл</w:t>
      </w:r>
      <w:r w:rsidRPr="00D9162B">
        <w:rPr>
          <w:rFonts w:ascii="Times New Roman" w:hAnsi="Times New Roman"/>
          <w:color w:val="000000" w:themeColor="text1"/>
          <w:sz w:val="28"/>
          <w:szCs w:val="28"/>
        </w:rPr>
        <w:t>ановый период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решением Думы Нефтеюганского района от 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830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Нефтеюганского района на 202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EB650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Pr="00D9162B">
        <w:rPr>
          <w:rFonts w:ascii="Times New Roman" w:hAnsi="Times New Roman"/>
          <w:color w:val="000000" w:themeColor="text1"/>
          <w:sz w:val="28"/>
          <w:szCs w:val="28"/>
        </w:rPr>
        <w:t>, позволил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оперативно</w:t>
      </w:r>
      <w:r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>приступить к исполнению бюджета</w:t>
      </w:r>
      <w:r w:rsidRPr="00D916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5E2A7F" w14:textId="422B8456" w:rsidR="00147D93" w:rsidRPr="00343EB3" w:rsidRDefault="00147D93" w:rsidP="004160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течение года в утвержденные параметры бюджета </w:t>
      </w:r>
      <w:r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81510E" w:rsidRPr="00D9162B">
        <w:rPr>
          <w:rFonts w:ascii="Times New Roman" w:hAnsi="Times New Roman"/>
          <w:color w:val="000000" w:themeColor="text1"/>
          <w:sz w:val="28"/>
          <w:szCs w:val="28"/>
        </w:rPr>
        <w:t xml:space="preserve">раз внесены изменения, обусловленные динамикой исполнения доходов, в том числе в связи с поступлением межбюджетных трансфертов из вышестоящих бюджетов, уточнялась расходная часть, корректировались источники финансирования дефицита </w:t>
      </w:r>
      <w:r w:rsidR="0081510E" w:rsidRPr="00E1607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EB650A" w:rsidRPr="00E1607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B650A" w:rsidRPr="00E16078">
        <w:rPr>
          <w:rFonts w:ascii="Times New Roman" w:hAnsi="Times New Roman"/>
          <w:sz w:val="28"/>
          <w:szCs w:val="28"/>
          <w:shd w:val="clear" w:color="auto" w:fill="FFFFFF"/>
        </w:rPr>
        <w:t>В 2023 году</w:t>
      </w:r>
      <w:r w:rsidR="00B97156" w:rsidRPr="00B971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71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="00B97156" w:rsidRPr="00B97156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</w:t>
      </w:r>
      <w:r w:rsidR="00B97156" w:rsidRPr="00B97156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оптимизации расходов </w:t>
      </w:r>
      <w:r w:rsidR="00B97156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EB650A" w:rsidRPr="00343EB3">
        <w:rPr>
          <w:rFonts w:ascii="Times New Roman" w:hAnsi="Times New Roman"/>
          <w:sz w:val="28"/>
          <w:szCs w:val="28"/>
          <w:shd w:val="clear" w:color="auto" w:fill="FFFFFF"/>
        </w:rPr>
        <w:t xml:space="preserve">по полученным в 2022 году кредитам проведена реструктуризация обязательств и предоставлен новый кредит из средств бюджета Ханты-Мансийского автономного округа – Югры </w:t>
      </w:r>
      <w:r w:rsidR="0081510E" w:rsidRPr="00343EB3">
        <w:rPr>
          <w:rFonts w:ascii="Times New Roman" w:hAnsi="Times New Roman"/>
          <w:color w:val="000000" w:themeColor="text1"/>
          <w:sz w:val="28"/>
          <w:szCs w:val="28"/>
        </w:rPr>
        <w:t xml:space="preserve">в объеме </w:t>
      </w:r>
      <w:r w:rsidR="00EB650A" w:rsidRPr="00343EB3">
        <w:rPr>
          <w:rFonts w:ascii="Times New Roman" w:hAnsi="Times New Roman"/>
          <w:color w:val="000000" w:themeColor="text1"/>
          <w:sz w:val="28"/>
          <w:szCs w:val="28"/>
        </w:rPr>
        <w:t>400</w:t>
      </w:r>
      <w:r w:rsidR="0081510E" w:rsidRPr="00343EB3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</w:p>
    <w:p w14:paraId="1A80A8B1" w14:textId="77777777" w:rsidR="00537193" w:rsidRPr="00343EB3" w:rsidRDefault="00537193" w:rsidP="00D9162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6D00A4" w14:textId="0123E5FE" w:rsidR="00FC0C63" w:rsidRPr="00343EB3" w:rsidRDefault="00B97156" w:rsidP="00726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B3">
        <w:rPr>
          <w:rFonts w:ascii="Times New Roman" w:hAnsi="Times New Roman"/>
          <w:sz w:val="28"/>
          <w:szCs w:val="28"/>
        </w:rPr>
        <w:t>В 2023 году п</w:t>
      </w:r>
      <w:r w:rsidR="00FC0C63" w:rsidRPr="00343EB3">
        <w:rPr>
          <w:rFonts w:ascii="Times New Roman" w:hAnsi="Times New Roman"/>
          <w:sz w:val="28"/>
          <w:szCs w:val="28"/>
        </w:rPr>
        <w:t xml:space="preserve">оступление доходов в бюджет Нефтеюганского района составило 8 млрд. 696 млн. рублей, из них налоговые и неналоговые доходы в </w:t>
      </w:r>
      <w:r w:rsidRPr="00343EB3">
        <w:rPr>
          <w:rFonts w:ascii="Times New Roman" w:hAnsi="Times New Roman"/>
          <w:sz w:val="28"/>
          <w:szCs w:val="28"/>
        </w:rPr>
        <w:t>сумме</w:t>
      </w:r>
      <w:r w:rsidR="00FC0C63" w:rsidRPr="00343EB3">
        <w:rPr>
          <w:rFonts w:ascii="Times New Roman" w:hAnsi="Times New Roman"/>
          <w:sz w:val="28"/>
          <w:szCs w:val="28"/>
        </w:rPr>
        <w:t xml:space="preserve"> 4 млрд. 23 млн. 600 тыс. рублей, исполнение составило 107,4 % к уточненному годовому плану. </w:t>
      </w:r>
    </w:p>
    <w:p w14:paraId="7FBE7E33" w14:textId="4C21B5CF" w:rsidR="00FC0C63" w:rsidRPr="00343EB3" w:rsidRDefault="00FC0C63" w:rsidP="007265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прошлым годом налоговых и неналоговых доходов поступило больше на 1 млрд. 768 млн. 200 тыс. рублей или на 78,4%. Значительное увеличение произошло в поступлениях налоговых доходов в сумме 328 млн. 100 тыс. рублей (в 2022 году – 1 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>млрд.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649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>00 тыс.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 в 2023 году 1 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млрд.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977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>00 тыс.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а также поступлений по искам о возмещении вреда, причиненного окружающей среде в бюджет в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сумме 1 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млрд.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416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900 тыс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. рублей (в 2022 – 11,3 тыс. рублей; в 2023 году – 1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416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26590" w:rsidRPr="00343EB3">
        <w:rPr>
          <w:rFonts w:ascii="Times New Roman" w:eastAsia="Times New Roman" w:hAnsi="Times New Roman"/>
          <w:sz w:val="28"/>
          <w:szCs w:val="28"/>
          <w:lang w:eastAsia="ru-RU"/>
        </w:rPr>
        <w:t>00 тыс.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рублей). Доля налоговых и неналоговых доходов составила 46,3% в общем объеме всех поступлений в бюджет.</w:t>
      </w:r>
    </w:p>
    <w:p w14:paraId="542DC1C9" w14:textId="54D452C9" w:rsidR="00C72A90" w:rsidRPr="00752DC0" w:rsidRDefault="00B010A4" w:rsidP="00752D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EB3">
        <w:rPr>
          <w:rFonts w:ascii="Times New Roman" w:hAnsi="Times New Roman"/>
          <w:sz w:val="28"/>
          <w:szCs w:val="28"/>
        </w:rPr>
        <w:t>З</w:t>
      </w:r>
      <w:r w:rsidR="000D7734" w:rsidRPr="00343EB3">
        <w:rPr>
          <w:rFonts w:ascii="Times New Roman" w:hAnsi="Times New Roman"/>
          <w:sz w:val="28"/>
          <w:szCs w:val="28"/>
        </w:rPr>
        <w:t>начение показателя «Д</w:t>
      </w:r>
      <w:r w:rsidR="00C72A90" w:rsidRPr="00343EB3">
        <w:rPr>
          <w:rFonts w:ascii="Times New Roman" w:hAnsi="Times New Roman"/>
          <w:sz w:val="28"/>
          <w:szCs w:val="28"/>
        </w:rPr>
        <w:t>ол</w:t>
      </w:r>
      <w:r w:rsidR="000D7734" w:rsidRPr="00343EB3">
        <w:rPr>
          <w:rFonts w:ascii="Times New Roman" w:hAnsi="Times New Roman"/>
          <w:sz w:val="28"/>
          <w:szCs w:val="28"/>
        </w:rPr>
        <w:t>я</w:t>
      </w:r>
      <w:r w:rsidR="00C72A90" w:rsidRPr="00343EB3">
        <w:rPr>
          <w:rFonts w:ascii="Times New Roman" w:hAnsi="Times New Roman"/>
          <w:sz w:val="28"/>
          <w:szCs w:val="28"/>
        </w:rPr>
        <w:t xml:space="preserve"> налоговых и неналоговых доходов местного бюджета</w:t>
      </w:r>
      <w:r w:rsidRPr="00343EB3">
        <w:rPr>
          <w:rFonts w:ascii="Times New Roman" w:hAnsi="Times New Roman"/>
          <w:sz w:val="28"/>
          <w:szCs w:val="28"/>
        </w:rPr>
        <w:t xml:space="preserve">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– на уровне не </w:t>
      </w:r>
      <w:r w:rsidRPr="00752DC0">
        <w:rPr>
          <w:rFonts w:ascii="Times New Roman" w:eastAsia="Times New Roman" w:hAnsi="Times New Roman"/>
          <w:sz w:val="28"/>
          <w:szCs w:val="28"/>
          <w:lang w:eastAsia="ru-RU"/>
        </w:rPr>
        <w:t>менее 50%,</w:t>
      </w:r>
      <w:r w:rsidR="00C72A90" w:rsidRPr="00752DC0">
        <w:rPr>
          <w:rFonts w:ascii="Times New Roman" w:hAnsi="Times New Roman"/>
          <w:sz w:val="28"/>
          <w:szCs w:val="28"/>
        </w:rPr>
        <w:t xml:space="preserve"> </w:t>
      </w:r>
      <w:r w:rsidR="00726590" w:rsidRPr="00752DC0">
        <w:rPr>
          <w:rFonts w:ascii="Times New Roman" w:hAnsi="Times New Roman"/>
          <w:sz w:val="28"/>
          <w:szCs w:val="28"/>
        </w:rPr>
        <w:t>превышено</w:t>
      </w:r>
      <w:r w:rsidR="000D7734" w:rsidRPr="00752DC0">
        <w:rPr>
          <w:rFonts w:ascii="Times New Roman" w:hAnsi="Times New Roman"/>
          <w:sz w:val="28"/>
          <w:szCs w:val="28"/>
        </w:rPr>
        <w:t xml:space="preserve">, </w:t>
      </w:r>
      <w:r w:rsidR="00C72A90" w:rsidRPr="00752DC0">
        <w:rPr>
          <w:rFonts w:ascii="Times New Roman" w:hAnsi="Times New Roman"/>
          <w:sz w:val="28"/>
          <w:szCs w:val="28"/>
        </w:rPr>
        <w:t>исполнение составило 5</w:t>
      </w:r>
      <w:r w:rsidR="00726590" w:rsidRPr="00752DC0">
        <w:rPr>
          <w:rFonts w:ascii="Times New Roman" w:hAnsi="Times New Roman"/>
          <w:sz w:val="28"/>
          <w:szCs w:val="28"/>
        </w:rPr>
        <w:t>9</w:t>
      </w:r>
      <w:r w:rsidR="00C72A90" w:rsidRPr="00752DC0">
        <w:rPr>
          <w:rFonts w:ascii="Times New Roman" w:hAnsi="Times New Roman"/>
          <w:sz w:val="28"/>
          <w:szCs w:val="28"/>
        </w:rPr>
        <w:t>,</w:t>
      </w:r>
      <w:r w:rsidR="00726590" w:rsidRPr="00752DC0">
        <w:rPr>
          <w:rFonts w:ascii="Times New Roman" w:hAnsi="Times New Roman"/>
          <w:sz w:val="28"/>
          <w:szCs w:val="28"/>
        </w:rPr>
        <w:t>9</w:t>
      </w:r>
      <w:r w:rsidR="00C72A90" w:rsidRPr="00752DC0">
        <w:rPr>
          <w:rFonts w:ascii="Times New Roman" w:hAnsi="Times New Roman"/>
          <w:sz w:val="28"/>
          <w:szCs w:val="28"/>
        </w:rPr>
        <w:t>%.</w:t>
      </w:r>
    </w:p>
    <w:p w14:paraId="5E5B687C" w14:textId="0E6948CB" w:rsidR="00752DC0" w:rsidRPr="00752DC0" w:rsidRDefault="00550640" w:rsidP="00752D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52DC0" w:rsidRPr="00752DC0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году правительством Ханты-Мансийского автономного округа - Югры был отмечен высокий уровень качества планирования доходов и роста налогового потенциала бюджета Нефтеюганского района, в связи с чем предоставлена дотация в сумме 5,9 млн. рублей.</w:t>
      </w:r>
    </w:p>
    <w:p w14:paraId="7078C39B" w14:textId="77777777" w:rsidR="00537193" w:rsidRPr="00752DC0" w:rsidRDefault="00537193" w:rsidP="00752D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E60830" w14:textId="4E842B04" w:rsidR="001E00A2" w:rsidRPr="00343EB3" w:rsidRDefault="001E00A2" w:rsidP="00752D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C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Нефтеюганского района от 27.01.2023  № 85-па «О мерах по реализации решения Думы Нефтеюганского района от 30.11.2022 № 830 «О бюджете Нефтеюганского района на 2023 год и плановый период 2024 и 2025 годов»» (с изменениями от 13.12.2023 № 1851-па) утвержден план мероприятий по </w:t>
      </w:r>
      <w:bookmarkStart w:id="0" w:name="_Hlk157009901"/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росту доходов, оптимизации расходов бюджета и сокращению муниципального долга </w:t>
      </w:r>
      <w:bookmarkEnd w:id="0"/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Нефтеюганского района на 2023 год и на плановый период 2024 и 2025 годов</w:t>
      </w:r>
      <w:r w:rsidRPr="00343E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с плановым бюджетным эффектом в сумме 110,4 млн. рублей.</w:t>
      </w:r>
    </w:p>
    <w:p w14:paraId="7BD4D633" w14:textId="4DFB9FBA" w:rsidR="001E00A2" w:rsidRPr="00343EB3" w:rsidRDefault="001E00A2" w:rsidP="004160A4">
      <w:p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Общий объем бюджетного эффекта от выполнения плана мероприятий бюджета Нефтеюганского района за 2023 год исполнен на 109,3% и составил 120,7 млн. рублей из них:</w:t>
      </w:r>
    </w:p>
    <w:p w14:paraId="2F2A6EA5" w14:textId="77777777" w:rsidR="001E00A2" w:rsidRPr="00343EB3" w:rsidRDefault="001E00A2" w:rsidP="00FC774D">
      <w:pPr>
        <w:tabs>
          <w:tab w:val="left" w:pos="5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- от мероприятий по росту доходов 28,3 млн. рублей;</w:t>
      </w:r>
    </w:p>
    <w:p w14:paraId="09E37D32" w14:textId="77777777" w:rsidR="001E00A2" w:rsidRPr="00343EB3" w:rsidRDefault="001E00A2" w:rsidP="00FC774D">
      <w:pPr>
        <w:tabs>
          <w:tab w:val="left" w:pos="5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- по оптимизации расходов 92,4 млн. рублей.</w:t>
      </w:r>
    </w:p>
    <w:p w14:paraId="7746A50D" w14:textId="492B73B8" w:rsidR="001E00A2" w:rsidRDefault="001E00A2" w:rsidP="004160A4">
      <w:p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поселениями Нефтеюганского района нормативными актами утверждены аналогичные планы мероприятий. Бюджетный эффект от исполнения мероприятий поселений составил 33,9 млн. рублей, при уточненном плане 33,0 млн. рублей. Консолидированный бюджетный эффект </w:t>
      </w: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исполнения мероприятий по росту доходов, оптимизации расходов бюджета и сокращению муниципального долга за 2023 год (с мероприятиями, утвержденными нормативными актами поселений района) составил 154,6 млн. рублей при уточненном плане 143,4 млн. рублей.</w:t>
      </w:r>
    </w:p>
    <w:p w14:paraId="5F4F7A0E" w14:textId="77777777" w:rsidR="007A35C5" w:rsidRDefault="007A35C5" w:rsidP="00FC774D">
      <w:pPr>
        <w:tabs>
          <w:tab w:val="left" w:pos="5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F3096" w14:textId="0F834671" w:rsidR="007A35C5" w:rsidRDefault="007A35C5" w:rsidP="004160A4">
      <w:p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величина с</w:t>
      </w:r>
      <w:r w:rsidRPr="007A35C5">
        <w:rPr>
          <w:rFonts w:ascii="Times New Roman" w:eastAsia="Times New Roman" w:hAnsi="Times New Roman"/>
          <w:sz w:val="28"/>
          <w:szCs w:val="28"/>
          <w:lang w:eastAsia="ru-RU"/>
        </w:rPr>
        <w:t>редн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A35C5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A35C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A35C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финансового менеджмента главных распорядителей бюджетных средств Нефтеюганского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плановых показателей и равна 73,5 баллам – показатель выполнен.</w:t>
      </w:r>
    </w:p>
    <w:p w14:paraId="3123AB02" w14:textId="77777777" w:rsidR="007A35C5" w:rsidRDefault="007A35C5" w:rsidP="00FC774D">
      <w:pPr>
        <w:tabs>
          <w:tab w:val="left" w:pos="5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5B630" w14:textId="5B9B008D" w:rsidR="00DD28C0" w:rsidRDefault="00DD28C0" w:rsidP="00DD28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EB3">
        <w:rPr>
          <w:rFonts w:ascii="Times New Roman" w:hAnsi="Times New Roman" w:cs="Times New Roman"/>
          <w:sz w:val="28"/>
          <w:szCs w:val="28"/>
        </w:rPr>
        <w:t xml:space="preserve">В 2023 году на основании распоряжения администрации Нефтеюганского района Ханты-Мансийского автономного округа - Югры от 07.04.2023 № 181- </w:t>
      </w:r>
      <w:proofErr w:type="spellStart"/>
      <w:r w:rsidRPr="00343EB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43EB3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администрации Нефтеюганского района от 01.09.2014 № 506-ра «О создании муниципального казённого учреждения» создано подведомственное Департаменту финансов Нефтеюганского района муниципальное казенное учреждение «Центр бухгалтерского обслуживания» (далее - МКУ «ЦБО»). Деятельность МКУ «ЦБО» оценивается целевым показателем муниципальной программы «Соблюдение порядка составления и предоставления бюджетной (бухгалтерской) отчетности», который исполнен на 100%.</w:t>
      </w:r>
    </w:p>
    <w:p w14:paraId="64710360" w14:textId="77777777" w:rsidR="00752DC0" w:rsidRPr="00343EB3" w:rsidRDefault="00752DC0" w:rsidP="00DD28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315ABA" w14:textId="7B5610A4" w:rsidR="003E6A9A" w:rsidRPr="00343EB3" w:rsidRDefault="003E6A9A" w:rsidP="004160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важнейших направлений совершенствования межбюджетных отношений является повышение эффективности системы предоставления межбюджетных трансфертов.   </w:t>
      </w:r>
    </w:p>
    <w:p w14:paraId="2D7242A6" w14:textId="0D54B626" w:rsidR="003E6A9A" w:rsidRPr="00343EB3" w:rsidRDefault="003E6A9A" w:rsidP="004160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межбюджетных трансфертов поселениям, входящим в состав Нефтеюганского района – один из инструментов регулирования, применяемый при выравнивании бюджетной обеспеченности, механизм которого осуществляется через различные формы межбюджетных трансфертов, таких как: дотации, субвенции, субсидии и иные межбюджетные трансферты.</w:t>
      </w:r>
    </w:p>
    <w:p w14:paraId="706B139B" w14:textId="6629C809" w:rsidR="00930DFF" w:rsidRPr="00343EB3" w:rsidRDefault="00930DFF" w:rsidP="00D90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E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целях выравнивания финансовых возможностей поселений по осуществлению ими полномочий по решению вопросов местного значения, за отчетный период выделено дотаций на выравнивание бюджетной обеспеченности поселений в сумме </w:t>
      </w:r>
      <w:r w:rsidRPr="00343EB3">
        <w:rPr>
          <w:rFonts w:ascii="Times New Roman" w:hAnsi="Times New Roman"/>
          <w:b/>
          <w:bCs/>
          <w:sz w:val="28"/>
          <w:szCs w:val="28"/>
          <w:lang w:eastAsia="ru-RU"/>
        </w:rPr>
        <w:t>318 млн. 151,3</w:t>
      </w:r>
      <w:r w:rsidRPr="00343EB3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за счет средств бюджета ХМАО-Югры 149 млн. 463,3 тыс. рублей, за счет средств бюджета Нефтеюганского района 168 млн. 688,0 тыс. рублей.</w:t>
      </w:r>
    </w:p>
    <w:p w14:paraId="56DC1E4A" w14:textId="6BEBFE79" w:rsidR="00930DFF" w:rsidRPr="00343EB3" w:rsidRDefault="00930DFF" w:rsidP="005371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EB3">
        <w:rPr>
          <w:rFonts w:ascii="Times New Roman" w:hAnsi="Times New Roman"/>
          <w:sz w:val="28"/>
          <w:szCs w:val="28"/>
          <w:lang w:eastAsia="ru-RU"/>
        </w:rPr>
        <w:t xml:space="preserve">Для финансового обеспечения необходимых расходных обязательств поселений при составлении местных бюджетов на очередной финансовый год и плановый период решением Думы Нефтеюганского района от 30.11.2022 № 830 «О бюджете Нефтеюганского района на 2023 год и плановый период 2024 и 2025 годов» предоставлялись иные межбюджетные трансферты на обеспечение сбалансированности местных бюджетов в сумме </w:t>
      </w:r>
      <w:r w:rsidRPr="00343EB3">
        <w:rPr>
          <w:rFonts w:ascii="Times New Roman" w:hAnsi="Times New Roman"/>
          <w:b/>
          <w:sz w:val="28"/>
          <w:szCs w:val="28"/>
          <w:lang w:eastAsia="ru-RU"/>
        </w:rPr>
        <w:t xml:space="preserve">100 млн. </w:t>
      </w:r>
      <w:r w:rsidRPr="00343EB3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5582D5D2" w14:textId="70CC2393" w:rsidR="00930DFF" w:rsidRPr="00343EB3" w:rsidRDefault="00930DFF" w:rsidP="004160A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EB3">
        <w:rPr>
          <w:rFonts w:ascii="Times New Roman" w:hAnsi="Times New Roman"/>
          <w:sz w:val="28"/>
          <w:szCs w:val="28"/>
        </w:rPr>
        <w:t>В целях поощрения в 2023 году были предоставлены иные межбюджетные трансферты в сумме 2</w:t>
      </w:r>
      <w:r w:rsidRPr="00343EB3">
        <w:rPr>
          <w:rFonts w:ascii="Times New Roman" w:hAnsi="Times New Roman"/>
          <w:b/>
          <w:sz w:val="28"/>
          <w:szCs w:val="28"/>
        </w:rPr>
        <w:t xml:space="preserve"> млн.</w:t>
      </w:r>
      <w:r w:rsidRPr="00343EB3">
        <w:rPr>
          <w:rFonts w:ascii="Times New Roman" w:hAnsi="Times New Roman"/>
          <w:sz w:val="28"/>
          <w:szCs w:val="28"/>
        </w:rPr>
        <w:t xml:space="preserve"> рублей</w:t>
      </w:r>
      <w:r w:rsidRPr="00343EB3">
        <w:rPr>
          <w:rFonts w:ascii="Times New Roman" w:hAnsi="Times New Roman"/>
          <w:sz w:val="28"/>
          <w:szCs w:val="28"/>
          <w:lang w:eastAsia="ru-RU"/>
        </w:rPr>
        <w:t xml:space="preserve"> на поощрение за достижение высоких показателей качества организации и осуществления бюджетного процесса органами местного самоуправления поселений, за 2022 год.</w:t>
      </w:r>
    </w:p>
    <w:p w14:paraId="1751CA6F" w14:textId="77777777" w:rsidR="00930DFF" w:rsidRPr="00343EB3" w:rsidRDefault="00930DFF" w:rsidP="00D900C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B3">
        <w:rPr>
          <w:rFonts w:ascii="Times New Roman" w:eastAsia="Times New Roman" w:hAnsi="Times New Roman"/>
          <w:sz w:val="28"/>
          <w:szCs w:val="28"/>
        </w:rPr>
        <w:t>Оценка качества организации и осуществления бюджетного процесса в поселениях проводилась по 23 показателям (индикаторам), которые определяли повышение или понижение качества организации и осуществления бюджетного процесса поселениями по направлениям</w:t>
      </w:r>
      <w:r w:rsidRPr="00343EB3">
        <w:rPr>
          <w:rFonts w:ascii="Times New Roman" w:hAnsi="Times New Roman"/>
          <w:sz w:val="28"/>
          <w:szCs w:val="28"/>
        </w:rPr>
        <w:t xml:space="preserve"> планирования бюджета, исполнения бюджета, открытости бюджетного процесса.</w:t>
      </w:r>
    </w:p>
    <w:p w14:paraId="37CFC271" w14:textId="31C40298" w:rsidR="00930DFF" w:rsidRPr="00343EB3" w:rsidRDefault="00930DFF" w:rsidP="005371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EB3">
        <w:rPr>
          <w:rFonts w:ascii="Times New Roman" w:hAnsi="Times New Roman"/>
          <w:sz w:val="28"/>
          <w:szCs w:val="28"/>
          <w:lang w:eastAsia="ru-RU"/>
        </w:rPr>
        <w:t>Право на получение иных межбюджетных трансфертов имели поселения, сводная оценка качества которых выше среднего значения, сложившегося по поселениям.</w:t>
      </w:r>
    </w:p>
    <w:p w14:paraId="11745CCE" w14:textId="5792334F" w:rsidR="00D900C9" w:rsidRPr="00343EB3" w:rsidRDefault="00930DFF" w:rsidP="00D90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EB3"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343EB3">
        <w:rPr>
          <w:rFonts w:ascii="Times New Roman" w:hAnsi="Times New Roman"/>
          <w:sz w:val="28"/>
          <w:szCs w:val="28"/>
          <w:lang w:eastAsia="ru-RU"/>
        </w:rPr>
        <w:t xml:space="preserve"> Нефтеюганского района от 17.04.2023 года № 535-па «О предоставлении иных межбюджетных трансфертов на поощрение за достижение высоких показателей качества организации и </w:t>
      </w:r>
      <w:r w:rsidRPr="00343E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осуществления бюджетного процесса органами местного самоуправления поселений, входящих в состав Нефтеюганского района, за </w:t>
      </w:r>
      <w:r w:rsidRPr="00343EB3">
        <w:rPr>
          <w:rFonts w:ascii="Times New Roman" w:hAnsi="Times New Roman"/>
          <w:bCs/>
          <w:sz w:val="28"/>
          <w:szCs w:val="28"/>
          <w:lang w:eastAsia="ru-RU"/>
        </w:rPr>
        <w:t>2022 год</w:t>
      </w:r>
      <w:r w:rsidRPr="00343EB3">
        <w:rPr>
          <w:rFonts w:ascii="Times New Roman" w:hAnsi="Times New Roman"/>
          <w:sz w:val="28"/>
          <w:szCs w:val="28"/>
          <w:lang w:eastAsia="ru-RU"/>
        </w:rPr>
        <w:t>» были предоставлены иные межбюджетные трансферты</w:t>
      </w:r>
      <w:r w:rsidR="00D900C9" w:rsidRPr="00343EB3">
        <w:rPr>
          <w:rFonts w:ascii="Times New Roman" w:hAnsi="Times New Roman"/>
          <w:sz w:val="28"/>
          <w:szCs w:val="28"/>
          <w:lang w:eastAsia="ru-RU"/>
        </w:rPr>
        <w:t>:</w:t>
      </w:r>
    </w:p>
    <w:p w14:paraId="332BA5DD" w14:textId="77777777" w:rsidR="00D900C9" w:rsidRPr="00343EB3" w:rsidRDefault="00930DFF" w:rsidP="00D90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3EB3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Pr="00343E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43EB3">
        <w:rPr>
          <w:rFonts w:ascii="Times New Roman" w:hAnsi="Times New Roman"/>
          <w:sz w:val="28"/>
          <w:szCs w:val="28"/>
          <w:lang w:eastAsia="ru-RU"/>
        </w:rPr>
        <w:t>Пойковский</w:t>
      </w:r>
      <w:proofErr w:type="spellEnd"/>
      <w:r w:rsidRPr="00343EB3">
        <w:rPr>
          <w:rFonts w:ascii="Times New Roman" w:hAnsi="Times New Roman"/>
          <w:sz w:val="28"/>
          <w:szCs w:val="28"/>
          <w:lang w:eastAsia="ru-RU"/>
        </w:rPr>
        <w:t xml:space="preserve"> (I место и 754,094 тыс. рублей), </w:t>
      </w:r>
    </w:p>
    <w:p w14:paraId="5A826820" w14:textId="77777777" w:rsidR="00D900C9" w:rsidRPr="00343EB3" w:rsidRDefault="00930DFF" w:rsidP="00D90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3EB3"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 w:rsidRPr="00343EB3">
        <w:rPr>
          <w:rFonts w:ascii="Times New Roman" w:hAnsi="Times New Roman"/>
          <w:sz w:val="28"/>
          <w:szCs w:val="28"/>
          <w:lang w:eastAsia="ru-RU"/>
        </w:rPr>
        <w:t xml:space="preserve">. Салым (II место и 506,066 тыс. рублей),  </w:t>
      </w:r>
      <w:bookmarkStart w:id="1" w:name="_Hlk157066556"/>
    </w:p>
    <w:p w14:paraId="7E7EDC68" w14:textId="77777777" w:rsidR="00D900C9" w:rsidRPr="00343EB3" w:rsidRDefault="00930DFF" w:rsidP="00D90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3EB3"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 w:rsidRPr="00343E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43EB3">
        <w:rPr>
          <w:rFonts w:ascii="Times New Roman" w:hAnsi="Times New Roman"/>
          <w:sz w:val="28"/>
          <w:szCs w:val="28"/>
          <w:lang w:eastAsia="ru-RU"/>
        </w:rPr>
        <w:t>Сингапай</w:t>
      </w:r>
      <w:proofErr w:type="spellEnd"/>
      <w:r w:rsidRPr="00343EB3">
        <w:rPr>
          <w:rFonts w:ascii="Times New Roman" w:hAnsi="Times New Roman"/>
          <w:sz w:val="28"/>
          <w:szCs w:val="28"/>
          <w:lang w:eastAsia="ru-RU"/>
        </w:rPr>
        <w:t xml:space="preserve"> (III место и 397,922 тыс. рублей),</w:t>
      </w:r>
      <w:bookmarkEnd w:id="1"/>
      <w:r w:rsidRPr="00343E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6332C8" w14:textId="57E16F7C" w:rsidR="00930DFF" w:rsidRPr="00343EB3" w:rsidRDefault="00930DFF" w:rsidP="00D90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3EB3"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 w:rsidRPr="00343E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43EB3">
        <w:rPr>
          <w:rFonts w:ascii="Times New Roman" w:hAnsi="Times New Roman"/>
          <w:sz w:val="28"/>
          <w:szCs w:val="28"/>
          <w:lang w:eastAsia="ru-RU"/>
        </w:rPr>
        <w:t>Куть</w:t>
      </w:r>
      <w:proofErr w:type="spellEnd"/>
      <w:r w:rsidRPr="00343EB3">
        <w:rPr>
          <w:rFonts w:ascii="Times New Roman" w:hAnsi="Times New Roman"/>
          <w:sz w:val="28"/>
          <w:szCs w:val="28"/>
          <w:lang w:eastAsia="ru-RU"/>
        </w:rPr>
        <w:t>-Ях (IV место и 341,918 тыс. рублей).</w:t>
      </w:r>
    </w:p>
    <w:p w14:paraId="509FF24E" w14:textId="106B41D8" w:rsidR="00930DFF" w:rsidRPr="00343EB3" w:rsidRDefault="00930DFF" w:rsidP="00416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EB3">
        <w:rPr>
          <w:rFonts w:ascii="Times New Roman" w:hAnsi="Times New Roman"/>
          <w:sz w:val="28"/>
          <w:szCs w:val="28"/>
          <w:lang w:eastAsia="ru-RU"/>
        </w:rPr>
        <w:t xml:space="preserve">Также, в 2023 году бюджетам поселений были предоставлены иные межбюджетные трансферты, имеющие целевое назначение в сумме </w:t>
      </w:r>
      <w:r w:rsidRPr="00343EB3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="00C97A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млн.</w:t>
      </w:r>
      <w:r w:rsidRPr="00343EB3">
        <w:rPr>
          <w:rFonts w:ascii="Times New Roman" w:hAnsi="Times New Roman"/>
          <w:b/>
          <w:sz w:val="28"/>
          <w:szCs w:val="28"/>
          <w:lang w:eastAsia="ru-RU"/>
        </w:rPr>
        <w:t xml:space="preserve"> 741,2</w:t>
      </w:r>
      <w:r w:rsidRPr="00343EB3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231F7766" w14:textId="670A3FCD" w:rsidR="00930DFF" w:rsidRPr="00343EB3" w:rsidRDefault="00930DFF" w:rsidP="00416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EB3">
        <w:rPr>
          <w:rFonts w:ascii="Times New Roman" w:hAnsi="Times New Roman"/>
          <w:sz w:val="28"/>
          <w:szCs w:val="28"/>
          <w:lang w:eastAsia="ru-RU"/>
        </w:rPr>
        <w:t>- расходы на индексацию фонда оплаты труда иных категорий работников муниципальных учреждений, не подпадающих под действие Указа Президента Российской Федерации от 07.05.2012 № 597 «О мероприятиях по реализации государственной социальной политики» в сумме 12</w:t>
      </w:r>
      <w:r w:rsidR="00FF7A4F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343EB3">
        <w:rPr>
          <w:rFonts w:ascii="Times New Roman" w:hAnsi="Times New Roman"/>
          <w:sz w:val="28"/>
          <w:szCs w:val="28"/>
          <w:lang w:eastAsia="ru-RU"/>
        </w:rPr>
        <w:t xml:space="preserve"> 422,0 тыс. рублей;</w:t>
      </w:r>
    </w:p>
    <w:p w14:paraId="09344E76" w14:textId="5F695C73" w:rsidR="00930DFF" w:rsidRPr="00343EB3" w:rsidRDefault="00930DFF" w:rsidP="00416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EB3">
        <w:rPr>
          <w:rFonts w:ascii="Times New Roman" w:hAnsi="Times New Roman"/>
          <w:sz w:val="28"/>
          <w:szCs w:val="28"/>
          <w:lang w:eastAsia="ru-RU"/>
        </w:rPr>
        <w:t>- на поощрение муниципальных управленческих команд в сумме 2</w:t>
      </w:r>
      <w:r w:rsidR="004D2413">
        <w:rPr>
          <w:rFonts w:ascii="Times New Roman" w:hAnsi="Times New Roman"/>
          <w:sz w:val="28"/>
          <w:szCs w:val="28"/>
          <w:lang w:eastAsia="ru-RU"/>
        </w:rPr>
        <w:t xml:space="preserve"> млн. </w:t>
      </w:r>
      <w:r w:rsidRPr="00343EB3">
        <w:rPr>
          <w:rFonts w:ascii="Times New Roman" w:hAnsi="Times New Roman"/>
          <w:sz w:val="28"/>
          <w:szCs w:val="28"/>
          <w:lang w:eastAsia="ru-RU"/>
        </w:rPr>
        <w:t>319,2 тыс. рублей.</w:t>
      </w:r>
    </w:p>
    <w:p w14:paraId="555D1E17" w14:textId="47A45E81" w:rsidR="00D900C9" w:rsidRPr="00343EB3" w:rsidRDefault="00D900C9" w:rsidP="00D900C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EB3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Выделенные межбюджетные трансферты из бюджета Нефтеюганского района в 2023 году позволили муниципальным образованиям поселений успешно завершить финансовый год. </w:t>
      </w:r>
    </w:p>
    <w:p w14:paraId="07CA5A2D" w14:textId="23700A18" w:rsidR="00537193" w:rsidRPr="00343EB3" w:rsidRDefault="00537193" w:rsidP="00D900C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4B7157" w14:textId="77777777" w:rsidR="00D900C9" w:rsidRPr="00343EB3" w:rsidRDefault="00D900C9" w:rsidP="00D900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43EB3">
        <w:rPr>
          <w:rFonts w:ascii="Times New Roman" w:hAnsi="Times New Roman"/>
          <w:bCs/>
          <w:sz w:val="28"/>
          <w:szCs w:val="28"/>
          <w:lang w:eastAsia="ar-SA"/>
        </w:rPr>
        <w:t xml:space="preserve">По результатам исполнения муниципальной программы за 2023 год целевые </w:t>
      </w:r>
      <w:r w:rsidRPr="00343EB3">
        <w:rPr>
          <w:rFonts w:ascii="Times New Roman" w:hAnsi="Times New Roman"/>
          <w:b/>
          <w:bCs/>
          <w:sz w:val="28"/>
          <w:szCs w:val="28"/>
          <w:lang w:eastAsia="ar-SA"/>
        </w:rPr>
        <w:t>показатели достигнуты в полном объеме</w:t>
      </w:r>
      <w:r w:rsidRPr="00343EB3">
        <w:rPr>
          <w:rFonts w:ascii="Times New Roman" w:hAnsi="Times New Roman"/>
          <w:bCs/>
          <w:sz w:val="28"/>
          <w:szCs w:val="28"/>
          <w:lang w:eastAsia="ar-SA"/>
        </w:rPr>
        <w:t xml:space="preserve">. На заседании Координационного совета по рассмотрению муниципальных программ Нефтеюганского района от 15.02.2024 года программа </w:t>
      </w:r>
      <w:r w:rsidRPr="00343EB3">
        <w:rPr>
          <w:rFonts w:ascii="Times New Roman" w:hAnsi="Times New Roman"/>
          <w:b/>
          <w:bCs/>
          <w:sz w:val="28"/>
          <w:szCs w:val="28"/>
          <w:lang w:eastAsia="ar-SA"/>
        </w:rPr>
        <w:t>признана высоко результативной</w:t>
      </w:r>
      <w:r w:rsidRPr="00343EB3">
        <w:rPr>
          <w:rFonts w:ascii="Times New Roman" w:hAnsi="Times New Roman"/>
          <w:bCs/>
          <w:sz w:val="28"/>
          <w:szCs w:val="28"/>
          <w:lang w:eastAsia="ar-SA"/>
        </w:rPr>
        <w:t>, набрав 9 баллов.</w:t>
      </w:r>
    </w:p>
    <w:p w14:paraId="676AD04E" w14:textId="15DCF82A" w:rsidR="00D9162B" w:rsidRPr="00D9162B" w:rsidRDefault="00D9162B" w:rsidP="00D916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703">
        <w:rPr>
          <w:rFonts w:ascii="Times New Roman" w:hAnsi="Times New Roman"/>
          <w:bCs/>
          <w:sz w:val="28"/>
          <w:szCs w:val="28"/>
          <w:highlight w:val="yellow"/>
        </w:rPr>
        <w:t xml:space="preserve">Финансовые показатели исполнены на </w:t>
      </w:r>
      <w:r w:rsidR="00D900C9" w:rsidRPr="00EB0703">
        <w:rPr>
          <w:rFonts w:ascii="Times New Roman" w:hAnsi="Times New Roman"/>
          <w:bCs/>
          <w:sz w:val="28"/>
          <w:szCs w:val="28"/>
          <w:highlight w:val="yellow"/>
        </w:rPr>
        <w:t>100</w:t>
      </w:r>
      <w:r w:rsidRPr="00EB0703">
        <w:rPr>
          <w:rFonts w:ascii="Times New Roman" w:hAnsi="Times New Roman"/>
          <w:bCs/>
          <w:sz w:val="28"/>
          <w:szCs w:val="28"/>
          <w:highlight w:val="yellow"/>
        </w:rPr>
        <w:t>%</w:t>
      </w:r>
      <w:r w:rsidRPr="00343EB3">
        <w:rPr>
          <w:rFonts w:ascii="Times New Roman" w:hAnsi="Times New Roman"/>
          <w:bCs/>
          <w:sz w:val="28"/>
          <w:szCs w:val="28"/>
        </w:rPr>
        <w:t xml:space="preserve"> (план </w:t>
      </w:r>
      <w:r w:rsidR="00D900C9" w:rsidRPr="00343EB3">
        <w:rPr>
          <w:rFonts w:ascii="Times New Roman" w:hAnsi="Times New Roman"/>
          <w:bCs/>
          <w:sz w:val="28"/>
          <w:szCs w:val="28"/>
        </w:rPr>
        <w:t xml:space="preserve">и факт составили </w:t>
      </w:r>
      <w:r w:rsidRPr="00343EB3">
        <w:rPr>
          <w:rFonts w:ascii="Times New Roman" w:hAnsi="Times New Roman"/>
          <w:bCs/>
          <w:sz w:val="28"/>
          <w:szCs w:val="28"/>
        </w:rPr>
        <w:t>5</w:t>
      </w:r>
      <w:r w:rsidR="00D900C9" w:rsidRPr="00343EB3">
        <w:rPr>
          <w:rFonts w:ascii="Times New Roman" w:hAnsi="Times New Roman"/>
          <w:bCs/>
          <w:sz w:val="28"/>
          <w:szCs w:val="28"/>
        </w:rPr>
        <w:t>47</w:t>
      </w:r>
      <w:r w:rsidRPr="00343EB3">
        <w:rPr>
          <w:rFonts w:ascii="Times New Roman" w:hAnsi="Times New Roman"/>
          <w:bCs/>
          <w:sz w:val="28"/>
          <w:szCs w:val="28"/>
        </w:rPr>
        <w:t>,</w:t>
      </w:r>
      <w:r w:rsidR="00D900C9" w:rsidRPr="00343EB3">
        <w:rPr>
          <w:rFonts w:ascii="Times New Roman" w:hAnsi="Times New Roman"/>
          <w:bCs/>
          <w:sz w:val="28"/>
          <w:szCs w:val="28"/>
        </w:rPr>
        <w:t>6</w:t>
      </w:r>
      <w:r w:rsidRPr="00343EB3">
        <w:rPr>
          <w:rFonts w:ascii="Times New Roman" w:hAnsi="Times New Roman"/>
          <w:bCs/>
          <w:sz w:val="28"/>
          <w:szCs w:val="28"/>
        </w:rPr>
        <w:t xml:space="preserve"> млн. руб., из них: средства бюджета автономного округа 1</w:t>
      </w:r>
      <w:r w:rsidR="00D900C9" w:rsidRPr="00343EB3">
        <w:rPr>
          <w:rFonts w:ascii="Times New Roman" w:hAnsi="Times New Roman"/>
          <w:bCs/>
          <w:sz w:val="28"/>
          <w:szCs w:val="28"/>
        </w:rPr>
        <w:t>50,3</w:t>
      </w:r>
      <w:r w:rsidRPr="00343EB3">
        <w:rPr>
          <w:rFonts w:ascii="Times New Roman" w:hAnsi="Times New Roman"/>
          <w:bCs/>
          <w:sz w:val="28"/>
          <w:szCs w:val="28"/>
        </w:rPr>
        <w:t xml:space="preserve"> млн. руб., средства местного бюджета </w:t>
      </w:r>
      <w:r w:rsidR="00D900C9" w:rsidRPr="00343EB3">
        <w:rPr>
          <w:rFonts w:ascii="Times New Roman" w:hAnsi="Times New Roman"/>
          <w:bCs/>
          <w:sz w:val="28"/>
          <w:szCs w:val="28"/>
        </w:rPr>
        <w:t>397</w:t>
      </w:r>
      <w:r w:rsidRPr="00343EB3">
        <w:rPr>
          <w:rFonts w:ascii="Times New Roman" w:hAnsi="Times New Roman"/>
          <w:bCs/>
          <w:sz w:val="28"/>
          <w:szCs w:val="28"/>
        </w:rPr>
        <w:t>,</w:t>
      </w:r>
      <w:r w:rsidR="00D900C9" w:rsidRPr="00343EB3">
        <w:rPr>
          <w:rFonts w:ascii="Times New Roman" w:hAnsi="Times New Roman"/>
          <w:bCs/>
          <w:sz w:val="28"/>
          <w:szCs w:val="28"/>
        </w:rPr>
        <w:t>3</w:t>
      </w:r>
      <w:r w:rsidRPr="00343EB3">
        <w:rPr>
          <w:rFonts w:ascii="Times New Roman" w:hAnsi="Times New Roman"/>
          <w:bCs/>
          <w:sz w:val="28"/>
          <w:szCs w:val="28"/>
        </w:rPr>
        <w:t xml:space="preserve"> млн. руб.)</w:t>
      </w:r>
      <w:r w:rsidR="00D900C9" w:rsidRPr="00343EB3">
        <w:rPr>
          <w:rFonts w:ascii="Times New Roman" w:hAnsi="Times New Roman"/>
          <w:bCs/>
          <w:sz w:val="28"/>
          <w:szCs w:val="28"/>
        </w:rPr>
        <w:t>.</w:t>
      </w:r>
    </w:p>
    <w:sectPr w:rsidR="00D9162B" w:rsidRPr="00D9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41AB"/>
    <w:multiLevelType w:val="hybridMultilevel"/>
    <w:tmpl w:val="18921D7A"/>
    <w:lvl w:ilvl="0" w:tplc="358A7D18">
      <w:start w:val="1"/>
      <w:numFmt w:val="decimal"/>
      <w:lvlText w:val="%1)"/>
      <w:lvlJc w:val="left"/>
      <w:pPr>
        <w:ind w:left="215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76" w:hanging="360"/>
      </w:pPr>
    </w:lvl>
    <w:lvl w:ilvl="2" w:tplc="0419001B" w:tentative="1">
      <w:start w:val="1"/>
      <w:numFmt w:val="lowerRoman"/>
      <w:lvlText w:val="%3."/>
      <w:lvlJc w:val="right"/>
      <w:pPr>
        <w:ind w:left="3596" w:hanging="180"/>
      </w:pPr>
    </w:lvl>
    <w:lvl w:ilvl="3" w:tplc="0419000F" w:tentative="1">
      <w:start w:val="1"/>
      <w:numFmt w:val="decimal"/>
      <w:lvlText w:val="%4."/>
      <w:lvlJc w:val="left"/>
      <w:pPr>
        <w:ind w:left="4316" w:hanging="360"/>
      </w:pPr>
    </w:lvl>
    <w:lvl w:ilvl="4" w:tplc="04190019" w:tentative="1">
      <w:start w:val="1"/>
      <w:numFmt w:val="lowerLetter"/>
      <w:lvlText w:val="%5."/>
      <w:lvlJc w:val="left"/>
      <w:pPr>
        <w:ind w:left="5036" w:hanging="360"/>
      </w:pPr>
    </w:lvl>
    <w:lvl w:ilvl="5" w:tplc="0419001B" w:tentative="1">
      <w:start w:val="1"/>
      <w:numFmt w:val="lowerRoman"/>
      <w:lvlText w:val="%6."/>
      <w:lvlJc w:val="right"/>
      <w:pPr>
        <w:ind w:left="5756" w:hanging="180"/>
      </w:pPr>
    </w:lvl>
    <w:lvl w:ilvl="6" w:tplc="0419000F" w:tentative="1">
      <w:start w:val="1"/>
      <w:numFmt w:val="decimal"/>
      <w:lvlText w:val="%7."/>
      <w:lvlJc w:val="left"/>
      <w:pPr>
        <w:ind w:left="6476" w:hanging="360"/>
      </w:pPr>
    </w:lvl>
    <w:lvl w:ilvl="7" w:tplc="04190019" w:tentative="1">
      <w:start w:val="1"/>
      <w:numFmt w:val="lowerLetter"/>
      <w:lvlText w:val="%8."/>
      <w:lvlJc w:val="left"/>
      <w:pPr>
        <w:ind w:left="7196" w:hanging="360"/>
      </w:pPr>
    </w:lvl>
    <w:lvl w:ilvl="8" w:tplc="041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" w15:restartNumberingAfterBreak="0">
    <w:nsid w:val="43F01B9C"/>
    <w:multiLevelType w:val="hybridMultilevel"/>
    <w:tmpl w:val="98A0A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F5114"/>
    <w:multiLevelType w:val="hybridMultilevel"/>
    <w:tmpl w:val="98A0A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04A49"/>
    <w:multiLevelType w:val="multilevel"/>
    <w:tmpl w:val="F1866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339195C"/>
    <w:multiLevelType w:val="hybridMultilevel"/>
    <w:tmpl w:val="24902054"/>
    <w:lvl w:ilvl="0" w:tplc="F442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6A"/>
    <w:rsid w:val="000202A1"/>
    <w:rsid w:val="00026BF2"/>
    <w:rsid w:val="00041293"/>
    <w:rsid w:val="00047A73"/>
    <w:rsid w:val="00052375"/>
    <w:rsid w:val="00095F51"/>
    <w:rsid w:val="000A2860"/>
    <w:rsid w:val="000B07AD"/>
    <w:rsid w:val="000C408E"/>
    <w:rsid w:val="000C760D"/>
    <w:rsid w:val="000D7734"/>
    <w:rsid w:val="000F0CBA"/>
    <w:rsid w:val="001000BF"/>
    <w:rsid w:val="001148EC"/>
    <w:rsid w:val="00147D93"/>
    <w:rsid w:val="00155EC9"/>
    <w:rsid w:val="001C2D39"/>
    <w:rsid w:val="001E00A2"/>
    <w:rsid w:val="001E6EE7"/>
    <w:rsid w:val="002220AF"/>
    <w:rsid w:val="00225C00"/>
    <w:rsid w:val="00225E24"/>
    <w:rsid w:val="002838C4"/>
    <w:rsid w:val="002861ED"/>
    <w:rsid w:val="00295B35"/>
    <w:rsid w:val="0029761A"/>
    <w:rsid w:val="002B5021"/>
    <w:rsid w:val="002C5089"/>
    <w:rsid w:val="002D3E2C"/>
    <w:rsid w:val="002F7C60"/>
    <w:rsid w:val="003045C4"/>
    <w:rsid w:val="003057F1"/>
    <w:rsid w:val="00311519"/>
    <w:rsid w:val="003203EF"/>
    <w:rsid w:val="003262E3"/>
    <w:rsid w:val="003327D3"/>
    <w:rsid w:val="00343387"/>
    <w:rsid w:val="00343EB3"/>
    <w:rsid w:val="00364481"/>
    <w:rsid w:val="003D2025"/>
    <w:rsid w:val="003D7436"/>
    <w:rsid w:val="003D7D33"/>
    <w:rsid w:val="003E204C"/>
    <w:rsid w:val="003E6A9A"/>
    <w:rsid w:val="003F52CD"/>
    <w:rsid w:val="00406377"/>
    <w:rsid w:val="00411EF8"/>
    <w:rsid w:val="004160A4"/>
    <w:rsid w:val="0042608C"/>
    <w:rsid w:val="00432EA3"/>
    <w:rsid w:val="004443E1"/>
    <w:rsid w:val="004452C2"/>
    <w:rsid w:val="00463DA2"/>
    <w:rsid w:val="00466575"/>
    <w:rsid w:val="00471FD8"/>
    <w:rsid w:val="00485D04"/>
    <w:rsid w:val="004941E5"/>
    <w:rsid w:val="004A2856"/>
    <w:rsid w:val="004D2413"/>
    <w:rsid w:val="004D4CF3"/>
    <w:rsid w:val="005076EC"/>
    <w:rsid w:val="00533DA6"/>
    <w:rsid w:val="00537193"/>
    <w:rsid w:val="00550640"/>
    <w:rsid w:val="0055702D"/>
    <w:rsid w:val="005722E9"/>
    <w:rsid w:val="005934C6"/>
    <w:rsid w:val="005D2D6B"/>
    <w:rsid w:val="006149B4"/>
    <w:rsid w:val="00623EDF"/>
    <w:rsid w:val="0063274B"/>
    <w:rsid w:val="00640A72"/>
    <w:rsid w:val="00647AC0"/>
    <w:rsid w:val="00653975"/>
    <w:rsid w:val="00656DB8"/>
    <w:rsid w:val="00656FB5"/>
    <w:rsid w:val="006600B0"/>
    <w:rsid w:val="00674FF9"/>
    <w:rsid w:val="0068595D"/>
    <w:rsid w:val="00687B48"/>
    <w:rsid w:val="00694BB4"/>
    <w:rsid w:val="006A3569"/>
    <w:rsid w:val="006B4A70"/>
    <w:rsid w:val="006B7A26"/>
    <w:rsid w:val="006F1C22"/>
    <w:rsid w:val="007030AF"/>
    <w:rsid w:val="00717B25"/>
    <w:rsid w:val="00720673"/>
    <w:rsid w:val="0072429C"/>
    <w:rsid w:val="00726590"/>
    <w:rsid w:val="00742B35"/>
    <w:rsid w:val="00750CC7"/>
    <w:rsid w:val="00752DC0"/>
    <w:rsid w:val="00756E5F"/>
    <w:rsid w:val="00767DD9"/>
    <w:rsid w:val="00770C31"/>
    <w:rsid w:val="00777B44"/>
    <w:rsid w:val="00780B97"/>
    <w:rsid w:val="0079243A"/>
    <w:rsid w:val="00795312"/>
    <w:rsid w:val="007966C0"/>
    <w:rsid w:val="007A082D"/>
    <w:rsid w:val="007A35C5"/>
    <w:rsid w:val="007C27C1"/>
    <w:rsid w:val="007D2F4F"/>
    <w:rsid w:val="007D4468"/>
    <w:rsid w:val="007F03FD"/>
    <w:rsid w:val="00801ECD"/>
    <w:rsid w:val="0081510E"/>
    <w:rsid w:val="00817ABC"/>
    <w:rsid w:val="008225F9"/>
    <w:rsid w:val="00822611"/>
    <w:rsid w:val="008272EB"/>
    <w:rsid w:val="0083694A"/>
    <w:rsid w:val="00841375"/>
    <w:rsid w:val="0087211C"/>
    <w:rsid w:val="0089151C"/>
    <w:rsid w:val="008B0ECF"/>
    <w:rsid w:val="008B480C"/>
    <w:rsid w:val="008D6663"/>
    <w:rsid w:val="008F1D33"/>
    <w:rsid w:val="0091126E"/>
    <w:rsid w:val="00911F45"/>
    <w:rsid w:val="00912785"/>
    <w:rsid w:val="00913849"/>
    <w:rsid w:val="009146E5"/>
    <w:rsid w:val="009149D4"/>
    <w:rsid w:val="009161DA"/>
    <w:rsid w:val="00930DFF"/>
    <w:rsid w:val="00932B9B"/>
    <w:rsid w:val="0096579A"/>
    <w:rsid w:val="009749B9"/>
    <w:rsid w:val="009A01B6"/>
    <w:rsid w:val="009A6E6F"/>
    <w:rsid w:val="009E4E07"/>
    <w:rsid w:val="00A1074B"/>
    <w:rsid w:val="00A3677E"/>
    <w:rsid w:val="00A41FD7"/>
    <w:rsid w:val="00A5546C"/>
    <w:rsid w:val="00A60901"/>
    <w:rsid w:val="00A617FB"/>
    <w:rsid w:val="00A937EE"/>
    <w:rsid w:val="00AA12FC"/>
    <w:rsid w:val="00AA5B8A"/>
    <w:rsid w:val="00AB08C6"/>
    <w:rsid w:val="00AC5505"/>
    <w:rsid w:val="00AE10AD"/>
    <w:rsid w:val="00AF3741"/>
    <w:rsid w:val="00B010A4"/>
    <w:rsid w:val="00B12496"/>
    <w:rsid w:val="00B32F6E"/>
    <w:rsid w:val="00B33F72"/>
    <w:rsid w:val="00B432D0"/>
    <w:rsid w:val="00B660C2"/>
    <w:rsid w:val="00B74373"/>
    <w:rsid w:val="00B760E8"/>
    <w:rsid w:val="00B95EF0"/>
    <w:rsid w:val="00B97156"/>
    <w:rsid w:val="00BC0C58"/>
    <w:rsid w:val="00BE7EAE"/>
    <w:rsid w:val="00BF3176"/>
    <w:rsid w:val="00C039DE"/>
    <w:rsid w:val="00C14B12"/>
    <w:rsid w:val="00C2332F"/>
    <w:rsid w:val="00C4113F"/>
    <w:rsid w:val="00C413AB"/>
    <w:rsid w:val="00C72A90"/>
    <w:rsid w:val="00C973B5"/>
    <w:rsid w:val="00C97AC2"/>
    <w:rsid w:val="00CA45E1"/>
    <w:rsid w:val="00CB58FA"/>
    <w:rsid w:val="00CC4AFC"/>
    <w:rsid w:val="00CD5014"/>
    <w:rsid w:val="00CE33EB"/>
    <w:rsid w:val="00D006CB"/>
    <w:rsid w:val="00D04DC6"/>
    <w:rsid w:val="00D04F86"/>
    <w:rsid w:val="00D05175"/>
    <w:rsid w:val="00D129F7"/>
    <w:rsid w:val="00D23455"/>
    <w:rsid w:val="00D72D64"/>
    <w:rsid w:val="00D7625B"/>
    <w:rsid w:val="00D85CBF"/>
    <w:rsid w:val="00D900C9"/>
    <w:rsid w:val="00D9162B"/>
    <w:rsid w:val="00DA1461"/>
    <w:rsid w:val="00DC3858"/>
    <w:rsid w:val="00DD28C0"/>
    <w:rsid w:val="00E16078"/>
    <w:rsid w:val="00E230BD"/>
    <w:rsid w:val="00E2469E"/>
    <w:rsid w:val="00E6663D"/>
    <w:rsid w:val="00E91325"/>
    <w:rsid w:val="00E962E3"/>
    <w:rsid w:val="00EA62C9"/>
    <w:rsid w:val="00EA72AB"/>
    <w:rsid w:val="00EB0703"/>
    <w:rsid w:val="00EB650A"/>
    <w:rsid w:val="00ED7DD8"/>
    <w:rsid w:val="00EF18CF"/>
    <w:rsid w:val="00F11155"/>
    <w:rsid w:val="00F21E00"/>
    <w:rsid w:val="00F40D8B"/>
    <w:rsid w:val="00F5490A"/>
    <w:rsid w:val="00F6109D"/>
    <w:rsid w:val="00F646CE"/>
    <w:rsid w:val="00F65DED"/>
    <w:rsid w:val="00F710F7"/>
    <w:rsid w:val="00F81D8C"/>
    <w:rsid w:val="00F87D6A"/>
    <w:rsid w:val="00FA164C"/>
    <w:rsid w:val="00FC0C63"/>
    <w:rsid w:val="00FC774D"/>
    <w:rsid w:val="00FE4801"/>
    <w:rsid w:val="00FF3671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A155"/>
  <w15:chartTrackingRefBased/>
  <w15:docId w15:val="{502403CE-B167-4FAA-9C55-05E94B9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BF"/>
    <w:pPr>
      <w:ind w:left="720"/>
      <w:contextualSpacing/>
    </w:pPr>
  </w:style>
  <w:style w:type="paragraph" w:styleId="a4">
    <w:name w:val="No Spacing"/>
    <w:uiPriority w:val="1"/>
    <w:qFormat/>
    <w:rsid w:val="00CD50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Топал Элина Ивановна</dc:creator>
  <cp:keywords/>
  <dc:description/>
  <cp:lastModifiedBy>Почуева Алефтина Геннадьевна</cp:lastModifiedBy>
  <cp:revision>315</cp:revision>
  <cp:lastPrinted>2023-03-24T12:10:00Z</cp:lastPrinted>
  <dcterms:created xsi:type="dcterms:W3CDTF">2023-01-11T11:48:00Z</dcterms:created>
  <dcterms:modified xsi:type="dcterms:W3CDTF">2024-03-26T05:44:00Z</dcterms:modified>
</cp:coreProperties>
</file>