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67B3" w14:textId="77777777" w:rsidR="00370F13" w:rsidRPr="00237758" w:rsidRDefault="00370F13" w:rsidP="00377C45">
      <w:pPr>
        <w:spacing w:line="312" w:lineRule="auto"/>
        <w:jc w:val="center"/>
        <w:rPr>
          <w:b/>
          <w:bCs/>
          <w:sz w:val="26"/>
          <w:szCs w:val="26"/>
        </w:rPr>
      </w:pPr>
      <w:r w:rsidRPr="00237758">
        <w:rPr>
          <w:b/>
          <w:bCs/>
          <w:sz w:val="26"/>
          <w:szCs w:val="26"/>
        </w:rPr>
        <w:t>Результаты</w:t>
      </w:r>
    </w:p>
    <w:p w14:paraId="66D82B0C" w14:textId="77777777" w:rsidR="00370F13" w:rsidRPr="00237758" w:rsidRDefault="00370F13" w:rsidP="00370F13">
      <w:pPr>
        <w:spacing w:line="312" w:lineRule="auto"/>
        <w:ind w:left="567"/>
        <w:jc w:val="center"/>
        <w:rPr>
          <w:b/>
          <w:sz w:val="26"/>
          <w:szCs w:val="26"/>
        </w:rPr>
      </w:pPr>
      <w:r w:rsidRPr="00237758">
        <w:rPr>
          <w:b/>
          <w:sz w:val="26"/>
          <w:szCs w:val="26"/>
        </w:rPr>
        <w:t>мониторинга и оценки качества организации и осуществления</w:t>
      </w:r>
    </w:p>
    <w:p w14:paraId="0DF85037" w14:textId="77E63A92" w:rsidR="00370F13" w:rsidRPr="00237758" w:rsidRDefault="00370F13" w:rsidP="00370F13">
      <w:pPr>
        <w:spacing w:line="312" w:lineRule="auto"/>
        <w:ind w:left="567"/>
        <w:jc w:val="center"/>
        <w:rPr>
          <w:b/>
          <w:sz w:val="26"/>
          <w:szCs w:val="26"/>
        </w:rPr>
      </w:pPr>
      <w:r w:rsidRPr="00237758">
        <w:rPr>
          <w:b/>
          <w:sz w:val="26"/>
          <w:szCs w:val="26"/>
        </w:rPr>
        <w:t xml:space="preserve">бюджетного процесса органами местного самоуправления поселений, входящих в состав </w:t>
      </w:r>
      <w:r w:rsidR="00D43E53" w:rsidRPr="00D43E53">
        <w:rPr>
          <w:b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Pr="00237758">
        <w:rPr>
          <w:b/>
          <w:sz w:val="26"/>
          <w:szCs w:val="26"/>
        </w:rPr>
        <w:t>, за 202</w:t>
      </w:r>
      <w:r w:rsidR="00AF0FF9" w:rsidRPr="00237758">
        <w:rPr>
          <w:b/>
          <w:sz w:val="26"/>
          <w:szCs w:val="26"/>
        </w:rPr>
        <w:t>2</w:t>
      </w:r>
      <w:r w:rsidRPr="00237758">
        <w:rPr>
          <w:b/>
          <w:sz w:val="26"/>
          <w:szCs w:val="26"/>
        </w:rPr>
        <w:t xml:space="preserve"> год</w:t>
      </w:r>
    </w:p>
    <w:p w14:paraId="0A2A1431" w14:textId="77777777" w:rsidR="00370F13" w:rsidRPr="00237758" w:rsidRDefault="00370F13" w:rsidP="00370F13">
      <w:pPr>
        <w:spacing w:line="312" w:lineRule="auto"/>
        <w:rPr>
          <w:b/>
          <w:sz w:val="26"/>
          <w:szCs w:val="26"/>
        </w:rPr>
      </w:pPr>
    </w:p>
    <w:p w14:paraId="0B5556D9" w14:textId="23E14FF7" w:rsidR="00370F13" w:rsidRPr="00237758" w:rsidRDefault="00370F13" w:rsidP="00DB13AD">
      <w:pPr>
        <w:spacing w:line="312" w:lineRule="auto"/>
        <w:ind w:left="284" w:firstLine="709"/>
        <w:jc w:val="both"/>
        <w:rPr>
          <w:sz w:val="26"/>
          <w:szCs w:val="26"/>
        </w:rPr>
      </w:pPr>
      <w:r w:rsidRPr="00237758">
        <w:rPr>
          <w:sz w:val="26"/>
          <w:szCs w:val="26"/>
        </w:rPr>
        <w:t xml:space="preserve">Согласно решению Думы Нефтеюганского района </w:t>
      </w:r>
      <w:r w:rsidR="00AF0FF9" w:rsidRPr="00237758">
        <w:rPr>
          <w:sz w:val="26"/>
          <w:szCs w:val="26"/>
        </w:rPr>
        <w:t>от 30.11.2022 № 830 «О бюджете Нефтеюганского района на 2023 год и плановый период 2024 и 2025 годов»</w:t>
      </w:r>
      <w:r w:rsidR="007914AB" w:rsidRPr="00237758">
        <w:rPr>
          <w:sz w:val="26"/>
          <w:szCs w:val="26"/>
        </w:rPr>
        <w:t xml:space="preserve"> </w:t>
      </w:r>
      <w:r w:rsidRPr="00237758">
        <w:rPr>
          <w:sz w:val="26"/>
          <w:szCs w:val="26"/>
        </w:rPr>
        <w:t>в расходах бюджета муниципального образования Нефтеюганский район предусмотрены 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 в сумме</w:t>
      </w:r>
      <w:r w:rsidR="00062D4C" w:rsidRPr="00237758">
        <w:rPr>
          <w:sz w:val="26"/>
          <w:szCs w:val="26"/>
        </w:rPr>
        <w:t xml:space="preserve"> 2</w:t>
      </w:r>
      <w:r w:rsidR="003F135F">
        <w:rPr>
          <w:sz w:val="26"/>
          <w:szCs w:val="26"/>
        </w:rPr>
        <w:t> </w:t>
      </w:r>
      <w:r w:rsidRPr="00237758">
        <w:rPr>
          <w:sz w:val="26"/>
          <w:szCs w:val="26"/>
        </w:rPr>
        <w:t>000</w:t>
      </w:r>
      <w:r w:rsidR="003F135F" w:rsidRPr="003F135F">
        <w:rPr>
          <w:sz w:val="26"/>
          <w:szCs w:val="26"/>
        </w:rPr>
        <w:t xml:space="preserve"> </w:t>
      </w:r>
      <w:r w:rsidRPr="00237758">
        <w:rPr>
          <w:sz w:val="26"/>
          <w:szCs w:val="26"/>
        </w:rPr>
        <w:t>0</w:t>
      </w:r>
      <w:r w:rsidR="003F135F" w:rsidRPr="003F135F">
        <w:rPr>
          <w:sz w:val="26"/>
          <w:szCs w:val="26"/>
        </w:rPr>
        <w:t>00</w:t>
      </w:r>
      <w:r w:rsidR="003F135F">
        <w:rPr>
          <w:sz w:val="26"/>
          <w:szCs w:val="26"/>
        </w:rPr>
        <w:t>,00</w:t>
      </w:r>
      <w:r w:rsidRPr="00237758">
        <w:rPr>
          <w:sz w:val="26"/>
          <w:szCs w:val="26"/>
        </w:rPr>
        <w:t xml:space="preserve"> рублей.</w:t>
      </w:r>
    </w:p>
    <w:p w14:paraId="63F17B67" w14:textId="49EF57E5" w:rsidR="00370F13" w:rsidRPr="00237758" w:rsidRDefault="00370F13" w:rsidP="00DB13AD">
      <w:pPr>
        <w:spacing w:line="312" w:lineRule="auto"/>
        <w:ind w:left="284" w:firstLine="709"/>
        <w:jc w:val="both"/>
        <w:rPr>
          <w:sz w:val="26"/>
          <w:szCs w:val="26"/>
        </w:rPr>
      </w:pPr>
      <w:r w:rsidRPr="00237758">
        <w:rPr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="007914AB" w:rsidRPr="00237758">
        <w:rPr>
          <w:sz w:val="26"/>
          <w:szCs w:val="26"/>
          <w:lang w:eastAsia="ru-RU"/>
        </w:rPr>
        <w:t>от 15.03.2023 № 341-па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муниципального района Ханты-Мансийского автономного округа – Югры»</w:t>
      </w:r>
      <w:r w:rsidR="007914AB" w:rsidRPr="00237758">
        <w:rPr>
          <w:sz w:val="26"/>
          <w:szCs w:val="26"/>
        </w:rPr>
        <w:t xml:space="preserve"> </w:t>
      </w:r>
      <w:r w:rsidRPr="00237758">
        <w:rPr>
          <w:sz w:val="26"/>
          <w:szCs w:val="26"/>
        </w:rPr>
        <w:t xml:space="preserve">был проведен мониторинг и оценка качества организации и осуществления бюджетного процесса </w:t>
      </w:r>
      <w:r w:rsidRPr="00237758">
        <w:rPr>
          <w:bCs/>
          <w:sz w:val="26"/>
          <w:szCs w:val="26"/>
        </w:rPr>
        <w:t>органами местного самоуправления поселений, входящих в состав Нефтеюганского района</w:t>
      </w:r>
      <w:r w:rsidRPr="00237758">
        <w:rPr>
          <w:sz w:val="26"/>
          <w:szCs w:val="26"/>
        </w:rPr>
        <w:t xml:space="preserve"> (далее - поселения)</w:t>
      </w:r>
      <w:r w:rsidR="004608B5">
        <w:rPr>
          <w:sz w:val="26"/>
          <w:szCs w:val="26"/>
        </w:rPr>
        <w:t>,</w:t>
      </w:r>
      <w:r w:rsidRPr="00237758">
        <w:rPr>
          <w:sz w:val="26"/>
          <w:szCs w:val="26"/>
        </w:rPr>
        <w:t xml:space="preserve"> за 202</w:t>
      </w:r>
      <w:r w:rsidR="000D3657" w:rsidRPr="00237758">
        <w:rPr>
          <w:sz w:val="26"/>
          <w:szCs w:val="26"/>
        </w:rPr>
        <w:t>2</w:t>
      </w:r>
      <w:r w:rsidRPr="00237758">
        <w:rPr>
          <w:sz w:val="26"/>
          <w:szCs w:val="26"/>
        </w:rPr>
        <w:t xml:space="preserve"> год. </w:t>
      </w:r>
    </w:p>
    <w:p w14:paraId="0582C7D5" w14:textId="6F959AEB" w:rsidR="00237758" w:rsidRDefault="001964F5" w:rsidP="00DB13AD">
      <w:pPr>
        <w:spacing w:line="312" w:lineRule="auto"/>
        <w:ind w:left="284" w:firstLine="709"/>
        <w:jc w:val="both"/>
        <w:rPr>
          <w:sz w:val="26"/>
          <w:szCs w:val="26"/>
        </w:rPr>
      </w:pPr>
      <w:r w:rsidRPr="00237758">
        <w:rPr>
          <w:sz w:val="26"/>
          <w:szCs w:val="26"/>
        </w:rPr>
        <w:t>По</w:t>
      </w:r>
      <w:r w:rsidR="00370F13" w:rsidRPr="00237758">
        <w:rPr>
          <w:sz w:val="26"/>
          <w:szCs w:val="26"/>
        </w:rPr>
        <w:t xml:space="preserve"> результат</w:t>
      </w:r>
      <w:r w:rsidRPr="00237758">
        <w:rPr>
          <w:sz w:val="26"/>
          <w:szCs w:val="26"/>
        </w:rPr>
        <w:t>ам</w:t>
      </w:r>
      <w:r w:rsidR="00370F13" w:rsidRPr="00237758">
        <w:rPr>
          <w:sz w:val="26"/>
          <w:szCs w:val="26"/>
        </w:rPr>
        <w:t xml:space="preserve"> проведенного мониторинга и оценки качества организации и осуществления бюджетного процесса поселениями, сформирован</w:t>
      </w:r>
      <w:r w:rsidRPr="00237758">
        <w:rPr>
          <w:sz w:val="26"/>
          <w:szCs w:val="26"/>
        </w:rPr>
        <w:t>ы</w:t>
      </w:r>
      <w:r w:rsidR="00370F13" w:rsidRPr="00237758">
        <w:rPr>
          <w:sz w:val="26"/>
          <w:szCs w:val="26"/>
        </w:rPr>
        <w:t xml:space="preserve"> </w:t>
      </w:r>
      <w:r w:rsidRPr="00237758">
        <w:rPr>
          <w:sz w:val="26"/>
          <w:szCs w:val="26"/>
        </w:rPr>
        <w:t>сводная оценка качества и рейтинг поселений, утвержденные приказом департамента финансов Нефтеюганского района от 14.04.2023 №</w:t>
      </w:r>
      <w:r w:rsidR="00237758" w:rsidRPr="00237758">
        <w:rPr>
          <w:sz w:val="26"/>
          <w:szCs w:val="26"/>
        </w:rPr>
        <w:t xml:space="preserve"> </w:t>
      </w:r>
      <w:r w:rsidRPr="00237758">
        <w:rPr>
          <w:sz w:val="26"/>
          <w:szCs w:val="26"/>
        </w:rPr>
        <w:t>36-п «О сводной оценке качества организации и осуществления бюджетного процесса органами местного самоуправления поселений, входящих в состав Нефтеюганского муниципального района Ханты-Мансийского автономного округа – Югры, и их рейтинге по итогам 2022 года».</w:t>
      </w:r>
    </w:p>
    <w:p w14:paraId="59651531" w14:textId="77777777" w:rsidR="004608B5" w:rsidRPr="00237758" w:rsidRDefault="004608B5" w:rsidP="00237758">
      <w:pPr>
        <w:spacing w:line="312" w:lineRule="auto"/>
        <w:ind w:left="567" w:firstLine="709"/>
        <w:jc w:val="both"/>
        <w:rPr>
          <w:sz w:val="26"/>
          <w:szCs w:val="26"/>
        </w:rPr>
      </w:pP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370F13" w:rsidRPr="00AF0828" w14:paraId="24076E9D" w14:textId="77777777" w:rsidTr="007A300C">
        <w:trPr>
          <w:trHeight w:val="93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7E478" w14:textId="3BFF0D95" w:rsidR="00370F13" w:rsidRPr="00237758" w:rsidRDefault="00370F13" w:rsidP="00CA2316">
            <w:pPr>
              <w:jc w:val="center"/>
              <w:rPr>
                <w:sz w:val="26"/>
                <w:szCs w:val="26"/>
              </w:rPr>
            </w:pPr>
            <w:r w:rsidRPr="00237758">
              <w:rPr>
                <w:sz w:val="26"/>
                <w:szCs w:val="26"/>
              </w:rPr>
              <w:t>Сводная оценка качества организации</w:t>
            </w:r>
          </w:p>
          <w:p w14:paraId="05B490EF" w14:textId="6485B7ED" w:rsidR="00370F13" w:rsidRPr="00237758" w:rsidRDefault="00370F13" w:rsidP="00CA2316">
            <w:pPr>
              <w:ind w:left="709"/>
              <w:jc w:val="center"/>
              <w:rPr>
                <w:sz w:val="26"/>
                <w:szCs w:val="26"/>
              </w:rPr>
            </w:pPr>
            <w:r w:rsidRPr="00237758">
              <w:rPr>
                <w:sz w:val="26"/>
                <w:szCs w:val="26"/>
              </w:rPr>
              <w:t>и осуществления бюджетного процесса поселений, за 202</w:t>
            </w:r>
            <w:r w:rsidR="003B0605" w:rsidRPr="00237758">
              <w:rPr>
                <w:sz w:val="26"/>
                <w:szCs w:val="26"/>
              </w:rPr>
              <w:t>2</w:t>
            </w:r>
            <w:r w:rsidRPr="00237758">
              <w:rPr>
                <w:sz w:val="26"/>
                <w:szCs w:val="26"/>
              </w:rPr>
              <w:t xml:space="preserve"> год</w:t>
            </w:r>
          </w:p>
          <w:p w14:paraId="7B28E348" w14:textId="77777777" w:rsidR="00370F13" w:rsidRPr="00FE534B" w:rsidRDefault="00370F13" w:rsidP="007A300C">
            <w:pPr>
              <w:ind w:left="709"/>
              <w:jc w:val="center"/>
              <w:rPr>
                <w:sz w:val="28"/>
                <w:szCs w:val="28"/>
              </w:rPr>
            </w:pPr>
          </w:p>
          <w:tbl>
            <w:tblPr>
              <w:tblW w:w="10632" w:type="dxa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43"/>
              <w:gridCol w:w="992"/>
              <w:gridCol w:w="2410"/>
              <w:gridCol w:w="1134"/>
              <w:gridCol w:w="992"/>
              <w:gridCol w:w="993"/>
              <w:gridCol w:w="1701"/>
            </w:tblGrid>
            <w:tr w:rsidR="003B0605" w:rsidRPr="004608B5" w14:paraId="18C9D5DA" w14:textId="77777777" w:rsidTr="006E3345">
              <w:trPr>
                <w:trHeight w:val="160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0358E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34C9E" w14:textId="42EF779F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Муниципальн</w:t>
                  </w:r>
                  <w:r w:rsidR="00CB3905">
                    <w:rPr>
                      <w:sz w:val="20"/>
                      <w:szCs w:val="20"/>
                      <w:lang w:eastAsia="ru-RU"/>
                    </w:rPr>
                    <w:t>ое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 образовани</w:t>
                  </w:r>
                  <w:r w:rsidR="00CB3905">
                    <w:rPr>
                      <w:sz w:val="20"/>
                      <w:szCs w:val="20"/>
                      <w:lang w:eastAsia="ru-RU"/>
                    </w:rPr>
                    <w:t>е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F46E8" w14:textId="1F7A7A11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Сводная оценка качества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FEF46" w14:textId="2FD481AA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Количество несоответствия</w:t>
                  </w:r>
                  <w:r w:rsidR="00025E41">
                    <w:rPr>
                      <w:sz w:val="20"/>
                      <w:szCs w:val="20"/>
                      <w:lang w:eastAsia="ru-RU"/>
                    </w:rPr>
                    <w:t xml:space="preserve"> значений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 индикатор</w:t>
                  </w:r>
                  <w:r w:rsidR="00025E41">
                    <w:rPr>
                      <w:sz w:val="20"/>
                      <w:szCs w:val="20"/>
                      <w:lang w:eastAsia="ru-RU"/>
                    </w:rPr>
                    <w:t>ов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 соблюдения бюджетного законодательства</w:t>
                  </w:r>
                  <w:r w:rsidR="006E3345">
                    <w:rPr>
                      <w:sz w:val="20"/>
                      <w:szCs w:val="20"/>
                      <w:lang w:eastAsia="ru-RU"/>
                    </w:rPr>
                    <w:t xml:space="preserve">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24B9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Итоговая сводная оценка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CB44E" w14:textId="34381674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Рейтинг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E1225" w14:textId="38A990FA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Среднее значение сводной оценки качества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83299" w14:textId="7B069D26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608B5">
                    <w:rPr>
                      <w:sz w:val="20"/>
                      <w:szCs w:val="20"/>
                      <w:lang w:eastAsia="ru-RU"/>
                    </w:rPr>
                    <w:t>Сумма к распределению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>, руб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лей</w:t>
                  </w:r>
                </w:p>
              </w:tc>
            </w:tr>
            <w:tr w:rsidR="003B0605" w:rsidRPr="004608B5" w14:paraId="69F0E1DF" w14:textId="77777777" w:rsidTr="006E3345">
              <w:trPr>
                <w:trHeight w:val="25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DBD80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B9EE9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г.п. Пойковский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C0817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81,13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F4415" w14:textId="7E754931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3986C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81,13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B22F4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8BB90" w14:textId="69CB2871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="00CA0E6C"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F6776" w14:textId="3B793CB5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754</w:t>
                  </w:r>
                  <w:r w:rsidR="00192A71" w:rsidRPr="004608B5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>094</w:t>
                  </w:r>
                  <w:r w:rsidR="00192A71" w:rsidRPr="004608B5">
                    <w:rPr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3B0605" w:rsidRPr="004608B5" w14:paraId="74ED9284" w14:textId="77777777" w:rsidTr="006E3345">
              <w:trPr>
                <w:trHeight w:val="27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61734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51502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с.п. Салым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3D5E0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79,52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0DEA6" w14:textId="501D0E48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A4BEA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79,52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F2008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CAC72" w14:textId="31DB5BFB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="00CA0E6C"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88A47" w14:textId="3D5CE655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506</w:t>
                  </w:r>
                  <w:r w:rsidR="00192A71" w:rsidRPr="004608B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>06</w:t>
                  </w:r>
                  <w:r w:rsidR="00192A71" w:rsidRPr="004608B5">
                    <w:rPr>
                      <w:sz w:val="20"/>
                      <w:szCs w:val="20"/>
                      <w:lang w:eastAsia="ru-RU"/>
                    </w:rPr>
                    <w:t>6,00</w:t>
                  </w:r>
                </w:p>
              </w:tc>
            </w:tr>
            <w:tr w:rsidR="003B0605" w:rsidRPr="004608B5" w14:paraId="393D1877" w14:textId="77777777" w:rsidTr="006E3345">
              <w:trPr>
                <w:trHeight w:val="2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AD227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D1A46" w14:textId="1676EAB0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с.п. Сингапай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5F627" w14:textId="19FE33B0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78,</w:t>
                  </w:r>
                  <w:r w:rsidR="003F064E">
                    <w:rPr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1006D" w14:textId="4382A1E4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A094C" w14:textId="26101629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78,</w:t>
                  </w:r>
                  <w:r w:rsidR="003F064E">
                    <w:rPr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38F2F" w14:textId="6DE21E24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8F178" w14:textId="4764795C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="00CA0E6C"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E251" w14:textId="4833A38A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397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>922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3B0605" w:rsidRPr="004608B5" w14:paraId="79815EE6" w14:textId="77777777" w:rsidTr="006E3345">
              <w:trPr>
                <w:trHeight w:val="28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05B4D" w14:textId="77777777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BA383" w14:textId="5B11D1DC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 xml:space="preserve">с.п. </w:t>
                  </w:r>
                  <w:r w:rsidR="003F064E">
                    <w:rPr>
                      <w:sz w:val="20"/>
                      <w:szCs w:val="20"/>
                      <w:lang w:eastAsia="ru-RU"/>
                    </w:rPr>
                    <w:t>Куть-Ях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CD33F" w14:textId="4C695CCD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78,46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0FF10" w14:textId="087C8092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5E739" w14:textId="5CB9DAAF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78,46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4A73" w14:textId="6E97554C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90854" w14:textId="74909BB4" w:rsidR="003B0605" w:rsidRPr="003B0605" w:rsidRDefault="003B0605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="00CA0E6C"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6DB8B" w14:textId="446932BE" w:rsidR="003B0605" w:rsidRPr="003B0605" w:rsidRDefault="003F064E" w:rsidP="003B0605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341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0605">
                    <w:rPr>
                      <w:sz w:val="20"/>
                      <w:szCs w:val="20"/>
                      <w:lang w:eastAsia="ru-RU"/>
                    </w:rPr>
                    <w:t>91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8,00</w:t>
                  </w:r>
                </w:p>
              </w:tc>
            </w:tr>
            <w:tr w:rsidR="003F064E" w:rsidRPr="004608B5" w14:paraId="7D775D46" w14:textId="77777777" w:rsidTr="006E3345">
              <w:trPr>
                <w:trHeight w:val="5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2A40C" w14:textId="77777777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C625D" w14:textId="2EFA001B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с.п. Каркатеевы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642F4" w14:textId="6DA98F82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73,97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37B2F" w14:textId="2DE5D23F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98D51" w14:textId="42561E55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73,97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5510" w14:textId="4C0E45AE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F0B60" w14:textId="6AB24E0F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C020D" w14:textId="6FBE0711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F064E" w:rsidRPr="004608B5" w14:paraId="6B1E7DD6" w14:textId="77777777" w:rsidTr="006E3345">
              <w:trPr>
                <w:trHeight w:val="30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23B3E" w14:textId="77777777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79A41" w14:textId="04F98FE1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с.п. Сентябрьский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59C8F" w14:textId="36CB307B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73,9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3F7FB" w14:textId="220D5406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D56D1" w14:textId="70665286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73,9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8425B" w14:textId="7D1E0C84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659E7" w14:textId="55699773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0DDEC" w14:textId="3691754C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F064E" w:rsidRPr="004608B5" w14:paraId="1D7C8E2E" w14:textId="77777777" w:rsidTr="006E3345">
              <w:trPr>
                <w:trHeight w:val="5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E7C26" w14:textId="77777777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6598" w14:textId="7475D58B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с.п. Усть-Юган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F3D00" w14:textId="2D4DF7E1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73,09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41F76" w14:textId="3677E2FA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7D260" w14:textId="4CB017C2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73,09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E84EA" w14:textId="341EB8B2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DEF42" w14:textId="4EE3F63C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8100C" w14:textId="0777912A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F064E" w:rsidRPr="004608B5" w14:paraId="60353D32" w14:textId="77777777" w:rsidTr="006E3345">
              <w:trPr>
                <w:trHeight w:val="17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72AE4" w14:textId="77777777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53ECC" w14:textId="5BFF5042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с.п. Лемпино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70D60" w14:textId="6AA5213D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71,00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8D99E" w14:textId="5550C935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14FA6" w14:textId="7E59ABC6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71,00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9778F" w14:textId="350C126E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C8423" w14:textId="1A6A4560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Pr="004608B5">
                    <w:rPr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FD181" w14:textId="7F8A2595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F064E" w:rsidRPr="004608B5" w14:paraId="759E0848" w14:textId="77777777" w:rsidTr="006E3345">
              <w:trPr>
                <w:trHeight w:val="5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98BCA" w14:textId="77777777" w:rsidR="003F064E" w:rsidRPr="003B0605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B0605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4C269" w14:textId="77777777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2411" w14:textId="327ACC15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609,95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B658F" w14:textId="2192A35F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4006E" w14:textId="0BA2144F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609,95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161DE" w14:textId="76710B4B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43652" w14:textId="77777777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76,24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18165" w14:textId="30B169F3" w:rsidR="003F064E" w:rsidRPr="00353330" w:rsidRDefault="003F064E" w:rsidP="003F064E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33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2 000 000,00</w:t>
                  </w:r>
                </w:p>
              </w:tc>
            </w:tr>
          </w:tbl>
          <w:p w14:paraId="6B450575" w14:textId="77777777" w:rsidR="002218DB" w:rsidRDefault="002218DB" w:rsidP="007A300C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  <w:p w14:paraId="7E8A8B1A" w14:textId="1ED84E6A" w:rsidR="002218DB" w:rsidRPr="00AF0828" w:rsidRDefault="002218DB" w:rsidP="007A300C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56024AB" w14:textId="77777777" w:rsidR="00370F13" w:rsidRPr="00237758" w:rsidRDefault="00370F13" w:rsidP="00DB13AD">
      <w:pPr>
        <w:spacing w:line="312" w:lineRule="auto"/>
        <w:ind w:left="284" w:firstLine="567"/>
        <w:jc w:val="both"/>
        <w:rPr>
          <w:sz w:val="26"/>
          <w:szCs w:val="26"/>
        </w:rPr>
      </w:pPr>
      <w:r w:rsidRPr="00237758">
        <w:rPr>
          <w:sz w:val="26"/>
          <w:szCs w:val="26"/>
        </w:rPr>
        <w:lastRenderedPageBreak/>
        <w:t xml:space="preserve">Итоговая сводная оценка зависит от сводной оценки качества организации и осуществления бюджетного процесса поселениями и несоответствий значений индикаторов соблюдения требований бюджетного законодательства. </w:t>
      </w:r>
    </w:p>
    <w:p w14:paraId="4D1C519C" w14:textId="1A982CC2" w:rsidR="001964F5" w:rsidRPr="00237758" w:rsidRDefault="00370F13" w:rsidP="00DB13AD">
      <w:pPr>
        <w:spacing w:line="312" w:lineRule="auto"/>
        <w:ind w:left="284" w:firstLine="708"/>
        <w:jc w:val="both"/>
        <w:rPr>
          <w:sz w:val="26"/>
          <w:szCs w:val="26"/>
        </w:rPr>
      </w:pPr>
      <w:r w:rsidRPr="00237758">
        <w:rPr>
          <w:sz w:val="26"/>
          <w:szCs w:val="26"/>
        </w:rPr>
        <w:t>В поселениях за 202</w:t>
      </w:r>
      <w:r w:rsidR="00287E15" w:rsidRPr="00237758">
        <w:rPr>
          <w:sz w:val="26"/>
          <w:szCs w:val="26"/>
        </w:rPr>
        <w:t>2</w:t>
      </w:r>
      <w:r w:rsidRPr="00237758">
        <w:rPr>
          <w:sz w:val="26"/>
          <w:szCs w:val="26"/>
        </w:rPr>
        <w:t xml:space="preserve"> год несоответствия значений индикаторов соблюдения требований бюджетного законодательства </w:t>
      </w:r>
      <w:r w:rsidR="009541CA">
        <w:rPr>
          <w:sz w:val="26"/>
          <w:szCs w:val="26"/>
        </w:rPr>
        <w:t xml:space="preserve">Российской Федерации </w:t>
      </w:r>
      <w:r w:rsidRPr="00237758">
        <w:rPr>
          <w:sz w:val="26"/>
          <w:szCs w:val="26"/>
        </w:rPr>
        <w:t xml:space="preserve">не наблюдается. Во всех поселениях соблюдается установленный норматив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14:paraId="051AA5A6" w14:textId="3E65FF1D" w:rsidR="00370F13" w:rsidRPr="00237758" w:rsidRDefault="00370F13" w:rsidP="00DB13AD">
      <w:pPr>
        <w:spacing w:line="312" w:lineRule="auto"/>
        <w:ind w:left="284" w:firstLine="708"/>
        <w:jc w:val="both"/>
        <w:rPr>
          <w:rFonts w:eastAsiaTheme="minorEastAsia"/>
          <w:sz w:val="26"/>
          <w:szCs w:val="26"/>
        </w:rPr>
      </w:pPr>
      <w:r w:rsidRPr="00237758">
        <w:rPr>
          <w:rFonts w:eastAsiaTheme="minorEastAsia"/>
          <w:sz w:val="26"/>
          <w:szCs w:val="26"/>
        </w:rPr>
        <w:t xml:space="preserve"> </w:t>
      </w:r>
      <w:r w:rsidR="001964F5" w:rsidRPr="00237758">
        <w:rPr>
          <w:rFonts w:eastAsiaTheme="minorEastAsia"/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="00920FD3">
        <w:rPr>
          <w:color w:val="000000" w:themeColor="text1"/>
          <w:sz w:val="26"/>
          <w:szCs w:val="26"/>
        </w:rPr>
        <w:t>от 17.04.2023 № 535-па</w:t>
      </w:r>
      <w:r w:rsidR="001964F5" w:rsidRPr="00237758">
        <w:rPr>
          <w:rFonts w:eastAsiaTheme="minorEastAsia"/>
          <w:color w:val="FF0000"/>
          <w:sz w:val="26"/>
          <w:szCs w:val="26"/>
        </w:rPr>
        <w:t xml:space="preserve">   </w:t>
      </w:r>
      <w:r w:rsidR="001964F5" w:rsidRPr="00237758">
        <w:rPr>
          <w:rFonts w:eastAsiaTheme="minorEastAsia"/>
          <w:sz w:val="26"/>
          <w:szCs w:val="26"/>
        </w:rPr>
        <w:t>«О предоставлении иных межбюджетных трансфертов на поощрение за достижение высоких показателей качества организации и осуществления бюджетного процесса органами местного самоуправления поселений, входящих в состав Нефтеюганского муниципального района Ханты-Мансийского автономного округа – Югры, за 2022 год» д</w:t>
      </w:r>
      <w:r w:rsidRPr="00237758">
        <w:rPr>
          <w:rFonts w:eastAsiaTheme="minorEastAsia"/>
          <w:sz w:val="26"/>
          <w:szCs w:val="26"/>
        </w:rPr>
        <w:t>епартамент</w:t>
      </w:r>
      <w:r w:rsidR="001964F5" w:rsidRPr="00237758">
        <w:rPr>
          <w:rFonts w:eastAsiaTheme="minorEastAsia"/>
          <w:sz w:val="26"/>
          <w:szCs w:val="26"/>
        </w:rPr>
        <w:t>ом</w:t>
      </w:r>
      <w:r w:rsidRPr="00237758">
        <w:rPr>
          <w:rFonts w:eastAsiaTheme="minorEastAsia"/>
          <w:sz w:val="26"/>
          <w:szCs w:val="26"/>
        </w:rPr>
        <w:t xml:space="preserve"> финансов Нефтеюганского района предостав</w:t>
      </w:r>
      <w:r w:rsidR="001964F5" w:rsidRPr="00237758">
        <w:rPr>
          <w:rFonts w:eastAsiaTheme="minorEastAsia"/>
          <w:sz w:val="26"/>
          <w:szCs w:val="26"/>
        </w:rPr>
        <w:t>лены</w:t>
      </w:r>
      <w:r w:rsidRPr="00237758">
        <w:rPr>
          <w:rFonts w:eastAsiaTheme="minorEastAsia"/>
          <w:sz w:val="26"/>
          <w:szCs w:val="26"/>
        </w:rPr>
        <w:t xml:space="preserve"> </w:t>
      </w:r>
      <w:r w:rsidR="001964F5" w:rsidRPr="00237758">
        <w:rPr>
          <w:rFonts w:eastAsiaTheme="minorEastAsia"/>
          <w:sz w:val="26"/>
          <w:szCs w:val="26"/>
        </w:rPr>
        <w:t xml:space="preserve">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 </w:t>
      </w:r>
      <w:r w:rsidRPr="00237758">
        <w:rPr>
          <w:rFonts w:eastAsiaTheme="minorEastAsia"/>
          <w:bCs/>
          <w:sz w:val="26"/>
          <w:szCs w:val="26"/>
        </w:rPr>
        <w:t>за 202</w:t>
      </w:r>
      <w:r w:rsidR="001964F5" w:rsidRPr="00237758">
        <w:rPr>
          <w:rFonts w:eastAsiaTheme="minorEastAsia"/>
          <w:bCs/>
          <w:sz w:val="26"/>
          <w:szCs w:val="26"/>
        </w:rPr>
        <w:t>2</w:t>
      </w:r>
      <w:r w:rsidRPr="00237758">
        <w:rPr>
          <w:rFonts w:eastAsiaTheme="minorEastAsia"/>
          <w:bCs/>
          <w:sz w:val="26"/>
          <w:szCs w:val="26"/>
        </w:rPr>
        <w:t xml:space="preserve"> год</w:t>
      </w:r>
      <w:r w:rsidRPr="00237758">
        <w:rPr>
          <w:rFonts w:eastAsiaTheme="minorEastAsia"/>
          <w:sz w:val="26"/>
          <w:szCs w:val="26"/>
        </w:rPr>
        <w:t xml:space="preserve"> в сумме </w:t>
      </w:r>
      <w:r w:rsidR="001964F5" w:rsidRPr="00237758">
        <w:rPr>
          <w:rFonts w:eastAsiaTheme="minorEastAsia"/>
          <w:sz w:val="26"/>
          <w:szCs w:val="26"/>
        </w:rPr>
        <w:t>2</w:t>
      </w:r>
      <w:r w:rsidRPr="00237758">
        <w:rPr>
          <w:rFonts w:eastAsiaTheme="minorEastAsia"/>
          <w:sz w:val="26"/>
          <w:szCs w:val="26"/>
        </w:rPr>
        <w:t> 000 000,00 рублей следующим поселениям:</w:t>
      </w:r>
    </w:p>
    <w:p w14:paraId="6A519530" w14:textId="22EA2973" w:rsidR="00370F13" w:rsidRPr="00237758" w:rsidRDefault="00370F13" w:rsidP="00DB13AD">
      <w:pPr>
        <w:numPr>
          <w:ilvl w:val="0"/>
          <w:numId w:val="2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84" w:firstLine="0"/>
        <w:jc w:val="both"/>
        <w:rPr>
          <w:rFonts w:eastAsiaTheme="minorEastAsia"/>
          <w:sz w:val="26"/>
          <w:szCs w:val="26"/>
        </w:rPr>
      </w:pPr>
      <w:r w:rsidRPr="00237758">
        <w:rPr>
          <w:rFonts w:eastAsiaTheme="minorEastAsia"/>
          <w:sz w:val="26"/>
          <w:szCs w:val="26"/>
        </w:rPr>
        <w:t xml:space="preserve"> городское поселение Пойковский – </w:t>
      </w:r>
      <w:r w:rsidR="001964F5" w:rsidRPr="00237758">
        <w:rPr>
          <w:rFonts w:eastAsiaTheme="minorEastAsia"/>
          <w:sz w:val="26"/>
          <w:szCs w:val="26"/>
        </w:rPr>
        <w:t>754 094</w:t>
      </w:r>
      <w:r w:rsidRPr="00237758">
        <w:rPr>
          <w:rFonts w:eastAsiaTheme="minorEastAsia"/>
          <w:sz w:val="26"/>
          <w:szCs w:val="26"/>
        </w:rPr>
        <w:t>,00 рублей;</w:t>
      </w:r>
    </w:p>
    <w:p w14:paraId="56D54201" w14:textId="13212E6A" w:rsidR="00370F13" w:rsidRPr="00237758" w:rsidRDefault="00370F13" w:rsidP="00DB13AD">
      <w:pPr>
        <w:numPr>
          <w:ilvl w:val="0"/>
          <w:numId w:val="2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84" w:firstLine="0"/>
        <w:jc w:val="both"/>
        <w:rPr>
          <w:rFonts w:eastAsiaTheme="minorEastAsia"/>
          <w:sz w:val="26"/>
          <w:szCs w:val="26"/>
        </w:rPr>
      </w:pPr>
      <w:r w:rsidRPr="00237758">
        <w:rPr>
          <w:rFonts w:eastAsiaTheme="minorEastAsia"/>
          <w:sz w:val="26"/>
          <w:szCs w:val="26"/>
        </w:rPr>
        <w:t xml:space="preserve"> сельское поселение С</w:t>
      </w:r>
      <w:r w:rsidR="001964F5" w:rsidRPr="00237758">
        <w:rPr>
          <w:rFonts w:eastAsiaTheme="minorEastAsia"/>
          <w:sz w:val="26"/>
          <w:szCs w:val="26"/>
        </w:rPr>
        <w:t>алым</w:t>
      </w:r>
      <w:r w:rsidRPr="00237758">
        <w:rPr>
          <w:rFonts w:eastAsiaTheme="minorEastAsia"/>
          <w:sz w:val="26"/>
          <w:szCs w:val="26"/>
        </w:rPr>
        <w:t xml:space="preserve"> – </w:t>
      </w:r>
      <w:r w:rsidR="001964F5" w:rsidRPr="00237758">
        <w:rPr>
          <w:rFonts w:eastAsiaTheme="minorEastAsia"/>
          <w:sz w:val="26"/>
          <w:szCs w:val="26"/>
        </w:rPr>
        <w:t>506 066</w:t>
      </w:r>
      <w:r w:rsidRPr="00237758">
        <w:rPr>
          <w:rFonts w:eastAsiaTheme="minorEastAsia"/>
          <w:sz w:val="26"/>
          <w:szCs w:val="26"/>
        </w:rPr>
        <w:t>,00 рублей;</w:t>
      </w:r>
    </w:p>
    <w:p w14:paraId="4E520BF6" w14:textId="4B4EE0C2" w:rsidR="00370F13" w:rsidRPr="00237758" w:rsidRDefault="00370F13" w:rsidP="00DB13AD">
      <w:pPr>
        <w:numPr>
          <w:ilvl w:val="0"/>
          <w:numId w:val="2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84" w:firstLine="0"/>
        <w:jc w:val="both"/>
        <w:rPr>
          <w:rFonts w:eastAsiaTheme="minorEastAsia"/>
          <w:sz w:val="26"/>
          <w:szCs w:val="26"/>
        </w:rPr>
      </w:pPr>
      <w:r w:rsidRPr="00237758">
        <w:rPr>
          <w:rFonts w:eastAsiaTheme="minorEastAsia"/>
          <w:sz w:val="26"/>
          <w:szCs w:val="26"/>
        </w:rPr>
        <w:t xml:space="preserve"> сельское поселение </w:t>
      </w:r>
      <w:r w:rsidR="00214362" w:rsidRPr="00237758">
        <w:rPr>
          <w:rFonts w:eastAsiaTheme="minorEastAsia"/>
          <w:sz w:val="26"/>
          <w:szCs w:val="26"/>
        </w:rPr>
        <w:t>Сингапай</w:t>
      </w:r>
      <w:r w:rsidR="004608B5">
        <w:rPr>
          <w:rFonts w:eastAsiaTheme="minorEastAsia"/>
          <w:sz w:val="26"/>
          <w:szCs w:val="26"/>
        </w:rPr>
        <w:t xml:space="preserve"> </w:t>
      </w:r>
      <w:r w:rsidRPr="00237758">
        <w:rPr>
          <w:rFonts w:eastAsiaTheme="minorEastAsia"/>
          <w:sz w:val="26"/>
          <w:szCs w:val="26"/>
        </w:rPr>
        <w:t xml:space="preserve">– </w:t>
      </w:r>
      <w:r w:rsidR="00214362" w:rsidRPr="00237758">
        <w:rPr>
          <w:rFonts w:eastAsiaTheme="minorEastAsia"/>
          <w:sz w:val="26"/>
          <w:szCs w:val="26"/>
        </w:rPr>
        <w:t>397 922</w:t>
      </w:r>
      <w:r w:rsidRPr="00237758">
        <w:rPr>
          <w:rFonts w:eastAsiaTheme="minorEastAsia"/>
          <w:sz w:val="26"/>
          <w:szCs w:val="26"/>
        </w:rPr>
        <w:t>,00 рублей;</w:t>
      </w:r>
    </w:p>
    <w:p w14:paraId="3CA1AFEA" w14:textId="346EEB96" w:rsidR="00370F13" w:rsidRPr="00237758" w:rsidRDefault="00370F13" w:rsidP="00DB13AD">
      <w:pPr>
        <w:numPr>
          <w:ilvl w:val="0"/>
          <w:numId w:val="2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84" w:firstLine="0"/>
        <w:jc w:val="both"/>
        <w:rPr>
          <w:rFonts w:eastAsiaTheme="minorEastAsia"/>
          <w:sz w:val="26"/>
          <w:szCs w:val="26"/>
        </w:rPr>
      </w:pPr>
      <w:r w:rsidRPr="00237758">
        <w:rPr>
          <w:rFonts w:eastAsiaTheme="minorEastAsia"/>
          <w:sz w:val="26"/>
          <w:szCs w:val="26"/>
        </w:rPr>
        <w:t xml:space="preserve"> сельское поселение </w:t>
      </w:r>
      <w:r w:rsidR="00214362" w:rsidRPr="00237758">
        <w:rPr>
          <w:rFonts w:eastAsiaTheme="minorEastAsia"/>
          <w:sz w:val="26"/>
          <w:szCs w:val="26"/>
        </w:rPr>
        <w:t xml:space="preserve">Куть-Ях </w:t>
      </w:r>
      <w:r w:rsidRPr="00237758">
        <w:rPr>
          <w:rFonts w:eastAsiaTheme="minorEastAsia"/>
          <w:sz w:val="26"/>
          <w:szCs w:val="26"/>
        </w:rPr>
        <w:t xml:space="preserve">– </w:t>
      </w:r>
      <w:r w:rsidR="00214362" w:rsidRPr="00237758">
        <w:rPr>
          <w:rFonts w:eastAsiaTheme="minorEastAsia"/>
          <w:sz w:val="26"/>
          <w:szCs w:val="26"/>
        </w:rPr>
        <w:t>341 918</w:t>
      </w:r>
      <w:r w:rsidRPr="00237758">
        <w:rPr>
          <w:rFonts w:eastAsiaTheme="minorEastAsia"/>
          <w:sz w:val="26"/>
          <w:szCs w:val="26"/>
        </w:rPr>
        <w:t>,00 рублей.</w:t>
      </w:r>
    </w:p>
    <w:p w14:paraId="21E66BCB" w14:textId="77777777" w:rsidR="00370F13" w:rsidRPr="00237758" w:rsidRDefault="00370F13" w:rsidP="00DB13AD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84"/>
        <w:jc w:val="both"/>
        <w:rPr>
          <w:rFonts w:eastAsiaTheme="minorEastAsia"/>
          <w:sz w:val="26"/>
          <w:szCs w:val="26"/>
        </w:rPr>
      </w:pPr>
    </w:p>
    <w:p w14:paraId="1CB9F2EA" w14:textId="77777777" w:rsidR="00245667" w:rsidRPr="00A91307" w:rsidRDefault="00245667" w:rsidP="00A91307">
      <w:pPr>
        <w:jc w:val="center"/>
        <w:rPr>
          <w:b/>
          <w:bCs/>
          <w:sz w:val="28"/>
          <w:szCs w:val="28"/>
        </w:rPr>
      </w:pPr>
    </w:p>
    <w:sectPr w:rsidR="00245667" w:rsidRPr="00A91307" w:rsidSect="00DB13AD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86FB4"/>
    <w:multiLevelType w:val="hybridMultilevel"/>
    <w:tmpl w:val="0FFA3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68"/>
    <w:rsid w:val="00025E41"/>
    <w:rsid w:val="00062D4C"/>
    <w:rsid w:val="000837A8"/>
    <w:rsid w:val="000D3657"/>
    <w:rsid w:val="00167D6E"/>
    <w:rsid w:val="00192A71"/>
    <w:rsid w:val="001964F5"/>
    <w:rsid w:val="001E505F"/>
    <w:rsid w:val="00214362"/>
    <w:rsid w:val="002218DB"/>
    <w:rsid w:val="00237758"/>
    <w:rsid w:val="00245667"/>
    <w:rsid w:val="00276154"/>
    <w:rsid w:val="00287E15"/>
    <w:rsid w:val="00353330"/>
    <w:rsid w:val="00370F13"/>
    <w:rsid w:val="00377C45"/>
    <w:rsid w:val="003B0605"/>
    <w:rsid w:val="003D1116"/>
    <w:rsid w:val="003F064E"/>
    <w:rsid w:val="003F135F"/>
    <w:rsid w:val="004608B5"/>
    <w:rsid w:val="00462B26"/>
    <w:rsid w:val="00491499"/>
    <w:rsid w:val="004B7748"/>
    <w:rsid w:val="00574668"/>
    <w:rsid w:val="005E7317"/>
    <w:rsid w:val="006B518B"/>
    <w:rsid w:val="006E3345"/>
    <w:rsid w:val="007914AB"/>
    <w:rsid w:val="008A2401"/>
    <w:rsid w:val="008C1495"/>
    <w:rsid w:val="008F05BF"/>
    <w:rsid w:val="009169B5"/>
    <w:rsid w:val="00920FD3"/>
    <w:rsid w:val="009541CA"/>
    <w:rsid w:val="0098661C"/>
    <w:rsid w:val="00A636B2"/>
    <w:rsid w:val="00A70E6A"/>
    <w:rsid w:val="00A91307"/>
    <w:rsid w:val="00AE42BA"/>
    <w:rsid w:val="00AF0FF9"/>
    <w:rsid w:val="00B05CB8"/>
    <w:rsid w:val="00BA5FC5"/>
    <w:rsid w:val="00BE3D10"/>
    <w:rsid w:val="00C03B7A"/>
    <w:rsid w:val="00C4345A"/>
    <w:rsid w:val="00CA022B"/>
    <w:rsid w:val="00CA0E6C"/>
    <w:rsid w:val="00CA2316"/>
    <w:rsid w:val="00CB1BD6"/>
    <w:rsid w:val="00CB3905"/>
    <w:rsid w:val="00D43E53"/>
    <w:rsid w:val="00D560C5"/>
    <w:rsid w:val="00D608BA"/>
    <w:rsid w:val="00D72DD8"/>
    <w:rsid w:val="00D84FAA"/>
    <w:rsid w:val="00DB13AD"/>
    <w:rsid w:val="00DD4776"/>
    <w:rsid w:val="00E32DDF"/>
    <w:rsid w:val="00F67027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5C49"/>
  <w15:chartTrackingRefBased/>
  <w15:docId w15:val="{9B8CFB7C-9917-4BED-BB62-F16EEA98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Сенчурова Елена Васильевна</cp:lastModifiedBy>
  <cp:revision>66</cp:revision>
  <dcterms:created xsi:type="dcterms:W3CDTF">2023-04-13T04:13:00Z</dcterms:created>
  <dcterms:modified xsi:type="dcterms:W3CDTF">2023-04-21T08:17:00Z</dcterms:modified>
</cp:coreProperties>
</file>