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A5" w:rsidRPr="00AF0828" w:rsidRDefault="009C25A5" w:rsidP="00E316A6">
      <w:pPr>
        <w:spacing w:line="312" w:lineRule="auto"/>
        <w:rPr>
          <w:b/>
          <w:bCs/>
          <w:sz w:val="28"/>
          <w:szCs w:val="28"/>
        </w:rPr>
      </w:pPr>
    </w:p>
    <w:p w:rsidR="00B52DD8" w:rsidRPr="00AF0828" w:rsidRDefault="009B70A9" w:rsidP="005B2D6D">
      <w:pPr>
        <w:spacing w:line="312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B52DD8" w:rsidRPr="00AF0828" w:rsidRDefault="00B52DD8" w:rsidP="005B2D6D">
      <w:pPr>
        <w:spacing w:line="312" w:lineRule="auto"/>
        <w:ind w:left="567"/>
        <w:jc w:val="center"/>
        <w:rPr>
          <w:b/>
          <w:sz w:val="28"/>
          <w:szCs w:val="28"/>
        </w:rPr>
      </w:pPr>
      <w:r w:rsidRPr="00AF0828">
        <w:rPr>
          <w:b/>
          <w:sz w:val="28"/>
          <w:szCs w:val="28"/>
        </w:rPr>
        <w:t>мониторинг</w:t>
      </w:r>
      <w:r w:rsidR="00347B9D">
        <w:rPr>
          <w:b/>
          <w:sz w:val="28"/>
          <w:szCs w:val="28"/>
        </w:rPr>
        <w:t>а и оценки</w:t>
      </w:r>
      <w:r w:rsidRPr="00AF0828">
        <w:rPr>
          <w:b/>
          <w:sz w:val="28"/>
          <w:szCs w:val="28"/>
        </w:rPr>
        <w:t xml:space="preserve"> качества организации и осуществления</w:t>
      </w:r>
    </w:p>
    <w:p w:rsidR="00B52DD8" w:rsidRPr="00AF0828" w:rsidRDefault="00B52DD8" w:rsidP="005B2D6D">
      <w:pPr>
        <w:spacing w:line="312" w:lineRule="auto"/>
        <w:ind w:left="567"/>
        <w:jc w:val="center"/>
        <w:rPr>
          <w:b/>
          <w:sz w:val="28"/>
          <w:szCs w:val="28"/>
        </w:rPr>
      </w:pPr>
      <w:r w:rsidRPr="00AF0828">
        <w:rPr>
          <w:b/>
          <w:sz w:val="28"/>
          <w:szCs w:val="28"/>
        </w:rPr>
        <w:t xml:space="preserve">бюджетного процесса </w:t>
      </w:r>
      <w:r w:rsidR="006E5584" w:rsidRPr="00AF0828">
        <w:rPr>
          <w:b/>
          <w:sz w:val="28"/>
          <w:szCs w:val="28"/>
        </w:rPr>
        <w:t>органами местного самоуправления поселений</w:t>
      </w:r>
      <w:r w:rsidR="001E34B3" w:rsidRPr="00AF0828">
        <w:rPr>
          <w:b/>
          <w:sz w:val="28"/>
          <w:szCs w:val="28"/>
        </w:rPr>
        <w:t>, входящих в состав Нефтеюганского района</w:t>
      </w:r>
      <w:r w:rsidR="006E5584" w:rsidRPr="00AF0828">
        <w:rPr>
          <w:b/>
          <w:sz w:val="28"/>
          <w:szCs w:val="28"/>
        </w:rPr>
        <w:t xml:space="preserve"> за </w:t>
      </w:r>
      <w:r w:rsidRPr="00AF0828">
        <w:rPr>
          <w:b/>
          <w:sz w:val="28"/>
          <w:szCs w:val="28"/>
        </w:rPr>
        <w:t>201</w:t>
      </w:r>
      <w:r w:rsidR="008439B0">
        <w:rPr>
          <w:b/>
          <w:sz w:val="28"/>
          <w:szCs w:val="28"/>
        </w:rPr>
        <w:t>9</w:t>
      </w:r>
      <w:r w:rsidR="006E5584" w:rsidRPr="00AF0828">
        <w:rPr>
          <w:b/>
          <w:sz w:val="28"/>
          <w:szCs w:val="28"/>
        </w:rPr>
        <w:t xml:space="preserve"> год</w:t>
      </w:r>
    </w:p>
    <w:p w:rsidR="00B52DD8" w:rsidRPr="00AF0828" w:rsidRDefault="00B52DD8" w:rsidP="005B2D6D">
      <w:pPr>
        <w:spacing w:line="312" w:lineRule="auto"/>
        <w:ind w:left="567"/>
        <w:jc w:val="both"/>
        <w:rPr>
          <w:b/>
          <w:sz w:val="28"/>
          <w:szCs w:val="28"/>
        </w:rPr>
      </w:pPr>
    </w:p>
    <w:p w:rsidR="001A20C7" w:rsidRPr="00AF0828" w:rsidRDefault="00EE7BF0" w:rsidP="001A20C7">
      <w:pPr>
        <w:spacing w:line="312" w:lineRule="auto"/>
        <w:ind w:lef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</w:t>
      </w:r>
      <w:r w:rsidR="00921A3D" w:rsidRPr="00AF0828">
        <w:rPr>
          <w:sz w:val="28"/>
          <w:szCs w:val="28"/>
        </w:rPr>
        <w:t xml:space="preserve">ешению Думы Нефтеюганского района от </w:t>
      </w:r>
      <w:r w:rsidR="00343E0D" w:rsidRPr="00EB2EFB">
        <w:rPr>
          <w:sz w:val="28"/>
          <w:szCs w:val="28"/>
        </w:rPr>
        <w:t>2</w:t>
      </w:r>
      <w:r w:rsidR="00EB2EFB" w:rsidRPr="00EB2EFB">
        <w:rPr>
          <w:sz w:val="28"/>
          <w:szCs w:val="28"/>
        </w:rPr>
        <w:t>7</w:t>
      </w:r>
      <w:r w:rsidR="00921A3D" w:rsidRPr="00EB2EFB">
        <w:rPr>
          <w:sz w:val="28"/>
          <w:szCs w:val="28"/>
        </w:rPr>
        <w:t>.11.201</w:t>
      </w:r>
      <w:r w:rsidR="00EB2EFB" w:rsidRPr="00EB2EFB">
        <w:rPr>
          <w:sz w:val="28"/>
          <w:szCs w:val="28"/>
        </w:rPr>
        <w:t>9</w:t>
      </w:r>
      <w:r w:rsidR="00921A3D" w:rsidRPr="00EB2EFB">
        <w:rPr>
          <w:sz w:val="28"/>
          <w:szCs w:val="28"/>
        </w:rPr>
        <w:t xml:space="preserve"> </w:t>
      </w:r>
      <w:r w:rsidR="00EB2EFB">
        <w:rPr>
          <w:sz w:val="28"/>
          <w:szCs w:val="28"/>
        </w:rPr>
        <w:t xml:space="preserve">                      </w:t>
      </w:r>
      <w:r w:rsidR="00921A3D" w:rsidRPr="00EB2EFB">
        <w:rPr>
          <w:sz w:val="28"/>
          <w:szCs w:val="28"/>
        </w:rPr>
        <w:t xml:space="preserve">№ </w:t>
      </w:r>
      <w:r w:rsidR="00EB2EFB" w:rsidRPr="00EB2EFB">
        <w:rPr>
          <w:sz w:val="28"/>
          <w:szCs w:val="28"/>
        </w:rPr>
        <w:t>431</w:t>
      </w:r>
      <w:r w:rsidR="00EB2EFB">
        <w:rPr>
          <w:sz w:val="28"/>
          <w:szCs w:val="28"/>
        </w:rPr>
        <w:t xml:space="preserve"> </w:t>
      </w:r>
      <w:r w:rsidR="00921A3D" w:rsidRPr="00AF0828">
        <w:rPr>
          <w:sz w:val="28"/>
          <w:szCs w:val="28"/>
        </w:rPr>
        <w:t>«О бюджете Нефтеюганского района на 20</w:t>
      </w:r>
      <w:r w:rsidR="008439B0">
        <w:rPr>
          <w:sz w:val="28"/>
          <w:szCs w:val="28"/>
        </w:rPr>
        <w:t>20</w:t>
      </w:r>
      <w:r w:rsidR="00921A3D" w:rsidRPr="00AF0828">
        <w:rPr>
          <w:sz w:val="28"/>
          <w:szCs w:val="28"/>
        </w:rPr>
        <w:t xml:space="preserve"> год и плановый период 20</w:t>
      </w:r>
      <w:r w:rsidR="00343E0D">
        <w:rPr>
          <w:sz w:val="28"/>
          <w:szCs w:val="28"/>
        </w:rPr>
        <w:t>2</w:t>
      </w:r>
      <w:r w:rsidR="008439B0">
        <w:rPr>
          <w:sz w:val="28"/>
          <w:szCs w:val="28"/>
        </w:rPr>
        <w:t>1</w:t>
      </w:r>
      <w:r w:rsidR="00921A3D" w:rsidRPr="00AF0828">
        <w:rPr>
          <w:sz w:val="28"/>
          <w:szCs w:val="28"/>
        </w:rPr>
        <w:t xml:space="preserve"> и 202</w:t>
      </w:r>
      <w:r w:rsidR="008439B0">
        <w:rPr>
          <w:sz w:val="28"/>
          <w:szCs w:val="28"/>
        </w:rPr>
        <w:t>2</w:t>
      </w:r>
      <w:r w:rsidR="00921A3D" w:rsidRPr="00AF0828">
        <w:rPr>
          <w:sz w:val="28"/>
          <w:szCs w:val="28"/>
        </w:rPr>
        <w:t xml:space="preserve"> годов» </w:t>
      </w:r>
      <w:r w:rsidR="001A20C7" w:rsidRPr="00AF0828">
        <w:rPr>
          <w:sz w:val="28"/>
          <w:szCs w:val="28"/>
        </w:rPr>
        <w:t xml:space="preserve"> в расходах бюджета муниципального образования Нефтеюганский район предусмотрен</w:t>
      </w:r>
      <w:r w:rsidR="008439B0">
        <w:rPr>
          <w:sz w:val="28"/>
          <w:szCs w:val="28"/>
        </w:rPr>
        <w:t>ы</w:t>
      </w:r>
      <w:r w:rsidR="001A20C7" w:rsidRPr="00AF0828">
        <w:rPr>
          <w:sz w:val="28"/>
          <w:szCs w:val="28"/>
        </w:rPr>
        <w:t xml:space="preserve"> </w:t>
      </w:r>
      <w:r w:rsidR="008439B0">
        <w:rPr>
          <w:sz w:val="28"/>
          <w:szCs w:val="28"/>
        </w:rPr>
        <w:t>межбюджетные трансферты</w:t>
      </w:r>
      <w:r w:rsidR="001A20C7" w:rsidRPr="00AF0828">
        <w:rPr>
          <w:sz w:val="28"/>
          <w:szCs w:val="28"/>
        </w:rPr>
        <w:t xml:space="preserve"> </w:t>
      </w:r>
      <w:r w:rsidR="009D39CE">
        <w:rPr>
          <w:sz w:val="28"/>
          <w:szCs w:val="28"/>
        </w:rPr>
        <w:t xml:space="preserve">на поощрение </w:t>
      </w:r>
      <w:r w:rsidR="00DF7948">
        <w:rPr>
          <w:sz w:val="28"/>
          <w:szCs w:val="28"/>
        </w:rPr>
        <w:t>за достижение высоких</w:t>
      </w:r>
      <w:r w:rsidR="001A20C7" w:rsidRPr="00AF0828">
        <w:rPr>
          <w:sz w:val="28"/>
          <w:szCs w:val="28"/>
        </w:rPr>
        <w:t xml:space="preserve"> показателей качества организации и осуществления бюджетного процесса органами местного самоуправления поселений, входящих в состав Неф</w:t>
      </w:r>
      <w:r>
        <w:rPr>
          <w:sz w:val="28"/>
          <w:szCs w:val="28"/>
        </w:rPr>
        <w:t xml:space="preserve">теюганского района в сумме </w:t>
      </w:r>
      <w:r w:rsidR="00343E0D">
        <w:rPr>
          <w:sz w:val="28"/>
          <w:szCs w:val="28"/>
        </w:rPr>
        <w:t>2</w:t>
      </w:r>
      <w:r w:rsidR="001A20C7" w:rsidRPr="00AF0828">
        <w:rPr>
          <w:sz w:val="28"/>
          <w:szCs w:val="28"/>
        </w:rPr>
        <w:t xml:space="preserve"> </w:t>
      </w:r>
      <w:r w:rsidR="00343E0D">
        <w:rPr>
          <w:sz w:val="28"/>
          <w:szCs w:val="28"/>
        </w:rPr>
        <w:t>000</w:t>
      </w:r>
      <w:r w:rsidR="001A20C7" w:rsidRPr="00AF0828">
        <w:rPr>
          <w:sz w:val="28"/>
          <w:szCs w:val="28"/>
        </w:rPr>
        <w:t>,0 тыс. рублей.</w:t>
      </w:r>
      <w:proofErr w:type="gramEnd"/>
    </w:p>
    <w:p w:rsidR="00921A3D" w:rsidRPr="00AF0828" w:rsidRDefault="001A20C7" w:rsidP="001A20C7">
      <w:pPr>
        <w:spacing w:line="312" w:lineRule="auto"/>
        <w:ind w:left="567" w:firstLine="709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соответствии с постановлением администрации Нефтеюганского района от 15.05.2017 № 753-па «О порядке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</w:t>
      </w:r>
      <w:r w:rsidR="008439B0">
        <w:rPr>
          <w:sz w:val="28"/>
          <w:szCs w:val="28"/>
        </w:rPr>
        <w:t>теюганского района» (далее-П</w:t>
      </w:r>
      <w:r w:rsidRPr="00AF0828">
        <w:rPr>
          <w:sz w:val="28"/>
          <w:szCs w:val="28"/>
        </w:rPr>
        <w:t xml:space="preserve">орядок) был проведен мониторинг </w:t>
      </w:r>
      <w:r w:rsidR="002D3835">
        <w:rPr>
          <w:sz w:val="28"/>
          <w:szCs w:val="28"/>
        </w:rPr>
        <w:t>и</w:t>
      </w:r>
      <w:r w:rsidRPr="00AF0828">
        <w:rPr>
          <w:sz w:val="28"/>
          <w:szCs w:val="28"/>
        </w:rPr>
        <w:t xml:space="preserve"> оценк</w:t>
      </w:r>
      <w:r w:rsidR="002D3835">
        <w:rPr>
          <w:sz w:val="28"/>
          <w:szCs w:val="28"/>
        </w:rPr>
        <w:t>а</w:t>
      </w:r>
      <w:r w:rsidRPr="00AF0828">
        <w:rPr>
          <w:sz w:val="28"/>
          <w:szCs w:val="28"/>
        </w:rPr>
        <w:t xml:space="preserve"> качества организ</w:t>
      </w:r>
      <w:r w:rsidR="002D3835">
        <w:rPr>
          <w:sz w:val="28"/>
          <w:szCs w:val="28"/>
        </w:rPr>
        <w:t xml:space="preserve">ации и осуществления бюджетного процесса </w:t>
      </w:r>
      <w:r w:rsidR="002D3835">
        <w:rPr>
          <w:bCs/>
          <w:sz w:val="28"/>
          <w:szCs w:val="28"/>
        </w:rPr>
        <w:t xml:space="preserve">органами местного </w:t>
      </w:r>
      <w:r w:rsidR="00DB03AB" w:rsidRPr="00DB03AB">
        <w:rPr>
          <w:bCs/>
          <w:sz w:val="28"/>
          <w:szCs w:val="28"/>
        </w:rPr>
        <w:t>самоуправления поселений, входящих в состав Нефтеюганского района</w:t>
      </w:r>
      <w:r w:rsidR="00DB03AB" w:rsidRPr="00DB03AB">
        <w:rPr>
          <w:sz w:val="28"/>
          <w:szCs w:val="28"/>
        </w:rPr>
        <w:t xml:space="preserve"> </w:t>
      </w:r>
      <w:r w:rsidR="008439B0">
        <w:rPr>
          <w:sz w:val="28"/>
          <w:szCs w:val="28"/>
        </w:rPr>
        <w:t xml:space="preserve">(далее-поселения) </w:t>
      </w:r>
      <w:r w:rsidRPr="00AF0828">
        <w:rPr>
          <w:sz w:val="28"/>
          <w:szCs w:val="28"/>
        </w:rPr>
        <w:t>за 201</w:t>
      </w:r>
      <w:r w:rsidR="008439B0">
        <w:rPr>
          <w:sz w:val="28"/>
          <w:szCs w:val="28"/>
        </w:rPr>
        <w:t>9</w:t>
      </w:r>
      <w:r w:rsidRPr="00AF0828">
        <w:rPr>
          <w:sz w:val="28"/>
          <w:szCs w:val="28"/>
        </w:rPr>
        <w:t xml:space="preserve"> год</w:t>
      </w:r>
      <w:r w:rsidR="00083A68" w:rsidRPr="00AF0828">
        <w:rPr>
          <w:sz w:val="28"/>
          <w:szCs w:val="28"/>
        </w:rPr>
        <w:t xml:space="preserve">. </w:t>
      </w:r>
    </w:p>
    <w:p w:rsidR="00AF0828" w:rsidRPr="00AF0828" w:rsidRDefault="00B52DD8" w:rsidP="00144C47">
      <w:pPr>
        <w:spacing w:line="312" w:lineRule="auto"/>
        <w:ind w:left="567" w:firstLine="709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результате проведенного мониторинга и оценки качества организации и осуществления бюджетного процесса</w:t>
      </w:r>
      <w:r w:rsidR="008439B0">
        <w:rPr>
          <w:sz w:val="28"/>
          <w:szCs w:val="28"/>
        </w:rPr>
        <w:t xml:space="preserve"> поселениями</w:t>
      </w:r>
      <w:r w:rsidRPr="00AF0828">
        <w:rPr>
          <w:sz w:val="28"/>
          <w:szCs w:val="28"/>
        </w:rPr>
        <w:t xml:space="preserve">, сформирован рейтинг по итоговой </w:t>
      </w:r>
      <w:r w:rsidR="001503EE" w:rsidRPr="00AF0828">
        <w:rPr>
          <w:sz w:val="28"/>
          <w:szCs w:val="28"/>
        </w:rPr>
        <w:t>с</w:t>
      </w:r>
      <w:r w:rsidRPr="00AF0828">
        <w:rPr>
          <w:sz w:val="28"/>
          <w:szCs w:val="28"/>
        </w:rPr>
        <w:t>водной оценке.</w:t>
      </w: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8B7C0F" w:rsidRPr="00AF0828" w:rsidTr="00144C47">
        <w:trPr>
          <w:trHeight w:val="93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072" w:rsidRDefault="007E3072" w:rsidP="00144C47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  <w:p w:rsidR="00144C47" w:rsidRPr="00144C47" w:rsidRDefault="00144C47" w:rsidP="00144C47">
            <w:pPr>
              <w:ind w:left="709"/>
              <w:jc w:val="center"/>
              <w:rPr>
                <w:sz w:val="28"/>
                <w:szCs w:val="28"/>
              </w:rPr>
            </w:pPr>
            <w:r w:rsidRPr="00144C47">
              <w:rPr>
                <w:sz w:val="28"/>
                <w:szCs w:val="28"/>
              </w:rPr>
              <w:t>Сводная оценка качества организации</w:t>
            </w:r>
          </w:p>
          <w:p w:rsidR="00144C47" w:rsidRPr="00144C47" w:rsidRDefault="00144C47" w:rsidP="00144C47">
            <w:pPr>
              <w:ind w:left="709"/>
              <w:jc w:val="center"/>
              <w:rPr>
                <w:sz w:val="28"/>
                <w:szCs w:val="28"/>
              </w:rPr>
            </w:pPr>
            <w:r w:rsidRPr="00144C47">
              <w:rPr>
                <w:sz w:val="28"/>
                <w:szCs w:val="28"/>
              </w:rPr>
              <w:t>и осуществления бюджетного процесса органами местного самоуправления поселений за 201</w:t>
            </w:r>
            <w:r w:rsidR="008439B0">
              <w:rPr>
                <w:sz w:val="28"/>
                <w:szCs w:val="28"/>
              </w:rPr>
              <w:t>9</w:t>
            </w:r>
            <w:r w:rsidRPr="00144C47">
              <w:rPr>
                <w:sz w:val="28"/>
                <w:szCs w:val="28"/>
              </w:rPr>
              <w:t xml:space="preserve"> год</w:t>
            </w:r>
          </w:p>
          <w:p w:rsidR="00144C47" w:rsidRDefault="00144C47" w:rsidP="00921A3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144C47" w:rsidRDefault="00144C47" w:rsidP="00921A3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1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297"/>
              <w:gridCol w:w="1134"/>
              <w:gridCol w:w="1701"/>
              <w:gridCol w:w="1418"/>
              <w:gridCol w:w="993"/>
              <w:gridCol w:w="958"/>
              <w:gridCol w:w="850"/>
              <w:gridCol w:w="1388"/>
            </w:tblGrid>
            <w:tr w:rsidR="00144C47" w:rsidRPr="00144C47" w:rsidTr="00144C47">
              <w:trPr>
                <w:trHeight w:val="1484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Сводная оценка качества (</w:t>
                  </w:r>
                  <w:proofErr w:type="spell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СОК</w:t>
                  </w: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j</w:t>
                  </w:r>
                  <w:proofErr w:type="spellEnd"/>
                  <w:proofErr w:type="gram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tabs>
                      <w:tab w:val="left" w:pos="1759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Количество </w:t>
                  </w: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несоответ-ствия</w:t>
                  </w:r>
                  <w:proofErr w:type="gram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 индикато-ров соблюдения требований бюджетного законодательства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Итоговая сводная оценка</w:t>
                  </w:r>
                </w:p>
              </w:tc>
              <w:tc>
                <w:tcPr>
                  <w:tcW w:w="993" w:type="dxa"/>
                  <w:shd w:val="clear" w:color="000000" w:fill="FFCC99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Рейтинг по итоговой сводной оценки</w:t>
                  </w:r>
                  <w:proofErr w:type="gramEnd"/>
                </w:p>
              </w:tc>
              <w:tc>
                <w:tcPr>
                  <w:tcW w:w="958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Среднее значение сводной оценки качества (</w:t>
                  </w:r>
                  <w:proofErr w:type="spell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СОКср</w:t>
                  </w:r>
                  <w:proofErr w:type="spell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СОК</w:t>
                  </w: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j</w:t>
                  </w:r>
                  <w:proofErr w:type="gram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-СОКср</w:t>
                  </w:r>
                  <w:proofErr w:type="spellEnd"/>
                </w:p>
              </w:tc>
              <w:tc>
                <w:tcPr>
                  <w:tcW w:w="1388" w:type="dxa"/>
                  <w:shd w:val="clear" w:color="000000" w:fill="CCFFFF"/>
                  <w:vAlign w:val="center"/>
                  <w:hideMark/>
                </w:tcPr>
                <w:p w:rsidR="00144C47" w:rsidRPr="00144C47" w:rsidRDefault="00144C47" w:rsidP="006C2D86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6C2D86">
                    <w:rPr>
                      <w:bCs/>
                      <w:sz w:val="26"/>
                      <w:szCs w:val="26"/>
                      <w:lang w:eastAsia="ru-RU"/>
                    </w:rPr>
                    <w:t>Сумма к распределению</w:t>
                  </w: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, тыс. рублей  </w:t>
                  </w:r>
                </w:p>
              </w:tc>
            </w:tr>
            <w:tr w:rsidR="00144C47" w:rsidRPr="00144C47" w:rsidTr="00144C47">
              <w:trPr>
                <w:trHeight w:val="115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EC3881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EC3881">
                    <w:rPr>
                      <w:sz w:val="26"/>
                      <w:szCs w:val="26"/>
                      <w:lang w:eastAsia="ru-RU"/>
                    </w:rPr>
                    <w:t>г.п. Пойковский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91,2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91,2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EC3881" w:rsidP="006C2D86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8,63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EC3881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686,418</w:t>
                  </w:r>
                </w:p>
              </w:tc>
            </w:tr>
            <w:tr w:rsidR="00144C47" w:rsidRPr="00144C47" w:rsidTr="00144C47">
              <w:trPr>
                <w:trHeight w:val="158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B320A6" w:rsidP="00EC3881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Салым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88,6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88,6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6,05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EC3881" w:rsidP="006C2D86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481,300</w:t>
                  </w:r>
                </w:p>
              </w:tc>
            </w:tr>
            <w:tr w:rsidR="00144C47" w:rsidRPr="00144C47" w:rsidTr="00144C47">
              <w:trPr>
                <w:trHeight w:val="204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8439B0">
                    <w:rPr>
                      <w:sz w:val="26"/>
                      <w:szCs w:val="26"/>
                      <w:lang w:eastAsia="ru-RU"/>
                    </w:rPr>
                    <w:t>Сингапай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B83DE5" w:rsidP="00EC3881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8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7,3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EC3881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B83DE5"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32754F"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87,3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EC3881" w:rsidP="006C2D86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4,76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EC3881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378,182</w:t>
                  </w:r>
                </w:p>
              </w:tc>
            </w:tr>
            <w:tr w:rsidR="00144C47" w:rsidRPr="00144C47" w:rsidTr="00144C47">
              <w:trPr>
                <w:trHeight w:val="154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B83DE5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8439B0">
                    <w:rPr>
                      <w:sz w:val="26"/>
                      <w:szCs w:val="26"/>
                      <w:lang w:eastAsia="ru-RU"/>
                    </w:rPr>
                    <w:t>Каркатеевы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B83DE5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8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6,3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86,3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EC3881" w:rsidP="006C2D86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3,74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EC3881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297,666</w:t>
                  </w:r>
                </w:p>
              </w:tc>
            </w:tr>
            <w:tr w:rsidR="00144C47" w:rsidRPr="00144C47" w:rsidTr="00144C47">
              <w:trPr>
                <w:trHeight w:val="199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EC3881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>
                    <w:rPr>
                      <w:sz w:val="26"/>
                      <w:szCs w:val="26"/>
                      <w:lang w:eastAsia="ru-RU"/>
                    </w:rPr>
                    <w:t>Куть-Ях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84,5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84,5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6C2D86" w:rsidP="00B645E9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1,</w:t>
                  </w:r>
                  <w:r w:rsidR="00B645E9">
                    <w:rPr>
                      <w:sz w:val="26"/>
                      <w:szCs w:val="26"/>
                      <w:lang w:eastAsia="ru-RU"/>
                    </w:rPr>
                    <w:t>97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EC3881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6C2D86">
                    <w:rPr>
                      <w:sz w:val="26"/>
                      <w:szCs w:val="26"/>
                      <w:lang w:eastAsia="ru-RU"/>
                    </w:rPr>
                    <w:t>15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6,434</w:t>
                  </w:r>
                </w:p>
              </w:tc>
            </w:tr>
            <w:tr w:rsidR="00144C47" w:rsidRPr="00144C47" w:rsidTr="00144C47">
              <w:trPr>
                <w:trHeight w:val="90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EC3881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Усть-Юган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EC3881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   76,7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76,7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EC3881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 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51D97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144C47" w:rsidRPr="00144C47" w:rsidTr="00144C47">
              <w:trPr>
                <w:trHeight w:val="135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8439B0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с.п. С</w:t>
                  </w:r>
                  <w:r w:rsidR="008439B0">
                    <w:rPr>
                      <w:sz w:val="26"/>
                      <w:szCs w:val="26"/>
                      <w:lang w:eastAsia="ru-RU"/>
                    </w:rPr>
                    <w:t>ентябрьский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EC3881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7</w:t>
                  </w:r>
                  <w:r w:rsidR="00EC3881">
                    <w:rPr>
                      <w:sz w:val="26"/>
                      <w:szCs w:val="26"/>
                      <w:lang w:eastAsia="ru-RU"/>
                    </w:rPr>
                    <w:t>3,7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73,7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51D9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144C47" w:rsidRPr="00144C47" w:rsidTr="00144C47">
              <w:trPr>
                <w:trHeight w:val="397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B83DE5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B83DE5">
                    <w:rPr>
                      <w:sz w:val="26"/>
                      <w:szCs w:val="26"/>
                      <w:lang w:eastAsia="ru-RU"/>
                    </w:rPr>
                    <w:t>Лемпино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72,1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72,1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4C1A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 </w:t>
                  </w:r>
                  <w:r w:rsidR="004C1A4A" w:rsidRPr="004C1A4A">
                    <w:rPr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51D97" w:rsidRDefault="00144C47" w:rsidP="00B51D9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 xml:space="preserve">     </w:t>
                  </w:r>
                  <w:r w:rsidR="00B51D97" w:rsidRPr="00B51D97">
                    <w:rPr>
                      <w:sz w:val="26"/>
                      <w:szCs w:val="26"/>
                      <w:lang w:eastAsia="ru-RU"/>
                    </w:rPr>
                    <w:t xml:space="preserve">   -</w:t>
                  </w:r>
                </w:p>
              </w:tc>
            </w:tr>
            <w:tr w:rsidR="00144C47" w:rsidRPr="00144C47" w:rsidTr="00144C47">
              <w:trPr>
                <w:trHeight w:val="405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8439B0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660,4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920C68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660,4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EC3881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82,5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4C1A4A" w:rsidP="00EC3881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b/>
                      <w:bCs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EC3881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25,</w:t>
                  </w:r>
                  <w:r w:rsidR="00B645E9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1</w:t>
                  </w:r>
                  <w:r w:rsidR="00EC3881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B51D9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2 000</w:t>
                  </w:r>
                  <w:r w:rsidR="00144C47" w:rsidRPr="00B51D9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 xml:space="preserve">,0 </w:t>
                  </w:r>
                </w:p>
              </w:tc>
            </w:tr>
          </w:tbl>
          <w:p w:rsidR="00144C47" w:rsidRPr="00AF0828" w:rsidRDefault="00144C47" w:rsidP="00144C47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44C47" w:rsidRDefault="00144C47" w:rsidP="00B52DD8">
      <w:pPr>
        <w:spacing w:line="312" w:lineRule="auto"/>
        <w:ind w:left="567" w:firstLine="708"/>
        <w:jc w:val="both"/>
        <w:rPr>
          <w:sz w:val="28"/>
          <w:szCs w:val="28"/>
        </w:rPr>
      </w:pPr>
    </w:p>
    <w:p w:rsidR="00B52DD8" w:rsidRPr="00AF0828" w:rsidRDefault="00B52DD8" w:rsidP="00B52DD8">
      <w:pPr>
        <w:spacing w:line="312" w:lineRule="auto"/>
        <w:ind w:left="567" w:firstLine="70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 xml:space="preserve">Итоговая сводная оценка зависит от сводной оценки качества организации и осуществления </w:t>
      </w:r>
      <w:r w:rsidR="00113D2C" w:rsidRPr="00AF0828">
        <w:rPr>
          <w:sz w:val="28"/>
          <w:szCs w:val="28"/>
        </w:rPr>
        <w:t xml:space="preserve">бюджетного процесса </w:t>
      </w:r>
      <w:r w:rsidR="00A3548F">
        <w:rPr>
          <w:sz w:val="28"/>
          <w:szCs w:val="28"/>
        </w:rPr>
        <w:t xml:space="preserve">поселениями </w:t>
      </w:r>
      <w:r w:rsidR="00113D2C" w:rsidRPr="00AF0828">
        <w:rPr>
          <w:sz w:val="28"/>
          <w:szCs w:val="28"/>
        </w:rPr>
        <w:t xml:space="preserve">и </w:t>
      </w:r>
      <w:r w:rsidRPr="00AF0828">
        <w:rPr>
          <w:sz w:val="28"/>
          <w:szCs w:val="28"/>
        </w:rPr>
        <w:t xml:space="preserve">несоответствий </w:t>
      </w:r>
      <w:proofErr w:type="gramStart"/>
      <w:r w:rsidRPr="00AF0828">
        <w:rPr>
          <w:sz w:val="28"/>
          <w:szCs w:val="28"/>
        </w:rPr>
        <w:t>значений индикаторов соблюдения требований бюджетного законодательства</w:t>
      </w:r>
      <w:proofErr w:type="gramEnd"/>
      <w:r w:rsidRPr="00AF0828">
        <w:rPr>
          <w:sz w:val="28"/>
          <w:szCs w:val="28"/>
        </w:rPr>
        <w:t xml:space="preserve">. </w:t>
      </w:r>
    </w:p>
    <w:p w:rsidR="00B52DD8" w:rsidRPr="00AF0828" w:rsidRDefault="00B52DD8" w:rsidP="00B52DD8">
      <w:pPr>
        <w:spacing w:line="312" w:lineRule="auto"/>
        <w:ind w:left="567" w:firstLine="70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поселениях за 201</w:t>
      </w:r>
      <w:r w:rsidR="00A3548F">
        <w:rPr>
          <w:sz w:val="28"/>
          <w:szCs w:val="28"/>
        </w:rPr>
        <w:t>9</w:t>
      </w:r>
      <w:r w:rsidRPr="00AF0828">
        <w:rPr>
          <w:sz w:val="28"/>
          <w:szCs w:val="28"/>
        </w:rPr>
        <w:t xml:space="preserve"> год </w:t>
      </w:r>
      <w:proofErr w:type="gramStart"/>
      <w:r w:rsidRPr="00AF0828">
        <w:rPr>
          <w:sz w:val="28"/>
          <w:szCs w:val="28"/>
        </w:rPr>
        <w:t>несоответстви</w:t>
      </w:r>
      <w:r w:rsidR="00A3548F">
        <w:rPr>
          <w:sz w:val="28"/>
          <w:szCs w:val="28"/>
        </w:rPr>
        <w:t>я</w:t>
      </w:r>
      <w:r w:rsidRPr="00AF0828">
        <w:rPr>
          <w:sz w:val="28"/>
          <w:szCs w:val="28"/>
        </w:rPr>
        <w:t xml:space="preserve"> значений индикаторов соблюдения требований бюджетного законодательства</w:t>
      </w:r>
      <w:proofErr w:type="gramEnd"/>
      <w:r w:rsidRPr="00AF0828">
        <w:rPr>
          <w:sz w:val="28"/>
          <w:szCs w:val="28"/>
        </w:rPr>
        <w:t xml:space="preserve"> не наблюдается. Во всех посе</w:t>
      </w:r>
      <w:r w:rsidR="00113D2C" w:rsidRPr="00AF0828">
        <w:rPr>
          <w:sz w:val="28"/>
          <w:szCs w:val="28"/>
        </w:rPr>
        <w:t>лениях соблюдается установленный норматив</w:t>
      </w:r>
      <w:r w:rsidRPr="00AF0828">
        <w:rPr>
          <w:sz w:val="28"/>
          <w:szCs w:val="28"/>
        </w:rPr>
        <w:t xml:space="preserve"> формирования расходов на содержание органов местного самоуправления муниципальных образований, отсутствует муниципальный долг. </w:t>
      </w:r>
    </w:p>
    <w:p w:rsidR="005E6070" w:rsidRPr="00AF0828" w:rsidRDefault="00A3548F" w:rsidP="00814CC3">
      <w:pPr>
        <w:tabs>
          <w:tab w:val="left" w:pos="1560"/>
        </w:tabs>
        <w:spacing w:line="312" w:lineRule="auto"/>
        <w:ind w:left="567"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В соответствии с П</w:t>
      </w:r>
      <w:r w:rsidR="00113D2C" w:rsidRPr="00AF0828">
        <w:rPr>
          <w:rFonts w:eastAsiaTheme="minorEastAsia"/>
          <w:sz w:val="28"/>
          <w:szCs w:val="28"/>
        </w:rPr>
        <w:t xml:space="preserve">орядком </w:t>
      </w:r>
      <w:r w:rsidR="001503EE" w:rsidRPr="00AF0828">
        <w:rPr>
          <w:rFonts w:eastAsiaTheme="minorEastAsia"/>
          <w:sz w:val="28"/>
          <w:szCs w:val="28"/>
        </w:rPr>
        <w:t>п</w:t>
      </w:r>
      <w:r w:rsidR="005E6070" w:rsidRPr="00AF0828">
        <w:rPr>
          <w:sz w:val="28"/>
          <w:szCs w:val="28"/>
        </w:rPr>
        <w:t xml:space="preserve">о результатам проведенного мониторинга и оценки качества организации и осуществления бюджетного </w:t>
      </w:r>
      <w:r>
        <w:rPr>
          <w:sz w:val="28"/>
          <w:szCs w:val="28"/>
        </w:rPr>
        <w:t>поселен</w:t>
      </w:r>
      <w:r w:rsidR="00ED025C">
        <w:rPr>
          <w:sz w:val="28"/>
          <w:szCs w:val="28"/>
        </w:rPr>
        <w:t>и</w:t>
      </w:r>
      <w:r>
        <w:rPr>
          <w:sz w:val="28"/>
          <w:szCs w:val="28"/>
        </w:rPr>
        <w:t>ями</w:t>
      </w:r>
      <w:r w:rsidR="005E6070" w:rsidRPr="00AF0828">
        <w:rPr>
          <w:sz w:val="28"/>
          <w:szCs w:val="28"/>
        </w:rPr>
        <w:t xml:space="preserve"> за 201</w:t>
      </w:r>
      <w:r w:rsidR="00ED025C">
        <w:rPr>
          <w:sz w:val="28"/>
          <w:szCs w:val="28"/>
        </w:rPr>
        <w:t>9</w:t>
      </w:r>
      <w:r w:rsidR="005E6070" w:rsidRPr="00AF0828">
        <w:rPr>
          <w:sz w:val="28"/>
          <w:szCs w:val="28"/>
        </w:rPr>
        <w:t xml:space="preserve"> год, </w:t>
      </w:r>
      <w:proofErr w:type="gramStart"/>
      <w:r w:rsidR="005E6070" w:rsidRPr="00AF0828">
        <w:rPr>
          <w:sz w:val="28"/>
          <w:szCs w:val="28"/>
        </w:rPr>
        <w:t>согласно протокола</w:t>
      </w:r>
      <w:proofErr w:type="gramEnd"/>
      <w:r w:rsidR="00957DDE" w:rsidRPr="00AF0828">
        <w:rPr>
          <w:sz w:val="28"/>
          <w:szCs w:val="28"/>
        </w:rPr>
        <w:t xml:space="preserve"> </w:t>
      </w:r>
      <w:r w:rsidR="005E6070" w:rsidRPr="00AF0828">
        <w:rPr>
          <w:sz w:val="28"/>
          <w:szCs w:val="28"/>
        </w:rPr>
        <w:t xml:space="preserve">Экспертного совета </w:t>
      </w:r>
      <w:r w:rsidR="00957DDE" w:rsidRPr="00AF0828">
        <w:rPr>
          <w:sz w:val="28"/>
          <w:szCs w:val="28"/>
        </w:rPr>
        <w:t>по проведению мониторинга и оценки качества организации и осуществления бюджетного процесса органами мес</w:t>
      </w:r>
      <w:r w:rsidR="00B645E9">
        <w:rPr>
          <w:sz w:val="28"/>
          <w:szCs w:val="28"/>
        </w:rPr>
        <w:t xml:space="preserve">тного самоуправления поселений </w:t>
      </w:r>
      <w:r w:rsidR="005E6070" w:rsidRPr="0080150A">
        <w:rPr>
          <w:sz w:val="28"/>
          <w:szCs w:val="28"/>
        </w:rPr>
        <w:t>№</w:t>
      </w:r>
      <w:r w:rsidR="00841C22" w:rsidRPr="0080150A">
        <w:rPr>
          <w:sz w:val="28"/>
          <w:szCs w:val="28"/>
        </w:rPr>
        <w:t xml:space="preserve"> </w:t>
      </w:r>
      <w:r w:rsidR="005E6070" w:rsidRPr="0080150A">
        <w:rPr>
          <w:sz w:val="28"/>
          <w:szCs w:val="28"/>
        </w:rPr>
        <w:t xml:space="preserve">1 от </w:t>
      </w:r>
      <w:r w:rsidR="000F098D" w:rsidRPr="0080150A">
        <w:rPr>
          <w:sz w:val="28"/>
          <w:szCs w:val="28"/>
        </w:rPr>
        <w:t>1</w:t>
      </w:r>
      <w:r w:rsidR="00ED025C">
        <w:rPr>
          <w:sz w:val="28"/>
          <w:szCs w:val="28"/>
        </w:rPr>
        <w:t>3</w:t>
      </w:r>
      <w:r w:rsidR="005E6070" w:rsidRPr="0080150A">
        <w:rPr>
          <w:sz w:val="28"/>
          <w:szCs w:val="28"/>
        </w:rPr>
        <w:t>.0</w:t>
      </w:r>
      <w:r w:rsidR="000F098D" w:rsidRPr="0080150A">
        <w:rPr>
          <w:sz w:val="28"/>
          <w:szCs w:val="28"/>
        </w:rPr>
        <w:t>4</w:t>
      </w:r>
      <w:r w:rsidR="005E6070" w:rsidRPr="0080150A">
        <w:rPr>
          <w:sz w:val="28"/>
          <w:szCs w:val="28"/>
        </w:rPr>
        <w:t>.20</w:t>
      </w:r>
      <w:r w:rsidR="00ED025C">
        <w:rPr>
          <w:sz w:val="28"/>
          <w:szCs w:val="28"/>
        </w:rPr>
        <w:t>20</w:t>
      </w:r>
      <w:r w:rsidR="005E6070" w:rsidRPr="0080150A">
        <w:rPr>
          <w:sz w:val="28"/>
          <w:szCs w:val="28"/>
        </w:rPr>
        <w:t xml:space="preserve"> </w:t>
      </w:r>
      <w:r w:rsidR="005E6070" w:rsidRPr="00AF0828">
        <w:rPr>
          <w:sz w:val="28"/>
          <w:szCs w:val="28"/>
        </w:rPr>
        <w:t>года решено:</w:t>
      </w:r>
    </w:p>
    <w:p w:rsidR="00684BCB" w:rsidRPr="00AF0828" w:rsidRDefault="00684BCB" w:rsidP="004D6424">
      <w:pPr>
        <w:pStyle w:val="a9"/>
        <w:numPr>
          <w:ilvl w:val="0"/>
          <w:numId w:val="4"/>
        </w:numPr>
        <w:tabs>
          <w:tab w:val="left" w:pos="142"/>
          <w:tab w:val="left" w:pos="567"/>
          <w:tab w:val="left" w:pos="1560"/>
          <w:tab w:val="left" w:pos="1701"/>
        </w:tabs>
        <w:spacing w:line="276" w:lineRule="auto"/>
        <w:ind w:left="567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F0828">
        <w:rPr>
          <w:rFonts w:ascii="Times New Roman" w:hAnsi="Times New Roman"/>
          <w:sz w:val="28"/>
          <w:szCs w:val="28"/>
        </w:rPr>
        <w:t xml:space="preserve">  В соответствии с порядком </w:t>
      </w:r>
      <w:r w:rsidRPr="00371269">
        <w:rPr>
          <w:rFonts w:ascii="Times New Roman" w:hAnsi="Times New Roman"/>
          <w:sz w:val="28"/>
          <w:szCs w:val="28"/>
        </w:rPr>
        <w:t xml:space="preserve">определить </w:t>
      </w:r>
      <w:r w:rsidR="00371269" w:rsidRPr="00371269">
        <w:rPr>
          <w:rFonts w:ascii="Times New Roman" w:hAnsi="Times New Roman"/>
          <w:sz w:val="28"/>
          <w:szCs w:val="28"/>
        </w:rPr>
        <w:t>поселения</w:t>
      </w:r>
      <w:r w:rsidRPr="00371269">
        <w:rPr>
          <w:rFonts w:ascii="Times New Roman" w:hAnsi="Times New Roman"/>
          <w:sz w:val="28"/>
          <w:szCs w:val="28"/>
        </w:rPr>
        <w:t xml:space="preserve">, </w:t>
      </w:r>
      <w:r w:rsidRPr="00371269">
        <w:rPr>
          <w:rFonts w:ascii="Times New Roman" w:eastAsia="Calibri" w:hAnsi="Times New Roman"/>
          <w:sz w:val="28"/>
          <w:szCs w:val="28"/>
        </w:rPr>
        <w:t xml:space="preserve">сводная </w:t>
      </w:r>
      <w:r w:rsidRPr="00AF0828">
        <w:rPr>
          <w:rFonts w:ascii="Times New Roman" w:eastAsia="Calibri" w:hAnsi="Times New Roman"/>
          <w:sz w:val="28"/>
          <w:szCs w:val="28"/>
        </w:rPr>
        <w:t xml:space="preserve">оценка качества которых выше среднего значения, сложившегося </w:t>
      </w:r>
      <w:r w:rsidR="00BC76F4">
        <w:rPr>
          <w:rFonts w:ascii="Times New Roman" w:eastAsia="Calibri" w:hAnsi="Times New Roman"/>
          <w:sz w:val="28"/>
          <w:szCs w:val="28"/>
        </w:rPr>
        <w:t>за</w:t>
      </w:r>
      <w:r w:rsidRPr="00AF0828">
        <w:rPr>
          <w:rFonts w:ascii="Times New Roman" w:eastAsia="Calibri" w:hAnsi="Times New Roman"/>
          <w:sz w:val="28"/>
          <w:szCs w:val="28"/>
        </w:rPr>
        <w:t xml:space="preserve"> 201</w:t>
      </w:r>
      <w:r w:rsidR="00ED025C">
        <w:rPr>
          <w:rFonts w:ascii="Times New Roman" w:eastAsia="Calibri" w:hAnsi="Times New Roman"/>
          <w:sz w:val="28"/>
          <w:szCs w:val="28"/>
        </w:rPr>
        <w:t>9</w:t>
      </w:r>
      <w:r w:rsidRPr="00AF0828">
        <w:rPr>
          <w:rFonts w:ascii="Times New Roman" w:eastAsia="Calibri" w:hAnsi="Times New Roman"/>
          <w:sz w:val="28"/>
          <w:szCs w:val="28"/>
        </w:rPr>
        <w:t xml:space="preserve"> год:</w:t>
      </w:r>
    </w:p>
    <w:p w:rsidR="00297F1D" w:rsidRPr="00371269" w:rsidRDefault="00297F1D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/>
        <w:contextualSpacing/>
        <w:jc w:val="both"/>
        <w:rPr>
          <w:sz w:val="28"/>
          <w:szCs w:val="28"/>
        </w:rPr>
      </w:pPr>
    </w:p>
    <w:p w:rsidR="00EF70BF" w:rsidRPr="001D5165" w:rsidRDefault="00EF70BF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 w:firstLine="851"/>
        <w:contextualSpacing/>
        <w:jc w:val="both"/>
        <w:rPr>
          <w:color w:val="FF0000"/>
          <w:sz w:val="28"/>
          <w:szCs w:val="28"/>
        </w:rPr>
      </w:pPr>
      <w:r w:rsidRPr="00371269">
        <w:rPr>
          <w:sz w:val="28"/>
          <w:szCs w:val="28"/>
        </w:rPr>
        <w:t>1 место</w:t>
      </w:r>
      <w:r w:rsidR="00EC2644" w:rsidRPr="00371269">
        <w:rPr>
          <w:sz w:val="28"/>
          <w:szCs w:val="28"/>
        </w:rPr>
        <w:t xml:space="preserve"> – </w:t>
      </w:r>
      <w:r w:rsidR="00371269" w:rsidRPr="00371269">
        <w:rPr>
          <w:sz w:val="28"/>
          <w:szCs w:val="28"/>
        </w:rPr>
        <w:t xml:space="preserve">городское </w:t>
      </w:r>
      <w:r w:rsidR="00371269" w:rsidRPr="00C20181">
        <w:rPr>
          <w:sz w:val="28"/>
          <w:szCs w:val="28"/>
        </w:rPr>
        <w:t xml:space="preserve">поселение </w:t>
      </w:r>
      <w:r w:rsidR="00371269" w:rsidRPr="00371269">
        <w:rPr>
          <w:sz w:val="28"/>
          <w:szCs w:val="28"/>
        </w:rPr>
        <w:t xml:space="preserve">Пойковский </w:t>
      </w:r>
      <w:r w:rsidR="00C20181" w:rsidRPr="00371269">
        <w:rPr>
          <w:sz w:val="28"/>
          <w:szCs w:val="28"/>
        </w:rPr>
        <w:t xml:space="preserve">(балл – </w:t>
      </w:r>
      <w:r w:rsidR="00371269" w:rsidRPr="00371269">
        <w:rPr>
          <w:sz w:val="28"/>
          <w:szCs w:val="28"/>
        </w:rPr>
        <w:t>91</w:t>
      </w:r>
      <w:r w:rsidR="0007750B" w:rsidRPr="00371269">
        <w:rPr>
          <w:sz w:val="28"/>
          <w:szCs w:val="28"/>
        </w:rPr>
        <w:t>,</w:t>
      </w:r>
      <w:r w:rsidR="00371269" w:rsidRPr="00371269">
        <w:rPr>
          <w:sz w:val="28"/>
          <w:szCs w:val="28"/>
        </w:rPr>
        <w:t>2</w:t>
      </w:r>
      <w:r w:rsidR="00EC2644" w:rsidRPr="00371269">
        <w:rPr>
          <w:sz w:val="28"/>
          <w:szCs w:val="28"/>
        </w:rPr>
        <w:t>)</w:t>
      </w:r>
    </w:p>
    <w:p w:rsidR="00EC2644" w:rsidRPr="00371269" w:rsidRDefault="00EC2644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 w:firstLine="851"/>
        <w:contextualSpacing/>
        <w:jc w:val="both"/>
        <w:rPr>
          <w:sz w:val="28"/>
          <w:szCs w:val="28"/>
        </w:rPr>
      </w:pPr>
      <w:r w:rsidRPr="00371269">
        <w:rPr>
          <w:sz w:val="28"/>
          <w:szCs w:val="28"/>
        </w:rPr>
        <w:t xml:space="preserve">    </w:t>
      </w:r>
      <w:r w:rsidR="00DA6F0E" w:rsidRPr="00371269">
        <w:rPr>
          <w:sz w:val="28"/>
          <w:szCs w:val="28"/>
        </w:rPr>
        <w:t xml:space="preserve">              </w:t>
      </w:r>
      <w:r w:rsidRPr="00371269">
        <w:rPr>
          <w:sz w:val="28"/>
          <w:szCs w:val="28"/>
        </w:rPr>
        <w:t xml:space="preserve"> </w:t>
      </w:r>
      <w:r w:rsidRPr="00371269">
        <w:rPr>
          <w:sz w:val="28"/>
          <w:szCs w:val="28"/>
          <w:u w:val="single"/>
        </w:rPr>
        <w:t xml:space="preserve">количество голосов «за» - </w:t>
      </w:r>
      <w:r w:rsidR="00371269" w:rsidRPr="00371269">
        <w:rPr>
          <w:sz w:val="28"/>
          <w:szCs w:val="28"/>
          <w:u w:val="single"/>
        </w:rPr>
        <w:t>7</w:t>
      </w:r>
      <w:r w:rsidRPr="00371269">
        <w:rPr>
          <w:sz w:val="28"/>
          <w:szCs w:val="28"/>
          <w:u w:val="single"/>
        </w:rPr>
        <w:t>, «против» 0</w:t>
      </w:r>
      <w:r w:rsidRPr="00371269">
        <w:rPr>
          <w:sz w:val="28"/>
          <w:szCs w:val="28"/>
        </w:rPr>
        <w:t>;</w:t>
      </w:r>
    </w:p>
    <w:p w:rsidR="00DA6F0E" w:rsidRPr="00371269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71269">
        <w:rPr>
          <w:rFonts w:ascii="Times New Roman" w:eastAsia="Times New Roman" w:hAnsi="Times New Roman"/>
          <w:sz w:val="28"/>
          <w:szCs w:val="28"/>
        </w:rPr>
        <w:t xml:space="preserve">        2 место – сельское поселение </w:t>
      </w:r>
      <w:r w:rsidR="00371269" w:rsidRPr="00371269">
        <w:rPr>
          <w:rFonts w:ascii="Times New Roman" w:eastAsia="Times New Roman" w:hAnsi="Times New Roman"/>
          <w:sz w:val="28"/>
          <w:szCs w:val="28"/>
        </w:rPr>
        <w:t>Салым</w:t>
      </w:r>
      <w:r w:rsidR="00DD7CC0" w:rsidRPr="003712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1269">
        <w:rPr>
          <w:rFonts w:ascii="Times New Roman" w:eastAsia="Times New Roman" w:hAnsi="Times New Roman"/>
          <w:sz w:val="28"/>
          <w:szCs w:val="28"/>
        </w:rPr>
        <w:t>(балл –</w:t>
      </w:r>
      <w:r w:rsidR="00C20181" w:rsidRPr="00371269">
        <w:rPr>
          <w:rFonts w:ascii="Times New Roman" w:eastAsia="Times New Roman" w:hAnsi="Times New Roman"/>
          <w:sz w:val="28"/>
          <w:szCs w:val="28"/>
        </w:rPr>
        <w:t xml:space="preserve"> 8</w:t>
      </w:r>
      <w:r w:rsidR="00371269" w:rsidRPr="00371269">
        <w:rPr>
          <w:rFonts w:ascii="Times New Roman" w:eastAsia="Times New Roman" w:hAnsi="Times New Roman"/>
          <w:sz w:val="28"/>
          <w:szCs w:val="28"/>
        </w:rPr>
        <w:t>8</w:t>
      </w:r>
      <w:r w:rsidR="00C20181" w:rsidRPr="00371269">
        <w:rPr>
          <w:rFonts w:ascii="Times New Roman" w:eastAsia="Times New Roman" w:hAnsi="Times New Roman"/>
          <w:sz w:val="28"/>
          <w:szCs w:val="28"/>
        </w:rPr>
        <w:t>,</w:t>
      </w:r>
      <w:r w:rsidR="00371269" w:rsidRPr="00371269">
        <w:rPr>
          <w:rFonts w:ascii="Times New Roman" w:eastAsia="Times New Roman" w:hAnsi="Times New Roman"/>
          <w:sz w:val="28"/>
          <w:szCs w:val="28"/>
        </w:rPr>
        <w:t>6</w:t>
      </w:r>
      <w:r w:rsidRPr="00371269">
        <w:rPr>
          <w:rFonts w:ascii="Times New Roman" w:eastAsia="Times New Roman" w:hAnsi="Times New Roman"/>
          <w:sz w:val="28"/>
          <w:szCs w:val="28"/>
        </w:rPr>
        <w:t>)</w:t>
      </w:r>
    </w:p>
    <w:p w:rsidR="00DA6F0E" w:rsidRPr="00371269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71269">
        <w:rPr>
          <w:rFonts w:ascii="Times New Roman" w:eastAsia="Times New Roman" w:hAnsi="Times New Roman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  <w:u w:val="single"/>
        </w:rPr>
        <w:t xml:space="preserve">количество голосов «за» - </w:t>
      </w:r>
      <w:r w:rsidR="00371269" w:rsidRPr="00371269">
        <w:rPr>
          <w:rFonts w:ascii="Times New Roman" w:eastAsia="Times New Roman" w:hAnsi="Times New Roman"/>
          <w:sz w:val="28"/>
          <w:szCs w:val="28"/>
          <w:u w:val="single"/>
        </w:rPr>
        <w:t>7</w:t>
      </w:r>
      <w:r w:rsidRPr="00371269">
        <w:rPr>
          <w:rFonts w:ascii="Times New Roman" w:eastAsia="Times New Roman" w:hAnsi="Times New Roman"/>
          <w:sz w:val="28"/>
          <w:szCs w:val="28"/>
          <w:u w:val="single"/>
        </w:rPr>
        <w:t>, «против» - 0;</w:t>
      </w:r>
    </w:p>
    <w:p w:rsidR="00DA6F0E" w:rsidRPr="00371269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71269">
        <w:rPr>
          <w:rFonts w:ascii="Times New Roman" w:eastAsia="Times New Roman" w:hAnsi="Times New Roman"/>
          <w:sz w:val="28"/>
          <w:szCs w:val="28"/>
        </w:rPr>
        <w:tab/>
        <w:t xml:space="preserve">3 место – сельское поселение </w:t>
      </w:r>
      <w:r w:rsidR="00ED025C" w:rsidRPr="00371269">
        <w:rPr>
          <w:rFonts w:ascii="Times New Roman" w:eastAsia="Times New Roman" w:hAnsi="Times New Roman"/>
          <w:sz w:val="28"/>
          <w:szCs w:val="28"/>
        </w:rPr>
        <w:t>Сингапай</w:t>
      </w:r>
      <w:r w:rsidRPr="00371269">
        <w:rPr>
          <w:rFonts w:ascii="Times New Roman" w:eastAsia="Times New Roman" w:hAnsi="Times New Roman"/>
          <w:sz w:val="28"/>
          <w:szCs w:val="28"/>
        </w:rPr>
        <w:t xml:space="preserve"> (балл –</w:t>
      </w:r>
      <w:r w:rsidR="00C20181" w:rsidRPr="00371269">
        <w:rPr>
          <w:rFonts w:ascii="Times New Roman" w:eastAsia="Times New Roman" w:hAnsi="Times New Roman"/>
          <w:sz w:val="28"/>
          <w:szCs w:val="28"/>
        </w:rPr>
        <w:t xml:space="preserve"> 8</w:t>
      </w:r>
      <w:r w:rsidR="00371269" w:rsidRPr="00371269">
        <w:rPr>
          <w:rFonts w:ascii="Times New Roman" w:eastAsia="Times New Roman" w:hAnsi="Times New Roman"/>
          <w:sz w:val="28"/>
          <w:szCs w:val="28"/>
        </w:rPr>
        <w:t>7</w:t>
      </w:r>
      <w:r w:rsidR="00C20181" w:rsidRPr="00371269">
        <w:rPr>
          <w:rFonts w:ascii="Times New Roman" w:eastAsia="Times New Roman" w:hAnsi="Times New Roman"/>
          <w:sz w:val="28"/>
          <w:szCs w:val="28"/>
        </w:rPr>
        <w:t>,</w:t>
      </w:r>
      <w:r w:rsidR="00371269" w:rsidRPr="00371269">
        <w:rPr>
          <w:rFonts w:ascii="Times New Roman" w:eastAsia="Times New Roman" w:hAnsi="Times New Roman"/>
          <w:sz w:val="28"/>
          <w:szCs w:val="28"/>
        </w:rPr>
        <w:t>3</w:t>
      </w:r>
      <w:r w:rsidRPr="00371269">
        <w:rPr>
          <w:rFonts w:ascii="Times New Roman" w:eastAsia="Times New Roman" w:hAnsi="Times New Roman"/>
          <w:sz w:val="28"/>
          <w:szCs w:val="28"/>
        </w:rPr>
        <w:t>)</w:t>
      </w:r>
    </w:p>
    <w:p w:rsidR="00DA6F0E" w:rsidRPr="00371269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71269">
        <w:rPr>
          <w:rFonts w:ascii="Times New Roman" w:eastAsia="Times New Roman" w:hAnsi="Times New Roman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  <w:u w:val="single"/>
        </w:rPr>
        <w:t xml:space="preserve">количество голосов «за» - </w:t>
      </w:r>
      <w:r w:rsidR="00371269" w:rsidRPr="00371269">
        <w:rPr>
          <w:rFonts w:ascii="Times New Roman" w:eastAsia="Times New Roman" w:hAnsi="Times New Roman"/>
          <w:sz w:val="28"/>
          <w:szCs w:val="28"/>
          <w:u w:val="single"/>
        </w:rPr>
        <w:t>7</w:t>
      </w:r>
      <w:r w:rsidRPr="00371269">
        <w:rPr>
          <w:rFonts w:ascii="Times New Roman" w:eastAsia="Times New Roman" w:hAnsi="Times New Roman"/>
          <w:sz w:val="28"/>
          <w:szCs w:val="28"/>
          <w:u w:val="single"/>
        </w:rPr>
        <w:t>, «против» - 0;</w:t>
      </w:r>
    </w:p>
    <w:p w:rsidR="00DA6F0E" w:rsidRPr="00371269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5165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</w:rPr>
        <w:t xml:space="preserve">4 место – сельское поселение </w:t>
      </w:r>
      <w:r w:rsidR="008F178E" w:rsidRPr="00371269">
        <w:rPr>
          <w:rFonts w:ascii="Times New Roman" w:eastAsia="Times New Roman" w:hAnsi="Times New Roman"/>
          <w:sz w:val="28"/>
          <w:szCs w:val="28"/>
        </w:rPr>
        <w:t>Каркатеевы</w:t>
      </w:r>
      <w:r w:rsidRPr="00371269">
        <w:rPr>
          <w:rFonts w:ascii="Times New Roman" w:eastAsia="Times New Roman" w:hAnsi="Times New Roman"/>
          <w:sz w:val="28"/>
          <w:szCs w:val="28"/>
        </w:rPr>
        <w:t xml:space="preserve"> (балл –</w:t>
      </w:r>
      <w:r w:rsidR="00C20181" w:rsidRPr="00371269">
        <w:rPr>
          <w:rFonts w:ascii="Times New Roman" w:eastAsia="Times New Roman" w:hAnsi="Times New Roman"/>
          <w:sz w:val="28"/>
          <w:szCs w:val="28"/>
        </w:rPr>
        <w:t xml:space="preserve"> 8</w:t>
      </w:r>
      <w:r w:rsidR="00371269" w:rsidRPr="00371269">
        <w:rPr>
          <w:rFonts w:ascii="Times New Roman" w:eastAsia="Times New Roman" w:hAnsi="Times New Roman"/>
          <w:sz w:val="28"/>
          <w:szCs w:val="28"/>
        </w:rPr>
        <w:t>6</w:t>
      </w:r>
      <w:r w:rsidR="00C20181" w:rsidRPr="00371269">
        <w:rPr>
          <w:rFonts w:ascii="Times New Roman" w:eastAsia="Times New Roman" w:hAnsi="Times New Roman"/>
          <w:sz w:val="28"/>
          <w:szCs w:val="28"/>
        </w:rPr>
        <w:t>,</w:t>
      </w:r>
      <w:r w:rsidR="00371269" w:rsidRPr="00371269">
        <w:rPr>
          <w:rFonts w:ascii="Times New Roman" w:eastAsia="Times New Roman" w:hAnsi="Times New Roman"/>
          <w:sz w:val="28"/>
          <w:szCs w:val="28"/>
        </w:rPr>
        <w:t>3</w:t>
      </w:r>
      <w:r w:rsidR="001D7762" w:rsidRPr="00371269">
        <w:rPr>
          <w:rFonts w:ascii="Times New Roman" w:eastAsia="Times New Roman" w:hAnsi="Times New Roman"/>
          <w:sz w:val="28"/>
          <w:szCs w:val="28"/>
        </w:rPr>
        <w:t>)</w:t>
      </w:r>
    </w:p>
    <w:p w:rsidR="00524C7E" w:rsidRPr="00371269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71269">
        <w:rPr>
          <w:rFonts w:ascii="Times New Roman" w:eastAsia="Times New Roman" w:hAnsi="Times New Roman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</w:rPr>
        <w:tab/>
      </w:r>
      <w:r w:rsidRPr="00371269">
        <w:rPr>
          <w:rFonts w:ascii="Times New Roman" w:eastAsia="Times New Roman" w:hAnsi="Times New Roman"/>
          <w:sz w:val="28"/>
          <w:szCs w:val="28"/>
          <w:u w:val="single"/>
        </w:rPr>
        <w:t xml:space="preserve">количество голосов «за» - </w:t>
      </w:r>
      <w:r w:rsidR="00371269" w:rsidRPr="00371269">
        <w:rPr>
          <w:rFonts w:ascii="Times New Roman" w:eastAsia="Times New Roman" w:hAnsi="Times New Roman"/>
          <w:sz w:val="28"/>
          <w:szCs w:val="28"/>
          <w:u w:val="single"/>
        </w:rPr>
        <w:t>7</w:t>
      </w:r>
      <w:r w:rsidRPr="00371269">
        <w:rPr>
          <w:rFonts w:ascii="Times New Roman" w:eastAsia="Times New Roman" w:hAnsi="Times New Roman"/>
          <w:sz w:val="28"/>
          <w:szCs w:val="28"/>
          <w:u w:val="single"/>
        </w:rPr>
        <w:t>, «против» - 0</w:t>
      </w:r>
      <w:r w:rsidR="00DD7CC0" w:rsidRPr="00371269">
        <w:rPr>
          <w:rFonts w:ascii="Times New Roman" w:eastAsia="Times New Roman" w:hAnsi="Times New Roman"/>
          <w:sz w:val="28"/>
          <w:szCs w:val="28"/>
          <w:u w:val="single"/>
        </w:rPr>
        <w:t>;</w:t>
      </w:r>
    </w:p>
    <w:p w:rsidR="008F178E" w:rsidRPr="00371269" w:rsidRDefault="00144C47" w:rsidP="00371269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="00371269" w:rsidRPr="00371269">
        <w:rPr>
          <w:rFonts w:ascii="Times New Roman" w:eastAsia="Times New Roman" w:hAnsi="Times New Roman"/>
          <w:sz w:val="28"/>
          <w:szCs w:val="28"/>
        </w:rPr>
        <w:t>5</w:t>
      </w:r>
      <w:r w:rsidR="008F178E" w:rsidRPr="00371269">
        <w:rPr>
          <w:rFonts w:ascii="Times New Roman" w:eastAsia="Times New Roman" w:hAnsi="Times New Roman"/>
          <w:sz w:val="28"/>
          <w:szCs w:val="28"/>
        </w:rPr>
        <w:t xml:space="preserve"> место – сельское поселение Куть-Ях (балл – 8</w:t>
      </w:r>
      <w:r w:rsidR="00371269">
        <w:rPr>
          <w:rFonts w:ascii="Times New Roman" w:eastAsia="Times New Roman" w:hAnsi="Times New Roman"/>
          <w:sz w:val="28"/>
          <w:szCs w:val="28"/>
        </w:rPr>
        <w:t>4</w:t>
      </w:r>
      <w:r w:rsidR="008F178E" w:rsidRPr="00371269">
        <w:rPr>
          <w:rFonts w:ascii="Times New Roman" w:eastAsia="Times New Roman" w:hAnsi="Times New Roman"/>
          <w:sz w:val="28"/>
          <w:szCs w:val="28"/>
        </w:rPr>
        <w:t>,</w:t>
      </w:r>
      <w:r w:rsidR="00371269">
        <w:rPr>
          <w:rFonts w:ascii="Times New Roman" w:eastAsia="Times New Roman" w:hAnsi="Times New Roman"/>
          <w:sz w:val="28"/>
          <w:szCs w:val="28"/>
        </w:rPr>
        <w:t>5</w:t>
      </w:r>
      <w:r w:rsidR="008F178E" w:rsidRPr="00371269">
        <w:rPr>
          <w:rFonts w:ascii="Times New Roman" w:eastAsia="Times New Roman" w:hAnsi="Times New Roman"/>
          <w:sz w:val="28"/>
          <w:szCs w:val="28"/>
        </w:rPr>
        <w:t>)</w:t>
      </w:r>
    </w:p>
    <w:p w:rsidR="008F178E" w:rsidRPr="00B4734A" w:rsidRDefault="00963C49" w:rsidP="00963C49">
      <w:pPr>
        <w:pStyle w:val="a9"/>
        <w:tabs>
          <w:tab w:val="left" w:pos="0"/>
          <w:tab w:val="left" w:pos="142"/>
          <w:tab w:val="left" w:pos="255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 </w:t>
      </w:r>
      <w:r w:rsidR="008F178E" w:rsidRPr="00C20181">
        <w:rPr>
          <w:rFonts w:ascii="Times New Roman" w:eastAsia="Times New Roman" w:hAnsi="Times New Roman"/>
          <w:sz w:val="28"/>
          <w:szCs w:val="28"/>
          <w:u w:val="single"/>
        </w:rPr>
        <w:t>количество голосов «за</w:t>
      </w:r>
      <w:r w:rsidR="008F178E" w:rsidRPr="0080150A">
        <w:rPr>
          <w:rFonts w:ascii="Times New Roman" w:eastAsia="Times New Roman" w:hAnsi="Times New Roman"/>
          <w:sz w:val="28"/>
          <w:szCs w:val="28"/>
          <w:u w:val="single"/>
        </w:rPr>
        <w:t xml:space="preserve">» - </w:t>
      </w:r>
      <w:r w:rsidR="00371269">
        <w:rPr>
          <w:rFonts w:ascii="Times New Roman" w:eastAsia="Times New Roman" w:hAnsi="Times New Roman"/>
          <w:sz w:val="28"/>
          <w:szCs w:val="28"/>
          <w:u w:val="single"/>
        </w:rPr>
        <w:t>7</w:t>
      </w:r>
      <w:r w:rsidR="008F178E" w:rsidRPr="0080150A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="00FF6E25">
        <w:rPr>
          <w:rFonts w:ascii="Times New Roman" w:eastAsia="Times New Roman" w:hAnsi="Times New Roman"/>
          <w:sz w:val="28"/>
          <w:szCs w:val="28"/>
          <w:u w:val="single"/>
        </w:rPr>
        <w:t>«против» - 0.</w:t>
      </w:r>
    </w:p>
    <w:p w:rsidR="00DD7CC0" w:rsidRDefault="00DD7CC0" w:rsidP="008F178E">
      <w:p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</w:rPr>
      </w:pPr>
    </w:p>
    <w:p w:rsidR="00B645E9" w:rsidRPr="008F178E" w:rsidRDefault="00B645E9" w:rsidP="008F178E">
      <w:p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EF70BF" w:rsidRPr="00BC76F4" w:rsidRDefault="0089112B" w:rsidP="00BC76F4">
      <w:pPr>
        <w:numPr>
          <w:ilvl w:val="0"/>
          <w:numId w:val="4"/>
        </w:numPr>
        <w:tabs>
          <w:tab w:val="left" w:pos="993"/>
          <w:tab w:val="left" w:pos="1418"/>
          <w:tab w:val="left" w:pos="1560"/>
          <w:tab w:val="left" w:pos="1843"/>
        </w:tabs>
        <w:spacing w:line="276" w:lineRule="auto"/>
        <w:ind w:firstLine="69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 xml:space="preserve"> </w:t>
      </w:r>
      <w:r w:rsidR="00BC76F4" w:rsidRPr="00BC76F4">
        <w:rPr>
          <w:sz w:val="28"/>
          <w:szCs w:val="28"/>
        </w:rPr>
        <w:t xml:space="preserve">Предоставить </w:t>
      </w:r>
      <w:r w:rsidR="008F178E">
        <w:rPr>
          <w:sz w:val="28"/>
          <w:szCs w:val="28"/>
        </w:rPr>
        <w:t>иные межбюджетные трансферты</w:t>
      </w:r>
      <w:r w:rsidR="00BC76F4" w:rsidRPr="00BC76F4">
        <w:rPr>
          <w:sz w:val="28"/>
          <w:szCs w:val="28"/>
        </w:rPr>
        <w:t xml:space="preserve"> </w:t>
      </w:r>
      <w:r w:rsidR="00B645E9">
        <w:rPr>
          <w:sz w:val="28"/>
          <w:szCs w:val="28"/>
        </w:rPr>
        <w:t xml:space="preserve">на поощрение </w:t>
      </w:r>
      <w:r w:rsidR="00BC76F4" w:rsidRPr="00BC76F4">
        <w:rPr>
          <w:sz w:val="28"/>
          <w:szCs w:val="28"/>
        </w:rPr>
        <w:t xml:space="preserve">за достижение высоких показателей качества организации и осуществления </w:t>
      </w:r>
      <w:r w:rsidR="00BC76F4" w:rsidRPr="00BC76F4">
        <w:rPr>
          <w:sz w:val="28"/>
          <w:szCs w:val="28"/>
        </w:rPr>
        <w:lastRenderedPageBreak/>
        <w:t>бюджетного процесса органами местного самоуправления поселений</w:t>
      </w:r>
      <w:r w:rsidR="00B645E9">
        <w:rPr>
          <w:sz w:val="28"/>
          <w:szCs w:val="28"/>
        </w:rPr>
        <w:t xml:space="preserve"> </w:t>
      </w:r>
      <w:r w:rsidR="00BC76F4" w:rsidRPr="00BC76F4">
        <w:rPr>
          <w:bCs/>
          <w:sz w:val="28"/>
          <w:szCs w:val="28"/>
        </w:rPr>
        <w:t>за 201</w:t>
      </w:r>
      <w:r w:rsidR="008F178E">
        <w:rPr>
          <w:bCs/>
          <w:sz w:val="28"/>
          <w:szCs w:val="28"/>
        </w:rPr>
        <w:t>9</w:t>
      </w:r>
      <w:r w:rsidR="00BC76F4" w:rsidRPr="00BC76F4">
        <w:rPr>
          <w:bCs/>
          <w:sz w:val="28"/>
          <w:szCs w:val="28"/>
        </w:rPr>
        <w:t xml:space="preserve"> год</w:t>
      </w:r>
      <w:r w:rsidR="00BC76F4" w:rsidRPr="00BC76F4">
        <w:rPr>
          <w:sz w:val="28"/>
          <w:szCs w:val="28"/>
        </w:rPr>
        <w:t xml:space="preserve"> в сумме 2</w:t>
      </w:r>
      <w:r w:rsidR="00BC76F4">
        <w:rPr>
          <w:sz w:val="28"/>
          <w:szCs w:val="28"/>
        </w:rPr>
        <w:t> </w:t>
      </w:r>
      <w:r w:rsidR="00BC76F4" w:rsidRPr="00BC76F4">
        <w:rPr>
          <w:sz w:val="28"/>
          <w:szCs w:val="28"/>
        </w:rPr>
        <w:t>000</w:t>
      </w:r>
      <w:r w:rsidR="00BC76F4">
        <w:rPr>
          <w:sz w:val="28"/>
          <w:szCs w:val="28"/>
        </w:rPr>
        <w:t>,0</w:t>
      </w:r>
      <w:r w:rsidR="00BC76F4" w:rsidRPr="00BC76F4">
        <w:rPr>
          <w:sz w:val="28"/>
          <w:szCs w:val="28"/>
        </w:rPr>
        <w:t>00</w:t>
      </w:r>
      <w:r w:rsidR="00BC76F4">
        <w:rPr>
          <w:sz w:val="28"/>
          <w:szCs w:val="28"/>
        </w:rPr>
        <w:t xml:space="preserve"> тыс.</w:t>
      </w:r>
      <w:r w:rsidR="00BC76F4" w:rsidRPr="00BC76F4">
        <w:rPr>
          <w:sz w:val="28"/>
          <w:szCs w:val="28"/>
        </w:rPr>
        <w:t xml:space="preserve"> рублей следующим поселениям:</w:t>
      </w:r>
    </w:p>
    <w:p w:rsidR="00C42AF1" w:rsidRDefault="00C42AF1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  <w:r w:rsidRPr="008B036D">
        <w:rPr>
          <w:sz w:val="28"/>
          <w:szCs w:val="28"/>
        </w:rPr>
        <w:t xml:space="preserve">- </w:t>
      </w:r>
      <w:r w:rsidR="00E9493E">
        <w:rPr>
          <w:sz w:val="28"/>
          <w:szCs w:val="28"/>
        </w:rPr>
        <w:t>городское</w:t>
      </w:r>
      <w:r w:rsidR="00E9493E" w:rsidRPr="00570EE8">
        <w:rPr>
          <w:sz w:val="28"/>
          <w:szCs w:val="28"/>
        </w:rPr>
        <w:t xml:space="preserve"> поселение </w:t>
      </w:r>
      <w:r w:rsidR="00E9493E">
        <w:rPr>
          <w:sz w:val="28"/>
          <w:szCs w:val="28"/>
        </w:rPr>
        <w:t>Пойковский</w:t>
      </w:r>
      <w:r w:rsidR="00E9493E" w:rsidRPr="00570EE8">
        <w:rPr>
          <w:sz w:val="28"/>
          <w:szCs w:val="28"/>
        </w:rPr>
        <w:t xml:space="preserve"> </w:t>
      </w:r>
      <w:r w:rsidRPr="008B036D">
        <w:rPr>
          <w:sz w:val="28"/>
          <w:szCs w:val="28"/>
        </w:rPr>
        <w:t xml:space="preserve">в размере </w:t>
      </w:r>
      <w:r w:rsidR="00E9493E">
        <w:rPr>
          <w:sz w:val="28"/>
          <w:szCs w:val="28"/>
        </w:rPr>
        <w:t>686</w:t>
      </w:r>
      <w:r w:rsidR="008B036D" w:rsidRPr="008B036D">
        <w:rPr>
          <w:sz w:val="28"/>
          <w:szCs w:val="28"/>
        </w:rPr>
        <w:t>,</w:t>
      </w:r>
      <w:r w:rsidR="00CE763B">
        <w:rPr>
          <w:sz w:val="28"/>
          <w:szCs w:val="28"/>
        </w:rPr>
        <w:t>41</w:t>
      </w:r>
      <w:r w:rsidR="00E9493E">
        <w:rPr>
          <w:sz w:val="28"/>
          <w:szCs w:val="28"/>
        </w:rPr>
        <w:t>8</w:t>
      </w:r>
      <w:r w:rsidRPr="008B036D">
        <w:rPr>
          <w:sz w:val="28"/>
          <w:szCs w:val="28"/>
        </w:rPr>
        <w:t xml:space="preserve"> тыс. рублей;</w:t>
      </w:r>
    </w:p>
    <w:p w:rsidR="008B036D" w:rsidRPr="008B036D" w:rsidRDefault="008B036D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сельское поселение </w:t>
      </w:r>
      <w:r w:rsidR="00E9493E">
        <w:rPr>
          <w:sz w:val="28"/>
          <w:szCs w:val="28"/>
        </w:rPr>
        <w:t>Салым</w:t>
      </w:r>
      <w:r>
        <w:rPr>
          <w:sz w:val="28"/>
          <w:szCs w:val="28"/>
        </w:rPr>
        <w:t xml:space="preserve"> в размере </w:t>
      </w:r>
      <w:r w:rsidR="00E9493E">
        <w:rPr>
          <w:sz w:val="28"/>
          <w:szCs w:val="28"/>
        </w:rPr>
        <w:t>481</w:t>
      </w:r>
      <w:r>
        <w:rPr>
          <w:sz w:val="28"/>
          <w:szCs w:val="28"/>
        </w:rPr>
        <w:t>,</w:t>
      </w:r>
      <w:r w:rsidR="00E9493E">
        <w:rPr>
          <w:sz w:val="28"/>
          <w:szCs w:val="28"/>
        </w:rPr>
        <w:t>300</w:t>
      </w:r>
      <w:r>
        <w:rPr>
          <w:sz w:val="28"/>
          <w:szCs w:val="28"/>
        </w:rPr>
        <w:t xml:space="preserve"> тыс. рублей;</w:t>
      </w:r>
    </w:p>
    <w:p w:rsidR="00DA6F0E" w:rsidRDefault="0003386D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  <w:r w:rsidRPr="008B036D">
        <w:rPr>
          <w:sz w:val="28"/>
          <w:szCs w:val="28"/>
        </w:rPr>
        <w:t xml:space="preserve">- сельское поселение </w:t>
      </w:r>
      <w:r w:rsidR="00CE763B">
        <w:rPr>
          <w:sz w:val="28"/>
          <w:szCs w:val="28"/>
        </w:rPr>
        <w:t>Сингапай</w:t>
      </w:r>
      <w:r w:rsidR="00DA6F0E" w:rsidRPr="008B036D">
        <w:rPr>
          <w:sz w:val="28"/>
          <w:szCs w:val="28"/>
        </w:rPr>
        <w:t xml:space="preserve"> в размере </w:t>
      </w:r>
      <w:r w:rsidR="00E9493E">
        <w:rPr>
          <w:sz w:val="28"/>
          <w:szCs w:val="28"/>
        </w:rPr>
        <w:t>378</w:t>
      </w:r>
      <w:r w:rsidR="008B036D" w:rsidRPr="008B036D">
        <w:rPr>
          <w:sz w:val="28"/>
          <w:szCs w:val="28"/>
        </w:rPr>
        <w:t>,</w:t>
      </w:r>
      <w:r w:rsidR="00E9493E">
        <w:rPr>
          <w:sz w:val="28"/>
          <w:szCs w:val="28"/>
        </w:rPr>
        <w:t>182</w:t>
      </w:r>
      <w:r w:rsidR="00DA6F0E" w:rsidRPr="008B036D">
        <w:rPr>
          <w:sz w:val="28"/>
          <w:szCs w:val="28"/>
        </w:rPr>
        <w:t xml:space="preserve"> тыс. рублей;</w:t>
      </w:r>
    </w:p>
    <w:p w:rsidR="00570EE8" w:rsidRPr="00570EE8" w:rsidRDefault="00570EE8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  <w:r w:rsidRPr="00570EE8">
        <w:rPr>
          <w:sz w:val="28"/>
          <w:szCs w:val="28"/>
        </w:rPr>
        <w:t xml:space="preserve">- сельское поселение </w:t>
      </w:r>
      <w:r w:rsidR="00CE763B">
        <w:rPr>
          <w:sz w:val="28"/>
          <w:szCs w:val="28"/>
        </w:rPr>
        <w:t>Каркатеевы</w:t>
      </w:r>
      <w:r w:rsidRPr="00570EE8">
        <w:rPr>
          <w:sz w:val="28"/>
          <w:szCs w:val="28"/>
        </w:rPr>
        <w:t xml:space="preserve"> в размере </w:t>
      </w:r>
      <w:r w:rsidR="00E9493E">
        <w:rPr>
          <w:sz w:val="28"/>
          <w:szCs w:val="28"/>
        </w:rPr>
        <w:t>297</w:t>
      </w:r>
      <w:r w:rsidRPr="00570EE8">
        <w:rPr>
          <w:sz w:val="28"/>
          <w:szCs w:val="28"/>
        </w:rPr>
        <w:t>,</w:t>
      </w:r>
      <w:r w:rsidR="00E9493E">
        <w:rPr>
          <w:sz w:val="28"/>
          <w:szCs w:val="28"/>
        </w:rPr>
        <w:t>666</w:t>
      </w:r>
      <w:r w:rsidRPr="00570EE8">
        <w:rPr>
          <w:sz w:val="28"/>
          <w:szCs w:val="28"/>
        </w:rPr>
        <w:t xml:space="preserve"> тыс. рублей;</w:t>
      </w:r>
    </w:p>
    <w:p w:rsidR="00CE763B" w:rsidRPr="00570EE8" w:rsidRDefault="00CE763B" w:rsidP="00CE763B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70EE8">
        <w:rPr>
          <w:sz w:val="28"/>
          <w:szCs w:val="28"/>
        </w:rPr>
        <w:t xml:space="preserve">- сельское поселение </w:t>
      </w:r>
      <w:r>
        <w:rPr>
          <w:sz w:val="28"/>
          <w:szCs w:val="28"/>
        </w:rPr>
        <w:t>Куть-Ях</w:t>
      </w:r>
      <w:r w:rsidRPr="00570EE8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</w:t>
      </w:r>
      <w:r w:rsidR="00E9493E">
        <w:rPr>
          <w:sz w:val="28"/>
          <w:szCs w:val="28"/>
        </w:rPr>
        <w:t>56</w:t>
      </w:r>
      <w:r w:rsidRPr="00570EE8">
        <w:rPr>
          <w:sz w:val="28"/>
          <w:szCs w:val="28"/>
        </w:rPr>
        <w:t>,</w:t>
      </w:r>
      <w:r w:rsidR="00E9493E">
        <w:rPr>
          <w:sz w:val="28"/>
          <w:szCs w:val="28"/>
        </w:rPr>
        <w:t>434</w:t>
      </w:r>
      <w:r w:rsidR="00922B04">
        <w:rPr>
          <w:sz w:val="28"/>
          <w:szCs w:val="28"/>
        </w:rPr>
        <w:t xml:space="preserve"> тыс. рублей.</w:t>
      </w:r>
    </w:p>
    <w:p w:rsidR="00DD7CC0" w:rsidRPr="00087ED3" w:rsidRDefault="00DD7CC0" w:rsidP="00570EE8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color w:val="FF0000"/>
          <w:sz w:val="28"/>
          <w:szCs w:val="28"/>
        </w:rPr>
      </w:pPr>
    </w:p>
    <w:p w:rsidR="00144C47" w:rsidRPr="00087ED3" w:rsidRDefault="00144C47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color w:val="FF0000"/>
          <w:sz w:val="28"/>
          <w:szCs w:val="28"/>
        </w:rPr>
      </w:pPr>
    </w:p>
    <w:p w:rsidR="002E06C4" w:rsidRPr="00BB007D" w:rsidRDefault="002E06C4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color w:val="FF0000"/>
          <w:sz w:val="28"/>
          <w:szCs w:val="28"/>
        </w:rPr>
      </w:pPr>
    </w:p>
    <w:p w:rsidR="000B6A4D" w:rsidRPr="00AF0828" w:rsidRDefault="000B6A4D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</w:p>
    <w:sectPr w:rsidR="000B6A4D" w:rsidRPr="00AF0828" w:rsidSect="00144C47">
      <w:pgSz w:w="11906" w:h="16838"/>
      <w:pgMar w:top="568" w:right="85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16" w:rsidRDefault="00740216" w:rsidP="00305F36">
      <w:r>
        <w:separator/>
      </w:r>
    </w:p>
  </w:endnote>
  <w:endnote w:type="continuationSeparator" w:id="0">
    <w:p w:rsidR="00740216" w:rsidRDefault="00740216" w:rsidP="0030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16" w:rsidRDefault="00740216" w:rsidP="00305F36">
      <w:r>
        <w:separator/>
      </w:r>
    </w:p>
  </w:footnote>
  <w:footnote w:type="continuationSeparator" w:id="0">
    <w:p w:rsidR="00740216" w:rsidRDefault="00740216" w:rsidP="0030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49B"/>
    <w:multiLevelType w:val="hybridMultilevel"/>
    <w:tmpl w:val="A490906E"/>
    <w:lvl w:ilvl="0" w:tplc="02802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46B8"/>
    <w:multiLevelType w:val="hybridMultilevel"/>
    <w:tmpl w:val="3FFC32D0"/>
    <w:lvl w:ilvl="0" w:tplc="C7B649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2500C"/>
    <w:multiLevelType w:val="hybridMultilevel"/>
    <w:tmpl w:val="98EAC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9288B"/>
    <w:multiLevelType w:val="multilevel"/>
    <w:tmpl w:val="32D68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2033DBB"/>
    <w:multiLevelType w:val="hybridMultilevel"/>
    <w:tmpl w:val="8576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3"/>
    <w:rsid w:val="0003386D"/>
    <w:rsid w:val="0003684A"/>
    <w:rsid w:val="00070610"/>
    <w:rsid w:val="0007750B"/>
    <w:rsid w:val="00083A68"/>
    <w:rsid w:val="00087ED3"/>
    <w:rsid w:val="000B6A4D"/>
    <w:rsid w:val="000E304F"/>
    <w:rsid w:val="000E4A6F"/>
    <w:rsid w:val="000F098D"/>
    <w:rsid w:val="000F701D"/>
    <w:rsid w:val="00113D2C"/>
    <w:rsid w:val="00141063"/>
    <w:rsid w:val="00144C47"/>
    <w:rsid w:val="001503EE"/>
    <w:rsid w:val="00172D22"/>
    <w:rsid w:val="001A20C7"/>
    <w:rsid w:val="001A31A2"/>
    <w:rsid w:val="001A5DF2"/>
    <w:rsid w:val="001B2B97"/>
    <w:rsid w:val="001D5165"/>
    <w:rsid w:val="001D7762"/>
    <w:rsid w:val="001E34B3"/>
    <w:rsid w:val="001E73CE"/>
    <w:rsid w:val="002064DF"/>
    <w:rsid w:val="00225607"/>
    <w:rsid w:val="0025781B"/>
    <w:rsid w:val="00267D03"/>
    <w:rsid w:val="00270770"/>
    <w:rsid w:val="00280C92"/>
    <w:rsid w:val="00297F1D"/>
    <w:rsid w:val="002B6E7D"/>
    <w:rsid w:val="002B7890"/>
    <w:rsid w:val="002C0CD6"/>
    <w:rsid w:val="002D3835"/>
    <w:rsid w:val="002E06C4"/>
    <w:rsid w:val="00305F36"/>
    <w:rsid w:val="0032754F"/>
    <w:rsid w:val="00343E0D"/>
    <w:rsid w:val="00347B9D"/>
    <w:rsid w:val="003511C3"/>
    <w:rsid w:val="00351604"/>
    <w:rsid w:val="00371269"/>
    <w:rsid w:val="00382855"/>
    <w:rsid w:val="003B6701"/>
    <w:rsid w:val="00423EC7"/>
    <w:rsid w:val="004B4361"/>
    <w:rsid w:val="004C1A4A"/>
    <w:rsid w:val="004C3623"/>
    <w:rsid w:val="004D6424"/>
    <w:rsid w:val="004E39CA"/>
    <w:rsid w:val="004F247A"/>
    <w:rsid w:val="00515242"/>
    <w:rsid w:val="00524C7E"/>
    <w:rsid w:val="005352A8"/>
    <w:rsid w:val="0053707B"/>
    <w:rsid w:val="00560C15"/>
    <w:rsid w:val="00570EE8"/>
    <w:rsid w:val="005B2714"/>
    <w:rsid w:val="005B2D6D"/>
    <w:rsid w:val="005E6070"/>
    <w:rsid w:val="00627DED"/>
    <w:rsid w:val="006542DF"/>
    <w:rsid w:val="00684BCB"/>
    <w:rsid w:val="006C17F3"/>
    <w:rsid w:val="006C2D86"/>
    <w:rsid w:val="006E5584"/>
    <w:rsid w:val="00740216"/>
    <w:rsid w:val="00740220"/>
    <w:rsid w:val="00743676"/>
    <w:rsid w:val="00777F56"/>
    <w:rsid w:val="007A2952"/>
    <w:rsid w:val="007D3775"/>
    <w:rsid w:val="007E3072"/>
    <w:rsid w:val="0080150A"/>
    <w:rsid w:val="00814CC3"/>
    <w:rsid w:val="00830130"/>
    <w:rsid w:val="00841C22"/>
    <w:rsid w:val="008439B0"/>
    <w:rsid w:val="008470F2"/>
    <w:rsid w:val="00867250"/>
    <w:rsid w:val="0089112B"/>
    <w:rsid w:val="008B036D"/>
    <w:rsid w:val="008B7C0F"/>
    <w:rsid w:val="008F178E"/>
    <w:rsid w:val="00903E4D"/>
    <w:rsid w:val="00907B46"/>
    <w:rsid w:val="00920C68"/>
    <w:rsid w:val="00921A3D"/>
    <w:rsid w:val="00922B04"/>
    <w:rsid w:val="00957DDE"/>
    <w:rsid w:val="00963C49"/>
    <w:rsid w:val="00965AD6"/>
    <w:rsid w:val="00992E6E"/>
    <w:rsid w:val="009B70A9"/>
    <w:rsid w:val="009C25A5"/>
    <w:rsid w:val="009D39CE"/>
    <w:rsid w:val="00A3548F"/>
    <w:rsid w:val="00A67FCC"/>
    <w:rsid w:val="00AE324A"/>
    <w:rsid w:val="00AF0828"/>
    <w:rsid w:val="00B320A6"/>
    <w:rsid w:val="00B4734A"/>
    <w:rsid w:val="00B51D97"/>
    <w:rsid w:val="00B52DD8"/>
    <w:rsid w:val="00B53ED0"/>
    <w:rsid w:val="00B645E9"/>
    <w:rsid w:val="00B766A4"/>
    <w:rsid w:val="00B83DE5"/>
    <w:rsid w:val="00B91361"/>
    <w:rsid w:val="00BA3C05"/>
    <w:rsid w:val="00BB007D"/>
    <w:rsid w:val="00BC76F4"/>
    <w:rsid w:val="00BE60C3"/>
    <w:rsid w:val="00C20181"/>
    <w:rsid w:val="00C274C7"/>
    <w:rsid w:val="00C42AF1"/>
    <w:rsid w:val="00C71F65"/>
    <w:rsid w:val="00C9647C"/>
    <w:rsid w:val="00CE763B"/>
    <w:rsid w:val="00D23A46"/>
    <w:rsid w:val="00D4548D"/>
    <w:rsid w:val="00D5683F"/>
    <w:rsid w:val="00D67DA5"/>
    <w:rsid w:val="00DA5337"/>
    <w:rsid w:val="00DA5C1F"/>
    <w:rsid w:val="00DA6F0E"/>
    <w:rsid w:val="00DB03AB"/>
    <w:rsid w:val="00DD7CC0"/>
    <w:rsid w:val="00DF7948"/>
    <w:rsid w:val="00E316A6"/>
    <w:rsid w:val="00E42565"/>
    <w:rsid w:val="00E42F2E"/>
    <w:rsid w:val="00E52F0A"/>
    <w:rsid w:val="00E5628D"/>
    <w:rsid w:val="00E66450"/>
    <w:rsid w:val="00E9493E"/>
    <w:rsid w:val="00EA4A79"/>
    <w:rsid w:val="00EB2EFB"/>
    <w:rsid w:val="00EC2644"/>
    <w:rsid w:val="00EC3881"/>
    <w:rsid w:val="00ED025C"/>
    <w:rsid w:val="00EE7BF0"/>
    <w:rsid w:val="00EF70BF"/>
    <w:rsid w:val="00F33DA4"/>
    <w:rsid w:val="00F833D6"/>
    <w:rsid w:val="00F90D1F"/>
    <w:rsid w:val="00F95A7E"/>
    <w:rsid w:val="00FB2931"/>
    <w:rsid w:val="00FE3BE4"/>
    <w:rsid w:val="00FE59C0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locked/>
    <w:rsid w:val="00144C47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144C47"/>
    <w:pPr>
      <w:widowControl w:val="0"/>
      <w:shd w:val="clear" w:color="auto" w:fill="FFFFFF"/>
      <w:overflowPunct/>
      <w:autoSpaceDE/>
      <w:autoSpaceDN/>
      <w:adjustRightInd/>
      <w:spacing w:line="322" w:lineRule="exact"/>
      <w:jc w:val="right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144C47"/>
    <w:rPr>
      <w:rFonts w:ascii="Times New Roman" w:eastAsia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locked/>
    <w:rsid w:val="00144C47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144C47"/>
    <w:pPr>
      <w:widowControl w:val="0"/>
      <w:shd w:val="clear" w:color="auto" w:fill="FFFFFF"/>
      <w:overflowPunct/>
      <w:autoSpaceDE/>
      <w:autoSpaceDN/>
      <w:adjustRightInd/>
      <w:spacing w:line="322" w:lineRule="exact"/>
      <w:jc w:val="right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144C47"/>
    <w:rPr>
      <w:rFonts w:ascii="Times New Roman" w:eastAsia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Терентьева Яна Игоревна</dc:creator>
  <cp:lastModifiedBy>Терентьева Яна Игоревна</cp:lastModifiedBy>
  <cp:revision>25</cp:revision>
  <cp:lastPrinted>2019-04-04T11:54:00Z</cp:lastPrinted>
  <dcterms:created xsi:type="dcterms:W3CDTF">2020-04-12T11:46:00Z</dcterms:created>
  <dcterms:modified xsi:type="dcterms:W3CDTF">2020-04-22T04:06:00Z</dcterms:modified>
</cp:coreProperties>
</file>