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5A5" w:rsidRPr="00AF0828" w:rsidRDefault="009C25A5" w:rsidP="00E316A6">
      <w:pPr>
        <w:spacing w:line="312" w:lineRule="auto"/>
        <w:rPr>
          <w:b/>
          <w:bCs/>
          <w:sz w:val="28"/>
          <w:szCs w:val="28"/>
        </w:rPr>
      </w:pPr>
    </w:p>
    <w:p w:rsidR="00B52DD8" w:rsidRPr="00AF0828" w:rsidRDefault="009B70A9" w:rsidP="005B2D6D">
      <w:pPr>
        <w:spacing w:line="312" w:lineRule="auto"/>
        <w:ind w:lef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Результаты</w:t>
      </w:r>
    </w:p>
    <w:p w:rsidR="00B52DD8" w:rsidRPr="00AF0828" w:rsidRDefault="00B52DD8" w:rsidP="005B2D6D">
      <w:pPr>
        <w:spacing w:line="312" w:lineRule="auto"/>
        <w:ind w:left="567"/>
        <w:jc w:val="center"/>
        <w:rPr>
          <w:b/>
          <w:sz w:val="28"/>
          <w:szCs w:val="28"/>
        </w:rPr>
      </w:pPr>
      <w:r w:rsidRPr="00AF0828">
        <w:rPr>
          <w:b/>
          <w:sz w:val="28"/>
          <w:szCs w:val="28"/>
        </w:rPr>
        <w:t>мониторинг</w:t>
      </w:r>
      <w:r w:rsidR="00347B9D">
        <w:rPr>
          <w:b/>
          <w:sz w:val="28"/>
          <w:szCs w:val="28"/>
        </w:rPr>
        <w:t>а и оценки</w:t>
      </w:r>
      <w:r w:rsidRPr="00AF0828">
        <w:rPr>
          <w:b/>
          <w:sz w:val="28"/>
          <w:szCs w:val="28"/>
        </w:rPr>
        <w:t xml:space="preserve"> качества организации и осуществления</w:t>
      </w:r>
    </w:p>
    <w:p w:rsidR="00B52DD8" w:rsidRPr="00AF0828" w:rsidRDefault="00B52DD8" w:rsidP="005B2D6D">
      <w:pPr>
        <w:spacing w:line="312" w:lineRule="auto"/>
        <w:ind w:left="567"/>
        <w:jc w:val="center"/>
        <w:rPr>
          <w:b/>
          <w:sz w:val="28"/>
          <w:szCs w:val="28"/>
        </w:rPr>
      </w:pPr>
      <w:r w:rsidRPr="00AF0828">
        <w:rPr>
          <w:b/>
          <w:sz w:val="28"/>
          <w:szCs w:val="28"/>
        </w:rPr>
        <w:t xml:space="preserve">бюджетного процесса </w:t>
      </w:r>
      <w:r w:rsidR="006E5584" w:rsidRPr="00AF0828">
        <w:rPr>
          <w:b/>
          <w:sz w:val="28"/>
          <w:szCs w:val="28"/>
        </w:rPr>
        <w:t>органами местного самоуправления поселений</w:t>
      </w:r>
      <w:r w:rsidR="001E34B3" w:rsidRPr="00AF0828">
        <w:rPr>
          <w:b/>
          <w:sz w:val="28"/>
          <w:szCs w:val="28"/>
        </w:rPr>
        <w:t>, входящих в состав Нефтеюганского района</w:t>
      </w:r>
      <w:r w:rsidR="006E5584" w:rsidRPr="00AF0828">
        <w:rPr>
          <w:b/>
          <w:sz w:val="28"/>
          <w:szCs w:val="28"/>
        </w:rPr>
        <w:t xml:space="preserve"> за </w:t>
      </w:r>
      <w:r w:rsidRPr="00AF0828">
        <w:rPr>
          <w:b/>
          <w:sz w:val="28"/>
          <w:szCs w:val="28"/>
        </w:rPr>
        <w:t>201</w:t>
      </w:r>
      <w:r w:rsidR="00343E0D">
        <w:rPr>
          <w:b/>
          <w:sz w:val="28"/>
          <w:szCs w:val="28"/>
        </w:rPr>
        <w:t>8</w:t>
      </w:r>
      <w:r w:rsidR="006E5584" w:rsidRPr="00AF0828">
        <w:rPr>
          <w:b/>
          <w:sz w:val="28"/>
          <w:szCs w:val="28"/>
        </w:rPr>
        <w:t xml:space="preserve"> год</w:t>
      </w:r>
    </w:p>
    <w:p w:rsidR="00B52DD8" w:rsidRPr="00AF0828" w:rsidRDefault="00B52DD8" w:rsidP="005B2D6D">
      <w:pPr>
        <w:spacing w:line="312" w:lineRule="auto"/>
        <w:ind w:left="567"/>
        <w:jc w:val="both"/>
        <w:rPr>
          <w:b/>
          <w:sz w:val="28"/>
          <w:szCs w:val="28"/>
        </w:rPr>
      </w:pPr>
    </w:p>
    <w:p w:rsidR="001A20C7" w:rsidRPr="00AF0828" w:rsidRDefault="00921A3D" w:rsidP="001A20C7">
      <w:pPr>
        <w:spacing w:line="312" w:lineRule="auto"/>
        <w:ind w:left="567" w:firstLine="709"/>
        <w:jc w:val="both"/>
        <w:rPr>
          <w:sz w:val="28"/>
          <w:szCs w:val="28"/>
        </w:rPr>
      </w:pPr>
      <w:proofErr w:type="gramStart"/>
      <w:r w:rsidRPr="00AF0828">
        <w:rPr>
          <w:sz w:val="28"/>
          <w:szCs w:val="28"/>
        </w:rPr>
        <w:t xml:space="preserve">Согласно Решению Думы Нефтеюганского района от </w:t>
      </w:r>
      <w:r w:rsidR="00343E0D">
        <w:rPr>
          <w:sz w:val="28"/>
          <w:szCs w:val="28"/>
        </w:rPr>
        <w:t>28</w:t>
      </w:r>
      <w:r w:rsidRPr="00AF0828">
        <w:rPr>
          <w:sz w:val="28"/>
          <w:szCs w:val="28"/>
        </w:rPr>
        <w:t>.11.201</w:t>
      </w:r>
      <w:r w:rsidR="00343E0D">
        <w:rPr>
          <w:sz w:val="28"/>
          <w:szCs w:val="28"/>
        </w:rPr>
        <w:t>8</w:t>
      </w:r>
      <w:r w:rsidRPr="00AF0828">
        <w:rPr>
          <w:sz w:val="28"/>
          <w:szCs w:val="28"/>
        </w:rPr>
        <w:t xml:space="preserve"> № </w:t>
      </w:r>
      <w:r w:rsidR="00343E0D">
        <w:rPr>
          <w:sz w:val="28"/>
          <w:szCs w:val="28"/>
        </w:rPr>
        <w:t>29</w:t>
      </w:r>
      <w:r w:rsidRPr="00AF0828">
        <w:rPr>
          <w:sz w:val="28"/>
          <w:szCs w:val="28"/>
        </w:rPr>
        <w:t>9</w:t>
      </w:r>
      <w:r w:rsidR="00144C47">
        <w:rPr>
          <w:sz w:val="28"/>
          <w:szCs w:val="28"/>
        </w:rPr>
        <w:t xml:space="preserve">        </w:t>
      </w:r>
      <w:r w:rsidRPr="00AF0828">
        <w:rPr>
          <w:sz w:val="28"/>
          <w:szCs w:val="28"/>
        </w:rPr>
        <w:t xml:space="preserve"> «О бюджете Нефтеюганского района на 201</w:t>
      </w:r>
      <w:r w:rsidR="00343E0D">
        <w:rPr>
          <w:sz w:val="28"/>
          <w:szCs w:val="28"/>
        </w:rPr>
        <w:t>9</w:t>
      </w:r>
      <w:r w:rsidRPr="00AF0828">
        <w:rPr>
          <w:sz w:val="28"/>
          <w:szCs w:val="28"/>
        </w:rPr>
        <w:t xml:space="preserve"> год и плановый период 20</w:t>
      </w:r>
      <w:r w:rsidR="00343E0D">
        <w:rPr>
          <w:sz w:val="28"/>
          <w:szCs w:val="28"/>
        </w:rPr>
        <w:t>20</w:t>
      </w:r>
      <w:r w:rsidRPr="00AF0828">
        <w:rPr>
          <w:sz w:val="28"/>
          <w:szCs w:val="28"/>
        </w:rPr>
        <w:t xml:space="preserve"> и 202</w:t>
      </w:r>
      <w:r w:rsidR="00343E0D">
        <w:rPr>
          <w:sz w:val="28"/>
          <w:szCs w:val="28"/>
        </w:rPr>
        <w:t>1</w:t>
      </w:r>
      <w:r w:rsidRPr="00AF0828">
        <w:rPr>
          <w:sz w:val="28"/>
          <w:szCs w:val="28"/>
        </w:rPr>
        <w:t xml:space="preserve"> годов» </w:t>
      </w:r>
      <w:r w:rsidR="001A20C7" w:rsidRPr="00AF0828">
        <w:rPr>
          <w:sz w:val="28"/>
          <w:szCs w:val="28"/>
        </w:rPr>
        <w:t xml:space="preserve"> в расходах бюджета муниципального образования Нефтеюганский район предусмотрена дотация </w:t>
      </w:r>
      <w:r w:rsidR="00DF7948">
        <w:rPr>
          <w:sz w:val="28"/>
          <w:szCs w:val="28"/>
        </w:rPr>
        <w:t>за достижение наиболее высоких</w:t>
      </w:r>
      <w:r w:rsidR="001A20C7" w:rsidRPr="00AF0828">
        <w:rPr>
          <w:sz w:val="28"/>
          <w:szCs w:val="28"/>
        </w:rPr>
        <w:t xml:space="preserve"> показателей качества организации и осуществления бюджетного процесса органами местного самоуправления поселений, входящих в состав Неф</w:t>
      </w:r>
      <w:r w:rsidR="00144C47">
        <w:rPr>
          <w:sz w:val="28"/>
          <w:szCs w:val="28"/>
        </w:rPr>
        <w:t xml:space="preserve">теюганского района в сумме </w:t>
      </w:r>
      <w:r w:rsidR="00DF7948">
        <w:rPr>
          <w:sz w:val="28"/>
          <w:szCs w:val="28"/>
        </w:rPr>
        <w:t xml:space="preserve">      </w:t>
      </w:r>
      <w:r w:rsidR="00343E0D">
        <w:rPr>
          <w:sz w:val="28"/>
          <w:szCs w:val="28"/>
        </w:rPr>
        <w:t>2</w:t>
      </w:r>
      <w:r w:rsidR="001A20C7" w:rsidRPr="00AF0828">
        <w:rPr>
          <w:sz w:val="28"/>
          <w:szCs w:val="28"/>
        </w:rPr>
        <w:t xml:space="preserve"> </w:t>
      </w:r>
      <w:r w:rsidR="00343E0D">
        <w:rPr>
          <w:sz w:val="28"/>
          <w:szCs w:val="28"/>
        </w:rPr>
        <w:t>000</w:t>
      </w:r>
      <w:r w:rsidR="001A20C7" w:rsidRPr="00AF0828">
        <w:rPr>
          <w:sz w:val="28"/>
          <w:szCs w:val="28"/>
        </w:rPr>
        <w:t>,0 тыс. рублей.</w:t>
      </w:r>
      <w:proofErr w:type="gramEnd"/>
    </w:p>
    <w:p w:rsidR="00921A3D" w:rsidRPr="00AF0828" w:rsidRDefault="001A20C7" w:rsidP="001A20C7">
      <w:pPr>
        <w:spacing w:line="312" w:lineRule="auto"/>
        <w:ind w:left="567" w:firstLine="709"/>
        <w:jc w:val="both"/>
        <w:rPr>
          <w:sz w:val="28"/>
          <w:szCs w:val="28"/>
        </w:rPr>
      </w:pPr>
      <w:r w:rsidRPr="00AF0828">
        <w:rPr>
          <w:sz w:val="28"/>
          <w:szCs w:val="28"/>
        </w:rPr>
        <w:t xml:space="preserve">В соответствии с постановлением администрации Нефтеюганского района от 15.05.2017 № 753-па «О порядке проведения мониторинга и оценки качества организации и осуществления бюджетного процесса органами местного самоуправления поселений, входящих в состав Нефтеюганского района» (далее-порядок) был проведен мониторинг </w:t>
      </w:r>
      <w:r w:rsidR="002D3835">
        <w:rPr>
          <w:sz w:val="28"/>
          <w:szCs w:val="28"/>
        </w:rPr>
        <w:t>и</w:t>
      </w:r>
      <w:r w:rsidRPr="00AF0828">
        <w:rPr>
          <w:sz w:val="28"/>
          <w:szCs w:val="28"/>
        </w:rPr>
        <w:t xml:space="preserve"> оценк</w:t>
      </w:r>
      <w:r w:rsidR="002D3835">
        <w:rPr>
          <w:sz w:val="28"/>
          <w:szCs w:val="28"/>
        </w:rPr>
        <w:t>а</w:t>
      </w:r>
      <w:r w:rsidRPr="00AF0828">
        <w:rPr>
          <w:sz w:val="28"/>
          <w:szCs w:val="28"/>
        </w:rPr>
        <w:t xml:space="preserve"> качества организ</w:t>
      </w:r>
      <w:r w:rsidR="002D3835">
        <w:rPr>
          <w:sz w:val="28"/>
          <w:szCs w:val="28"/>
        </w:rPr>
        <w:t xml:space="preserve">ации и осуществления бюджетного процесса </w:t>
      </w:r>
      <w:r w:rsidR="002D3835">
        <w:rPr>
          <w:bCs/>
          <w:sz w:val="28"/>
          <w:szCs w:val="28"/>
        </w:rPr>
        <w:t xml:space="preserve">органами местного </w:t>
      </w:r>
      <w:r w:rsidR="00DB03AB" w:rsidRPr="00DB03AB">
        <w:rPr>
          <w:bCs/>
          <w:sz w:val="28"/>
          <w:szCs w:val="28"/>
        </w:rPr>
        <w:t>самоуправления поселений, входящих в состав Нефтеюганского района</w:t>
      </w:r>
      <w:r w:rsidR="00DB03AB" w:rsidRPr="00DB03AB">
        <w:rPr>
          <w:sz w:val="28"/>
          <w:szCs w:val="28"/>
        </w:rPr>
        <w:t xml:space="preserve"> </w:t>
      </w:r>
      <w:r w:rsidRPr="00AF0828">
        <w:rPr>
          <w:sz w:val="28"/>
          <w:szCs w:val="28"/>
        </w:rPr>
        <w:t>за 201</w:t>
      </w:r>
      <w:r w:rsidR="00B4734A">
        <w:rPr>
          <w:sz w:val="28"/>
          <w:szCs w:val="28"/>
        </w:rPr>
        <w:t>8</w:t>
      </w:r>
      <w:r w:rsidRPr="00AF0828">
        <w:rPr>
          <w:sz w:val="28"/>
          <w:szCs w:val="28"/>
        </w:rPr>
        <w:t xml:space="preserve"> год</w:t>
      </w:r>
      <w:r w:rsidR="00083A68" w:rsidRPr="00AF0828">
        <w:rPr>
          <w:sz w:val="28"/>
          <w:szCs w:val="28"/>
        </w:rPr>
        <w:t xml:space="preserve">. </w:t>
      </w:r>
    </w:p>
    <w:p w:rsidR="00AF0828" w:rsidRPr="00AF0828" w:rsidRDefault="00B52DD8" w:rsidP="00144C47">
      <w:pPr>
        <w:spacing w:line="312" w:lineRule="auto"/>
        <w:ind w:left="567" w:firstLine="709"/>
        <w:jc w:val="both"/>
        <w:rPr>
          <w:sz w:val="28"/>
          <w:szCs w:val="28"/>
        </w:rPr>
      </w:pPr>
      <w:r w:rsidRPr="00AF0828">
        <w:rPr>
          <w:sz w:val="28"/>
          <w:szCs w:val="28"/>
        </w:rPr>
        <w:t xml:space="preserve">В результате проведенного мониторинга и оценки качества организации и осуществления бюджетного процесса, сформирован рейтинг по итоговой </w:t>
      </w:r>
      <w:r w:rsidR="001503EE" w:rsidRPr="00AF0828">
        <w:rPr>
          <w:sz w:val="28"/>
          <w:szCs w:val="28"/>
        </w:rPr>
        <w:t>с</w:t>
      </w:r>
      <w:r w:rsidRPr="00AF0828">
        <w:rPr>
          <w:sz w:val="28"/>
          <w:szCs w:val="28"/>
        </w:rPr>
        <w:t>водной оценке.</w:t>
      </w:r>
    </w:p>
    <w:tbl>
      <w:tblPr>
        <w:tblW w:w="113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0"/>
      </w:tblGrid>
      <w:tr w:rsidR="008B7C0F" w:rsidRPr="00AF0828" w:rsidTr="00144C47">
        <w:trPr>
          <w:trHeight w:val="930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072" w:rsidRDefault="007E3072" w:rsidP="00144C47">
            <w:pPr>
              <w:overflowPunct/>
              <w:autoSpaceDE/>
              <w:autoSpaceDN/>
              <w:adjustRightInd/>
              <w:rPr>
                <w:b/>
                <w:bCs/>
                <w:sz w:val="28"/>
                <w:szCs w:val="28"/>
                <w:lang w:eastAsia="ru-RU"/>
              </w:rPr>
            </w:pPr>
          </w:p>
          <w:p w:rsidR="007E3072" w:rsidRDefault="007E3072" w:rsidP="00144C47">
            <w:pPr>
              <w:overflowPunct/>
              <w:autoSpaceDE/>
              <w:autoSpaceDN/>
              <w:adjustRightInd/>
              <w:rPr>
                <w:b/>
                <w:bCs/>
                <w:sz w:val="28"/>
                <w:szCs w:val="28"/>
                <w:lang w:eastAsia="ru-RU"/>
              </w:rPr>
            </w:pPr>
          </w:p>
          <w:p w:rsidR="007E3072" w:rsidRDefault="007E3072" w:rsidP="00144C47">
            <w:pPr>
              <w:overflowPunct/>
              <w:autoSpaceDE/>
              <w:autoSpaceDN/>
              <w:adjustRightInd/>
              <w:rPr>
                <w:b/>
                <w:bCs/>
                <w:sz w:val="28"/>
                <w:szCs w:val="28"/>
                <w:lang w:eastAsia="ru-RU"/>
              </w:rPr>
            </w:pPr>
          </w:p>
          <w:p w:rsidR="00144C47" w:rsidRPr="00144C47" w:rsidRDefault="00144C47" w:rsidP="00144C47">
            <w:pPr>
              <w:ind w:left="709"/>
              <w:jc w:val="center"/>
              <w:rPr>
                <w:sz w:val="28"/>
                <w:szCs w:val="28"/>
              </w:rPr>
            </w:pPr>
            <w:r w:rsidRPr="00144C47">
              <w:rPr>
                <w:sz w:val="28"/>
                <w:szCs w:val="28"/>
              </w:rPr>
              <w:t>Сводная оценка качества организации</w:t>
            </w:r>
          </w:p>
          <w:p w:rsidR="00144C47" w:rsidRPr="00144C47" w:rsidRDefault="00144C47" w:rsidP="00144C47">
            <w:pPr>
              <w:ind w:left="709"/>
              <w:jc w:val="center"/>
              <w:rPr>
                <w:sz w:val="28"/>
                <w:szCs w:val="28"/>
              </w:rPr>
            </w:pPr>
            <w:r w:rsidRPr="00144C47">
              <w:rPr>
                <w:sz w:val="28"/>
                <w:szCs w:val="28"/>
              </w:rPr>
              <w:t>и осуществления бюджетного процесса органами местного самоуправления поселений, входящих в состав Нефтеюганского района за 201</w:t>
            </w:r>
            <w:r w:rsidR="00B4734A">
              <w:rPr>
                <w:sz w:val="28"/>
                <w:szCs w:val="28"/>
              </w:rPr>
              <w:t>8</w:t>
            </w:r>
            <w:r w:rsidRPr="00144C47">
              <w:rPr>
                <w:sz w:val="28"/>
                <w:szCs w:val="28"/>
              </w:rPr>
              <w:t xml:space="preserve"> год</w:t>
            </w:r>
          </w:p>
          <w:p w:rsidR="00144C47" w:rsidRDefault="00144C47" w:rsidP="00921A3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144C47" w:rsidRDefault="00144C47" w:rsidP="00921A3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W w:w="111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2297"/>
              <w:gridCol w:w="1134"/>
              <w:gridCol w:w="1701"/>
              <w:gridCol w:w="1418"/>
              <w:gridCol w:w="993"/>
              <w:gridCol w:w="958"/>
              <w:gridCol w:w="850"/>
              <w:gridCol w:w="1388"/>
            </w:tblGrid>
            <w:tr w:rsidR="00144C47" w:rsidRPr="00144C47" w:rsidTr="00144C47">
              <w:trPr>
                <w:trHeight w:val="1484"/>
              </w:trPr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:rsidR="00144C47" w:rsidRPr="00144C47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b/>
                      <w:bCs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2297" w:type="dxa"/>
                  <w:shd w:val="clear" w:color="auto" w:fill="auto"/>
                  <w:vAlign w:val="center"/>
                  <w:hideMark/>
                </w:tcPr>
                <w:p w:rsidR="00144C47" w:rsidRPr="00144C47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bCs/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bCs/>
                      <w:sz w:val="26"/>
                      <w:szCs w:val="26"/>
                      <w:lang w:eastAsia="ru-RU"/>
                    </w:rPr>
                    <w:t>Поселения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144C47" w:rsidRPr="00144C47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bCs/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bCs/>
                      <w:sz w:val="26"/>
                      <w:szCs w:val="26"/>
                      <w:lang w:eastAsia="ru-RU"/>
                    </w:rPr>
                    <w:t>Сводная оценка качества (</w:t>
                  </w:r>
                  <w:proofErr w:type="spellStart"/>
                  <w:r w:rsidRPr="00144C47">
                    <w:rPr>
                      <w:bCs/>
                      <w:sz w:val="26"/>
                      <w:szCs w:val="26"/>
                      <w:lang w:eastAsia="ru-RU"/>
                    </w:rPr>
                    <w:t>СОК</w:t>
                  </w:r>
                  <w:proofErr w:type="gramStart"/>
                  <w:r w:rsidRPr="00144C47">
                    <w:rPr>
                      <w:bCs/>
                      <w:sz w:val="26"/>
                      <w:szCs w:val="26"/>
                      <w:lang w:eastAsia="ru-RU"/>
                    </w:rPr>
                    <w:t>j</w:t>
                  </w:r>
                  <w:proofErr w:type="spellEnd"/>
                  <w:proofErr w:type="gramEnd"/>
                  <w:r w:rsidRPr="00144C47">
                    <w:rPr>
                      <w:bCs/>
                      <w:sz w:val="26"/>
                      <w:szCs w:val="26"/>
                      <w:lang w:eastAsia="ru-RU"/>
                    </w:rPr>
                    <w:t>)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144C47" w:rsidRPr="00144C47" w:rsidRDefault="00144C47" w:rsidP="00144C47">
                  <w:pPr>
                    <w:tabs>
                      <w:tab w:val="left" w:pos="1759"/>
                    </w:tabs>
                    <w:overflowPunct/>
                    <w:autoSpaceDE/>
                    <w:autoSpaceDN/>
                    <w:adjustRightInd/>
                    <w:jc w:val="center"/>
                    <w:rPr>
                      <w:bCs/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bCs/>
                      <w:sz w:val="26"/>
                      <w:szCs w:val="26"/>
                      <w:lang w:eastAsia="ru-RU"/>
                    </w:rPr>
                    <w:t xml:space="preserve">Количество </w:t>
                  </w:r>
                  <w:proofErr w:type="gramStart"/>
                  <w:r w:rsidRPr="00144C47">
                    <w:rPr>
                      <w:bCs/>
                      <w:sz w:val="26"/>
                      <w:szCs w:val="26"/>
                      <w:lang w:eastAsia="ru-RU"/>
                    </w:rPr>
                    <w:t>несоответ-ствия</w:t>
                  </w:r>
                  <w:proofErr w:type="gramEnd"/>
                  <w:r w:rsidRPr="00144C47">
                    <w:rPr>
                      <w:bCs/>
                      <w:sz w:val="26"/>
                      <w:szCs w:val="26"/>
                      <w:lang w:eastAsia="ru-RU"/>
                    </w:rPr>
                    <w:t xml:space="preserve"> индикато-ров соблюдения требований бюджетного законодательства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144C47" w:rsidRPr="00144C47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bCs/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bCs/>
                      <w:sz w:val="26"/>
                      <w:szCs w:val="26"/>
                      <w:lang w:eastAsia="ru-RU"/>
                    </w:rPr>
                    <w:t>Итоговая сводная оценка</w:t>
                  </w:r>
                </w:p>
              </w:tc>
              <w:tc>
                <w:tcPr>
                  <w:tcW w:w="993" w:type="dxa"/>
                  <w:shd w:val="clear" w:color="000000" w:fill="FFCC99"/>
                  <w:vAlign w:val="center"/>
                  <w:hideMark/>
                </w:tcPr>
                <w:p w:rsidR="00144C47" w:rsidRPr="00144C47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bCs/>
                      <w:sz w:val="26"/>
                      <w:szCs w:val="26"/>
                      <w:lang w:eastAsia="ru-RU"/>
                    </w:rPr>
                  </w:pPr>
                  <w:proofErr w:type="gramStart"/>
                  <w:r w:rsidRPr="00144C47">
                    <w:rPr>
                      <w:bCs/>
                      <w:sz w:val="26"/>
                      <w:szCs w:val="26"/>
                      <w:lang w:eastAsia="ru-RU"/>
                    </w:rPr>
                    <w:t>Рейтинг по итоговой сводной оценки</w:t>
                  </w:r>
                  <w:proofErr w:type="gramEnd"/>
                </w:p>
              </w:tc>
              <w:tc>
                <w:tcPr>
                  <w:tcW w:w="958" w:type="dxa"/>
                  <w:shd w:val="clear" w:color="auto" w:fill="auto"/>
                  <w:vAlign w:val="center"/>
                  <w:hideMark/>
                </w:tcPr>
                <w:p w:rsidR="00144C47" w:rsidRPr="00144C47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bCs/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bCs/>
                      <w:sz w:val="26"/>
                      <w:szCs w:val="26"/>
                      <w:lang w:eastAsia="ru-RU"/>
                    </w:rPr>
                    <w:t>Среднее значение сводной оценки качества (</w:t>
                  </w:r>
                  <w:proofErr w:type="spellStart"/>
                  <w:r w:rsidRPr="00144C47">
                    <w:rPr>
                      <w:bCs/>
                      <w:sz w:val="26"/>
                      <w:szCs w:val="26"/>
                      <w:lang w:eastAsia="ru-RU"/>
                    </w:rPr>
                    <w:t>СОКс</w:t>
                  </w:r>
                  <w:r w:rsidRPr="00144C47">
                    <w:rPr>
                      <w:bCs/>
                      <w:sz w:val="26"/>
                      <w:szCs w:val="26"/>
                      <w:lang w:eastAsia="ru-RU"/>
                    </w:rPr>
                    <w:lastRenderedPageBreak/>
                    <w:t>р</w:t>
                  </w:r>
                  <w:proofErr w:type="spellEnd"/>
                  <w:r w:rsidRPr="00144C47">
                    <w:rPr>
                      <w:bCs/>
                      <w:sz w:val="26"/>
                      <w:szCs w:val="26"/>
                      <w:lang w:eastAsia="ru-RU"/>
                    </w:rPr>
                    <w:t>)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144C47" w:rsidRPr="00144C47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bCs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144C47">
                    <w:rPr>
                      <w:bCs/>
                      <w:sz w:val="26"/>
                      <w:szCs w:val="26"/>
                      <w:lang w:eastAsia="ru-RU"/>
                    </w:rPr>
                    <w:lastRenderedPageBreak/>
                    <w:t>СОК</w:t>
                  </w:r>
                  <w:proofErr w:type="gramStart"/>
                  <w:r w:rsidRPr="00144C47">
                    <w:rPr>
                      <w:bCs/>
                      <w:sz w:val="26"/>
                      <w:szCs w:val="26"/>
                      <w:lang w:eastAsia="ru-RU"/>
                    </w:rPr>
                    <w:t>j</w:t>
                  </w:r>
                  <w:proofErr w:type="gramEnd"/>
                  <w:r w:rsidRPr="00144C47">
                    <w:rPr>
                      <w:bCs/>
                      <w:sz w:val="26"/>
                      <w:szCs w:val="26"/>
                      <w:lang w:eastAsia="ru-RU"/>
                    </w:rPr>
                    <w:t>-СОКср</w:t>
                  </w:r>
                  <w:proofErr w:type="spellEnd"/>
                </w:p>
              </w:tc>
              <w:tc>
                <w:tcPr>
                  <w:tcW w:w="1388" w:type="dxa"/>
                  <w:shd w:val="clear" w:color="000000" w:fill="CCFFFF"/>
                  <w:vAlign w:val="center"/>
                  <w:hideMark/>
                </w:tcPr>
                <w:p w:rsidR="00144C47" w:rsidRPr="00144C47" w:rsidRDefault="00144C47" w:rsidP="003B6701">
                  <w:pPr>
                    <w:overflowPunct/>
                    <w:autoSpaceDE/>
                    <w:autoSpaceDN/>
                    <w:adjustRightInd/>
                    <w:jc w:val="center"/>
                    <w:rPr>
                      <w:bCs/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bCs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3B6701">
                    <w:rPr>
                      <w:bCs/>
                      <w:sz w:val="26"/>
                      <w:szCs w:val="26"/>
                      <w:lang w:eastAsia="ru-RU"/>
                    </w:rPr>
                    <w:t>Дотация</w:t>
                  </w:r>
                  <w:r w:rsidRPr="00144C47">
                    <w:rPr>
                      <w:bCs/>
                      <w:sz w:val="26"/>
                      <w:szCs w:val="26"/>
                      <w:lang w:eastAsia="ru-RU"/>
                    </w:rPr>
                    <w:t xml:space="preserve">, тыс. рублей  </w:t>
                  </w:r>
                </w:p>
              </w:tc>
            </w:tr>
            <w:tr w:rsidR="00144C47" w:rsidRPr="00144C47" w:rsidTr="00144C47">
              <w:trPr>
                <w:trHeight w:val="115"/>
              </w:trPr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:rsidR="00144C47" w:rsidRPr="00144C47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sz w:val="26"/>
                      <w:szCs w:val="26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144C47" w:rsidRPr="00144C47" w:rsidRDefault="00144C47" w:rsidP="00144C47">
                  <w:pPr>
                    <w:overflowPunct/>
                    <w:autoSpaceDE/>
                    <w:autoSpaceDN/>
                    <w:adjustRightInd/>
                    <w:rPr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sz w:val="26"/>
                      <w:szCs w:val="26"/>
                      <w:lang w:eastAsia="ru-RU"/>
                    </w:rPr>
                    <w:t>г.п. Пойковский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144C47" w:rsidRPr="00B4734A" w:rsidRDefault="00144C47" w:rsidP="002C0CD6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 w:rsidRPr="00B320A6">
                    <w:rPr>
                      <w:sz w:val="26"/>
                      <w:szCs w:val="26"/>
                      <w:lang w:eastAsia="ru-RU"/>
                    </w:rPr>
                    <w:t>8</w:t>
                  </w:r>
                  <w:r w:rsidR="00B320A6" w:rsidRPr="00B320A6">
                    <w:rPr>
                      <w:sz w:val="26"/>
                      <w:szCs w:val="26"/>
                      <w:lang w:eastAsia="ru-RU"/>
                    </w:rPr>
                    <w:t>7</w:t>
                  </w:r>
                  <w:r w:rsidRPr="00B320A6">
                    <w:rPr>
                      <w:sz w:val="26"/>
                      <w:szCs w:val="26"/>
                      <w:lang w:eastAsia="ru-RU"/>
                    </w:rPr>
                    <w:t>,</w:t>
                  </w:r>
                  <w:r w:rsidR="00B320A6" w:rsidRPr="00B320A6">
                    <w:rPr>
                      <w:sz w:val="26"/>
                      <w:szCs w:val="26"/>
                      <w:lang w:eastAsia="ru-RU"/>
                    </w:rPr>
                    <w:t>2</w:t>
                  </w:r>
                  <w:r w:rsidR="001A5DF2">
                    <w:rPr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144C47" w:rsidRPr="00FB2931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 w:rsidRPr="00FB2931">
                    <w:rPr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144C47" w:rsidRPr="00B4734A" w:rsidRDefault="00267D03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87,2</w:t>
                  </w:r>
                  <w:r w:rsidR="001A5DF2">
                    <w:rPr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  <w:tc>
                <w:tcPr>
                  <w:tcW w:w="993" w:type="dxa"/>
                  <w:shd w:val="clear" w:color="000000" w:fill="FFCC99"/>
                  <w:noWrap/>
                  <w:vAlign w:val="bottom"/>
                  <w:hideMark/>
                </w:tcPr>
                <w:p w:rsidR="00144C47" w:rsidRPr="00B4734A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 w:rsidRPr="00B320A6">
                    <w:rPr>
                      <w:sz w:val="26"/>
                      <w:szCs w:val="26"/>
                      <w:lang w:eastAsia="ru-RU"/>
                    </w:rPr>
                    <w:t>1</w:t>
                  </w:r>
                </w:p>
              </w:tc>
              <w:tc>
                <w:tcPr>
                  <w:tcW w:w="958" w:type="dxa"/>
                  <w:shd w:val="clear" w:color="auto" w:fill="auto"/>
                  <w:noWrap/>
                  <w:vAlign w:val="bottom"/>
                  <w:hideMark/>
                </w:tcPr>
                <w:p w:rsidR="00144C47" w:rsidRPr="00B4734A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 w:rsidRPr="00B4734A">
                    <w:rPr>
                      <w:color w:val="FF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144C47" w:rsidRPr="004C1A4A" w:rsidRDefault="00144C47" w:rsidP="004C1A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 w:rsidRPr="004C1A4A">
                    <w:rPr>
                      <w:sz w:val="26"/>
                      <w:szCs w:val="26"/>
                      <w:lang w:eastAsia="ru-RU"/>
                    </w:rPr>
                    <w:t>7,</w:t>
                  </w:r>
                  <w:r w:rsidR="004C1A4A" w:rsidRPr="004C1A4A">
                    <w:rPr>
                      <w:sz w:val="26"/>
                      <w:szCs w:val="26"/>
                      <w:lang w:eastAsia="ru-RU"/>
                    </w:rPr>
                    <w:t>0</w:t>
                  </w:r>
                  <w:r w:rsidR="0032754F">
                    <w:rPr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  <w:tc>
                <w:tcPr>
                  <w:tcW w:w="1388" w:type="dxa"/>
                  <w:shd w:val="clear" w:color="000000" w:fill="CCFFFF"/>
                  <w:noWrap/>
                  <w:vAlign w:val="bottom"/>
                  <w:hideMark/>
                </w:tcPr>
                <w:p w:rsidR="00144C47" w:rsidRPr="00B4734A" w:rsidRDefault="00B51D97" w:rsidP="00144C47">
                  <w:pPr>
                    <w:overflowPunct/>
                    <w:autoSpaceDE/>
                    <w:autoSpaceDN/>
                    <w:adjustRightInd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color w:val="FF0000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B51D97">
                    <w:rPr>
                      <w:sz w:val="26"/>
                      <w:szCs w:val="26"/>
                      <w:lang w:eastAsia="ru-RU"/>
                    </w:rPr>
                    <w:t>719,596</w:t>
                  </w:r>
                </w:p>
              </w:tc>
            </w:tr>
            <w:tr w:rsidR="00144C47" w:rsidRPr="00144C47" w:rsidTr="00144C47">
              <w:trPr>
                <w:trHeight w:val="158"/>
              </w:trPr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:rsidR="00144C47" w:rsidRPr="00144C47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144C47" w:rsidRPr="00144C47" w:rsidRDefault="00B320A6" w:rsidP="00144C47">
                  <w:pPr>
                    <w:overflowPunct/>
                    <w:autoSpaceDE/>
                    <w:autoSpaceDN/>
                    <w:adjustRightInd/>
                    <w:rPr>
                      <w:sz w:val="26"/>
                      <w:szCs w:val="26"/>
                      <w:lang w:eastAsia="ru-RU"/>
                    </w:rPr>
                  </w:pPr>
                  <w:r w:rsidRPr="00B320A6">
                    <w:rPr>
                      <w:sz w:val="26"/>
                      <w:szCs w:val="26"/>
                      <w:lang w:eastAsia="ru-RU"/>
                    </w:rPr>
                    <w:t>с.п. Каркатеевы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144C47" w:rsidRPr="00B4734A" w:rsidRDefault="00B320A6" w:rsidP="002C0CD6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 w:rsidRPr="00B320A6">
                    <w:rPr>
                      <w:sz w:val="26"/>
                      <w:szCs w:val="26"/>
                      <w:lang w:eastAsia="ru-RU"/>
                    </w:rPr>
                    <w:t>84</w:t>
                  </w:r>
                  <w:r w:rsidR="00144C47" w:rsidRPr="00B320A6">
                    <w:rPr>
                      <w:sz w:val="26"/>
                      <w:szCs w:val="26"/>
                      <w:lang w:eastAsia="ru-RU"/>
                    </w:rPr>
                    <w:t>,</w:t>
                  </w:r>
                  <w:r w:rsidRPr="00B320A6">
                    <w:rPr>
                      <w:sz w:val="26"/>
                      <w:szCs w:val="26"/>
                      <w:lang w:eastAsia="ru-RU"/>
                    </w:rPr>
                    <w:t>0</w:t>
                  </w:r>
                  <w:r w:rsidR="001A5DF2">
                    <w:rPr>
                      <w:sz w:val="26"/>
                      <w:szCs w:val="26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144C47" w:rsidRPr="00FB2931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 w:rsidRPr="00FB2931">
                    <w:rPr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144C47" w:rsidRPr="00B4734A" w:rsidRDefault="00267D03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84,0</w:t>
                  </w:r>
                  <w:r w:rsidR="001A5DF2">
                    <w:rPr>
                      <w:sz w:val="26"/>
                      <w:szCs w:val="26"/>
                      <w:lang w:eastAsia="ru-RU"/>
                    </w:rPr>
                    <w:t>1</w:t>
                  </w:r>
                </w:p>
              </w:tc>
              <w:tc>
                <w:tcPr>
                  <w:tcW w:w="993" w:type="dxa"/>
                  <w:shd w:val="clear" w:color="000000" w:fill="FFCC99"/>
                  <w:noWrap/>
                  <w:vAlign w:val="bottom"/>
                  <w:hideMark/>
                </w:tcPr>
                <w:p w:rsidR="00144C47" w:rsidRPr="00B4734A" w:rsidRDefault="00B83DE5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 w:rsidRPr="00B83DE5">
                    <w:rPr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  <w:tc>
                <w:tcPr>
                  <w:tcW w:w="958" w:type="dxa"/>
                  <w:shd w:val="clear" w:color="auto" w:fill="auto"/>
                  <w:noWrap/>
                  <w:vAlign w:val="bottom"/>
                  <w:hideMark/>
                </w:tcPr>
                <w:p w:rsidR="00144C47" w:rsidRPr="00B4734A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 w:rsidRPr="00B4734A">
                    <w:rPr>
                      <w:color w:val="FF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144C47" w:rsidRPr="004C1A4A" w:rsidRDefault="004C1A4A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 w:rsidRPr="004C1A4A">
                    <w:rPr>
                      <w:sz w:val="26"/>
                      <w:szCs w:val="26"/>
                      <w:lang w:eastAsia="ru-RU"/>
                    </w:rPr>
                    <w:t>3,8</w:t>
                  </w:r>
                  <w:r w:rsidR="0032754F">
                    <w:rPr>
                      <w:sz w:val="26"/>
                      <w:szCs w:val="26"/>
                      <w:lang w:eastAsia="ru-RU"/>
                    </w:rPr>
                    <w:t>1</w:t>
                  </w:r>
                </w:p>
              </w:tc>
              <w:tc>
                <w:tcPr>
                  <w:tcW w:w="1388" w:type="dxa"/>
                  <w:shd w:val="clear" w:color="000000" w:fill="CCFFFF"/>
                  <w:noWrap/>
                  <w:vAlign w:val="bottom"/>
                  <w:hideMark/>
                </w:tcPr>
                <w:p w:rsidR="00144C47" w:rsidRPr="00B4734A" w:rsidRDefault="00B51D97" w:rsidP="00B51D97">
                  <w:pPr>
                    <w:overflowPunct/>
                    <w:autoSpaceDE/>
                    <w:autoSpaceDN/>
                    <w:adjustRightInd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 w:rsidRPr="00B51D97">
                    <w:rPr>
                      <w:sz w:val="26"/>
                      <w:szCs w:val="26"/>
                      <w:lang w:eastAsia="ru-RU"/>
                    </w:rPr>
                    <w:t xml:space="preserve"> 390,638</w:t>
                  </w:r>
                </w:p>
              </w:tc>
            </w:tr>
            <w:tr w:rsidR="00144C47" w:rsidRPr="00144C47" w:rsidTr="00144C47">
              <w:trPr>
                <w:trHeight w:val="204"/>
              </w:trPr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:rsidR="00144C47" w:rsidRPr="00144C47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sz w:val="26"/>
                      <w:szCs w:val="26"/>
                      <w:lang w:eastAsia="ru-RU"/>
                    </w:rPr>
                    <w:t>3</w:t>
                  </w:r>
                </w:p>
              </w:tc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144C47" w:rsidRPr="00144C47" w:rsidRDefault="00144C47" w:rsidP="00144C47">
                  <w:pPr>
                    <w:overflowPunct/>
                    <w:autoSpaceDE/>
                    <w:autoSpaceDN/>
                    <w:adjustRightInd/>
                    <w:rPr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sz w:val="26"/>
                      <w:szCs w:val="26"/>
                      <w:lang w:eastAsia="ru-RU"/>
                    </w:rPr>
                    <w:t>с.п. Куть-Ях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144C47" w:rsidRPr="00B4734A" w:rsidRDefault="00B83DE5" w:rsidP="002C0CD6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 w:rsidRPr="00B83DE5">
                    <w:rPr>
                      <w:sz w:val="26"/>
                      <w:szCs w:val="26"/>
                      <w:lang w:eastAsia="ru-RU"/>
                    </w:rPr>
                    <w:t>83</w:t>
                  </w:r>
                  <w:r w:rsidR="00144C47" w:rsidRPr="00B83DE5">
                    <w:rPr>
                      <w:sz w:val="26"/>
                      <w:szCs w:val="26"/>
                      <w:lang w:eastAsia="ru-RU"/>
                    </w:rPr>
                    <w:t>,</w:t>
                  </w:r>
                  <w:r w:rsidRPr="00B83DE5">
                    <w:rPr>
                      <w:sz w:val="26"/>
                      <w:szCs w:val="26"/>
                      <w:lang w:eastAsia="ru-RU"/>
                    </w:rPr>
                    <w:t>7</w:t>
                  </w:r>
                  <w:r w:rsidR="001A5DF2">
                    <w:rPr>
                      <w:sz w:val="26"/>
                      <w:szCs w:val="26"/>
                      <w:lang w:eastAsia="ru-RU"/>
                    </w:rPr>
                    <w:t>4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144C47" w:rsidRPr="00FB2931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 w:rsidRPr="00FB2931">
                    <w:rPr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144C47" w:rsidRPr="00B4734A" w:rsidRDefault="00144C47" w:rsidP="00144C47">
                  <w:pPr>
                    <w:overflowPunct/>
                    <w:autoSpaceDE/>
                    <w:autoSpaceDN/>
                    <w:adjustRightInd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 w:rsidRPr="00B4734A">
                    <w:rPr>
                      <w:color w:val="FF0000"/>
                      <w:sz w:val="26"/>
                      <w:szCs w:val="26"/>
                      <w:lang w:eastAsia="ru-RU"/>
                    </w:rPr>
                    <w:t xml:space="preserve">   </w:t>
                  </w:r>
                  <w:r w:rsidR="00B83DE5">
                    <w:rPr>
                      <w:color w:val="FF0000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32754F">
                    <w:rPr>
                      <w:color w:val="FF0000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267D03">
                    <w:rPr>
                      <w:sz w:val="26"/>
                      <w:szCs w:val="26"/>
                      <w:lang w:eastAsia="ru-RU"/>
                    </w:rPr>
                    <w:t>83,7</w:t>
                  </w:r>
                  <w:r w:rsidR="001A5DF2">
                    <w:rPr>
                      <w:sz w:val="26"/>
                      <w:szCs w:val="26"/>
                      <w:lang w:eastAsia="ru-RU"/>
                    </w:rPr>
                    <w:t>4</w:t>
                  </w:r>
                </w:p>
              </w:tc>
              <w:tc>
                <w:tcPr>
                  <w:tcW w:w="993" w:type="dxa"/>
                  <w:shd w:val="clear" w:color="000000" w:fill="FFCC99"/>
                  <w:noWrap/>
                  <w:vAlign w:val="bottom"/>
                  <w:hideMark/>
                </w:tcPr>
                <w:p w:rsidR="00144C47" w:rsidRPr="00B4734A" w:rsidRDefault="00B83DE5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 w:rsidRPr="00B83DE5">
                    <w:rPr>
                      <w:sz w:val="26"/>
                      <w:szCs w:val="26"/>
                      <w:lang w:eastAsia="ru-RU"/>
                    </w:rPr>
                    <w:t>3</w:t>
                  </w:r>
                </w:p>
              </w:tc>
              <w:tc>
                <w:tcPr>
                  <w:tcW w:w="958" w:type="dxa"/>
                  <w:shd w:val="clear" w:color="auto" w:fill="auto"/>
                  <w:noWrap/>
                  <w:vAlign w:val="bottom"/>
                  <w:hideMark/>
                </w:tcPr>
                <w:p w:rsidR="00144C47" w:rsidRPr="00B4734A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 w:rsidRPr="00B4734A">
                    <w:rPr>
                      <w:color w:val="FF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144C47" w:rsidRPr="004C1A4A" w:rsidRDefault="004C1A4A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 w:rsidRPr="004C1A4A">
                    <w:rPr>
                      <w:sz w:val="26"/>
                      <w:szCs w:val="26"/>
                      <w:lang w:eastAsia="ru-RU"/>
                    </w:rPr>
                    <w:t>3,5</w:t>
                  </w:r>
                  <w:r w:rsidR="0032754F">
                    <w:rPr>
                      <w:sz w:val="26"/>
                      <w:szCs w:val="26"/>
                      <w:lang w:eastAsia="ru-RU"/>
                    </w:rPr>
                    <w:t>4</w:t>
                  </w:r>
                </w:p>
              </w:tc>
              <w:tc>
                <w:tcPr>
                  <w:tcW w:w="1388" w:type="dxa"/>
                  <w:shd w:val="clear" w:color="000000" w:fill="CCFFFF"/>
                  <w:noWrap/>
                  <w:vAlign w:val="bottom"/>
                  <w:hideMark/>
                </w:tcPr>
                <w:p w:rsidR="00144C47" w:rsidRPr="00B4734A" w:rsidRDefault="00B51D97" w:rsidP="00B51D97">
                  <w:pPr>
                    <w:overflowPunct/>
                    <w:autoSpaceDE/>
                    <w:autoSpaceDN/>
                    <w:adjustRightInd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color w:val="FF0000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B51D97">
                    <w:rPr>
                      <w:sz w:val="26"/>
                      <w:szCs w:val="26"/>
                      <w:lang w:eastAsia="ru-RU"/>
                    </w:rPr>
                    <w:t>362,818</w:t>
                  </w:r>
                </w:p>
              </w:tc>
            </w:tr>
            <w:tr w:rsidR="00144C47" w:rsidRPr="00144C47" w:rsidTr="00144C47">
              <w:trPr>
                <w:trHeight w:val="154"/>
              </w:trPr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:rsidR="00144C47" w:rsidRPr="00144C47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sz w:val="26"/>
                      <w:szCs w:val="26"/>
                      <w:lang w:eastAsia="ru-RU"/>
                    </w:rPr>
                    <w:t>4</w:t>
                  </w:r>
                </w:p>
              </w:tc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144C47" w:rsidRPr="00144C47" w:rsidRDefault="00B83DE5" w:rsidP="00144C47">
                  <w:pPr>
                    <w:overflowPunct/>
                    <w:autoSpaceDE/>
                    <w:autoSpaceDN/>
                    <w:adjustRightInd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с.п. Салым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144C47" w:rsidRPr="00B4734A" w:rsidRDefault="00B83DE5" w:rsidP="002C0CD6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 w:rsidRPr="00B83DE5">
                    <w:rPr>
                      <w:sz w:val="26"/>
                      <w:szCs w:val="26"/>
                      <w:lang w:eastAsia="ru-RU"/>
                    </w:rPr>
                    <w:t>82</w:t>
                  </w:r>
                  <w:r w:rsidR="00144C47" w:rsidRPr="00B83DE5">
                    <w:rPr>
                      <w:sz w:val="26"/>
                      <w:szCs w:val="26"/>
                      <w:lang w:eastAsia="ru-RU"/>
                    </w:rPr>
                    <w:t>,</w:t>
                  </w:r>
                  <w:r w:rsidR="002C0CD6">
                    <w:rPr>
                      <w:sz w:val="26"/>
                      <w:szCs w:val="26"/>
                      <w:lang w:eastAsia="ru-RU"/>
                    </w:rPr>
                    <w:t>8</w:t>
                  </w:r>
                  <w:r w:rsidR="001A5DF2">
                    <w:rPr>
                      <w:sz w:val="26"/>
                      <w:szCs w:val="26"/>
                      <w:lang w:eastAsia="ru-RU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144C47" w:rsidRPr="00FB2931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 w:rsidRPr="00FB2931">
                    <w:rPr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144C47" w:rsidRPr="00B4734A" w:rsidRDefault="00267D03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82,8</w:t>
                  </w:r>
                  <w:r w:rsidR="001A5DF2">
                    <w:rPr>
                      <w:sz w:val="26"/>
                      <w:szCs w:val="26"/>
                      <w:lang w:eastAsia="ru-RU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000000" w:fill="FFCC99"/>
                  <w:noWrap/>
                  <w:vAlign w:val="bottom"/>
                  <w:hideMark/>
                </w:tcPr>
                <w:p w:rsidR="00144C47" w:rsidRPr="00B4734A" w:rsidRDefault="00B83DE5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 w:rsidRPr="00B83DE5">
                    <w:rPr>
                      <w:sz w:val="26"/>
                      <w:szCs w:val="26"/>
                      <w:lang w:eastAsia="ru-RU"/>
                    </w:rPr>
                    <w:t>4</w:t>
                  </w:r>
                </w:p>
              </w:tc>
              <w:tc>
                <w:tcPr>
                  <w:tcW w:w="958" w:type="dxa"/>
                  <w:shd w:val="clear" w:color="auto" w:fill="auto"/>
                  <w:noWrap/>
                  <w:vAlign w:val="bottom"/>
                  <w:hideMark/>
                </w:tcPr>
                <w:p w:rsidR="00144C47" w:rsidRPr="00B4734A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 w:rsidRPr="00B4734A">
                    <w:rPr>
                      <w:color w:val="FF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144C47" w:rsidRPr="004C1A4A" w:rsidRDefault="004C1A4A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 w:rsidRPr="004C1A4A">
                    <w:rPr>
                      <w:sz w:val="26"/>
                      <w:szCs w:val="26"/>
                      <w:lang w:eastAsia="ru-RU"/>
                    </w:rPr>
                    <w:t>2,6</w:t>
                  </w:r>
                  <w:r w:rsidR="0032754F">
                    <w:rPr>
                      <w:sz w:val="26"/>
                      <w:szCs w:val="26"/>
                      <w:lang w:eastAsia="ru-RU"/>
                    </w:rPr>
                    <w:t>0</w:t>
                  </w:r>
                </w:p>
              </w:tc>
              <w:tc>
                <w:tcPr>
                  <w:tcW w:w="1388" w:type="dxa"/>
                  <w:shd w:val="clear" w:color="000000" w:fill="CCFFFF"/>
                  <w:noWrap/>
                  <w:vAlign w:val="bottom"/>
                  <w:hideMark/>
                </w:tcPr>
                <w:p w:rsidR="00144C47" w:rsidRPr="00B4734A" w:rsidRDefault="00B51D97" w:rsidP="00B51D97">
                  <w:pPr>
                    <w:overflowPunct/>
                    <w:autoSpaceDE/>
                    <w:autoSpaceDN/>
                    <w:adjustRightInd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color w:val="FF0000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B51D97">
                    <w:rPr>
                      <w:sz w:val="26"/>
                      <w:szCs w:val="26"/>
                      <w:lang w:eastAsia="ru-RU"/>
                    </w:rPr>
                    <w:t>265,930</w:t>
                  </w:r>
                </w:p>
              </w:tc>
            </w:tr>
            <w:tr w:rsidR="00144C47" w:rsidRPr="00144C47" w:rsidTr="00144C47">
              <w:trPr>
                <w:trHeight w:val="199"/>
              </w:trPr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:rsidR="00144C47" w:rsidRPr="00144C47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sz w:val="26"/>
                      <w:szCs w:val="26"/>
                      <w:lang w:eastAsia="ru-RU"/>
                    </w:rPr>
                    <w:t>5</w:t>
                  </w:r>
                </w:p>
              </w:tc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144C47" w:rsidRPr="00144C47" w:rsidRDefault="00144C47" w:rsidP="00B83DE5">
                  <w:pPr>
                    <w:overflowPunct/>
                    <w:autoSpaceDE/>
                    <w:autoSpaceDN/>
                    <w:adjustRightInd/>
                    <w:rPr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sz w:val="26"/>
                      <w:szCs w:val="26"/>
                      <w:lang w:eastAsia="ru-RU"/>
                    </w:rPr>
                    <w:t xml:space="preserve">с.п. </w:t>
                  </w:r>
                  <w:r w:rsidR="00B83DE5">
                    <w:rPr>
                      <w:sz w:val="26"/>
                      <w:szCs w:val="26"/>
                      <w:lang w:eastAsia="ru-RU"/>
                    </w:rPr>
                    <w:t>Усть-Юган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144C47" w:rsidRPr="00B4734A" w:rsidRDefault="00B83DE5" w:rsidP="002C0CD6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 w:rsidRPr="00B83DE5">
                    <w:rPr>
                      <w:sz w:val="26"/>
                      <w:szCs w:val="26"/>
                      <w:lang w:eastAsia="ru-RU"/>
                    </w:rPr>
                    <w:t>82</w:t>
                  </w:r>
                  <w:r w:rsidR="00144C47" w:rsidRPr="00B83DE5">
                    <w:rPr>
                      <w:sz w:val="26"/>
                      <w:szCs w:val="26"/>
                      <w:lang w:eastAsia="ru-RU"/>
                    </w:rPr>
                    <w:t>,</w:t>
                  </w:r>
                  <w:r w:rsidR="001A5DF2" w:rsidRPr="001A5DF2">
                    <w:rPr>
                      <w:sz w:val="26"/>
                      <w:szCs w:val="26"/>
                      <w:lang w:eastAsia="ru-RU"/>
                    </w:rPr>
                    <w:t>75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144C47" w:rsidRPr="00FB2931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 w:rsidRPr="00FB2931">
                    <w:rPr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144C47" w:rsidRPr="00B4734A" w:rsidRDefault="001A5DF2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82,75</w:t>
                  </w:r>
                </w:p>
              </w:tc>
              <w:tc>
                <w:tcPr>
                  <w:tcW w:w="993" w:type="dxa"/>
                  <w:shd w:val="clear" w:color="000000" w:fill="FFCC99"/>
                  <w:noWrap/>
                  <w:vAlign w:val="bottom"/>
                  <w:hideMark/>
                </w:tcPr>
                <w:p w:rsidR="00144C47" w:rsidRPr="00B4734A" w:rsidRDefault="00B83DE5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 w:rsidRPr="00B83DE5">
                    <w:rPr>
                      <w:sz w:val="26"/>
                      <w:szCs w:val="26"/>
                      <w:lang w:eastAsia="ru-RU"/>
                    </w:rPr>
                    <w:t>5</w:t>
                  </w:r>
                </w:p>
              </w:tc>
              <w:tc>
                <w:tcPr>
                  <w:tcW w:w="958" w:type="dxa"/>
                  <w:shd w:val="clear" w:color="auto" w:fill="auto"/>
                  <w:noWrap/>
                  <w:vAlign w:val="bottom"/>
                  <w:hideMark/>
                </w:tcPr>
                <w:p w:rsidR="00144C47" w:rsidRPr="00B4734A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 w:rsidRPr="00B4734A">
                    <w:rPr>
                      <w:color w:val="FF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144C47" w:rsidRPr="004C1A4A" w:rsidRDefault="004C1A4A" w:rsidP="004C1A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 w:rsidRPr="004C1A4A">
                    <w:rPr>
                      <w:sz w:val="26"/>
                      <w:szCs w:val="26"/>
                      <w:lang w:eastAsia="ru-RU"/>
                    </w:rPr>
                    <w:t>2,</w:t>
                  </w:r>
                  <w:r w:rsidR="0032754F">
                    <w:rPr>
                      <w:sz w:val="26"/>
                      <w:szCs w:val="26"/>
                      <w:lang w:eastAsia="ru-RU"/>
                    </w:rPr>
                    <w:t>55</w:t>
                  </w:r>
                </w:p>
              </w:tc>
              <w:tc>
                <w:tcPr>
                  <w:tcW w:w="1388" w:type="dxa"/>
                  <w:shd w:val="clear" w:color="000000" w:fill="CCFFFF"/>
                  <w:noWrap/>
                  <w:vAlign w:val="bottom"/>
                  <w:hideMark/>
                </w:tcPr>
                <w:p w:rsidR="00144C47" w:rsidRPr="00B4734A" w:rsidRDefault="00B51D97" w:rsidP="00B51D97">
                  <w:pPr>
                    <w:overflowPunct/>
                    <w:autoSpaceDE/>
                    <w:autoSpaceDN/>
                    <w:adjustRightInd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color w:val="FF0000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B51D97">
                    <w:rPr>
                      <w:sz w:val="26"/>
                      <w:szCs w:val="26"/>
                      <w:lang w:eastAsia="ru-RU"/>
                    </w:rPr>
                    <w:t>261,018</w:t>
                  </w:r>
                </w:p>
              </w:tc>
            </w:tr>
            <w:tr w:rsidR="00144C47" w:rsidRPr="00144C47" w:rsidTr="00144C47">
              <w:trPr>
                <w:trHeight w:val="90"/>
              </w:trPr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:rsidR="00144C47" w:rsidRPr="00144C47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sz w:val="26"/>
                      <w:szCs w:val="26"/>
                      <w:lang w:eastAsia="ru-RU"/>
                    </w:rPr>
                    <w:t>6</w:t>
                  </w:r>
                </w:p>
              </w:tc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144C47" w:rsidRPr="00144C47" w:rsidRDefault="00144C47" w:rsidP="00B83DE5">
                  <w:pPr>
                    <w:overflowPunct/>
                    <w:autoSpaceDE/>
                    <w:autoSpaceDN/>
                    <w:adjustRightInd/>
                    <w:rPr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sz w:val="26"/>
                      <w:szCs w:val="26"/>
                      <w:lang w:eastAsia="ru-RU"/>
                    </w:rPr>
                    <w:t xml:space="preserve">с.п. </w:t>
                  </w:r>
                  <w:r w:rsidR="00B83DE5">
                    <w:rPr>
                      <w:sz w:val="26"/>
                      <w:szCs w:val="26"/>
                      <w:lang w:eastAsia="ru-RU"/>
                    </w:rPr>
                    <w:t>Сентябрьский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144C47" w:rsidRPr="00B4734A" w:rsidRDefault="00144C47" w:rsidP="002C0CD6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 w:rsidRPr="00B83DE5">
                    <w:rPr>
                      <w:sz w:val="26"/>
                      <w:szCs w:val="26"/>
                      <w:lang w:eastAsia="ru-RU"/>
                    </w:rPr>
                    <w:t>7</w:t>
                  </w:r>
                  <w:r w:rsidR="00B83DE5" w:rsidRPr="00B83DE5">
                    <w:rPr>
                      <w:sz w:val="26"/>
                      <w:szCs w:val="26"/>
                      <w:lang w:eastAsia="ru-RU"/>
                    </w:rPr>
                    <w:t>7</w:t>
                  </w:r>
                  <w:r w:rsidRPr="00B83DE5">
                    <w:rPr>
                      <w:sz w:val="26"/>
                      <w:szCs w:val="26"/>
                      <w:lang w:eastAsia="ru-RU"/>
                    </w:rPr>
                    <w:t>,3</w:t>
                  </w:r>
                  <w:r w:rsidR="001A5DF2">
                    <w:rPr>
                      <w:sz w:val="26"/>
                      <w:szCs w:val="26"/>
                      <w:lang w:eastAsia="ru-RU"/>
                    </w:rPr>
                    <w:t>4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144C47" w:rsidRPr="00FB2931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 w:rsidRPr="00FB2931">
                    <w:rPr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144C47" w:rsidRPr="00B4734A" w:rsidRDefault="00267D03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77,3</w:t>
                  </w:r>
                  <w:r w:rsidR="001A5DF2">
                    <w:rPr>
                      <w:sz w:val="26"/>
                      <w:szCs w:val="26"/>
                      <w:lang w:eastAsia="ru-RU"/>
                    </w:rPr>
                    <w:t>4</w:t>
                  </w:r>
                </w:p>
              </w:tc>
              <w:tc>
                <w:tcPr>
                  <w:tcW w:w="993" w:type="dxa"/>
                  <w:shd w:val="clear" w:color="000000" w:fill="FFCC99"/>
                  <w:noWrap/>
                  <w:vAlign w:val="bottom"/>
                  <w:hideMark/>
                </w:tcPr>
                <w:p w:rsidR="00144C47" w:rsidRPr="00B4734A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 w:rsidRPr="00B83DE5">
                    <w:rPr>
                      <w:sz w:val="26"/>
                      <w:szCs w:val="26"/>
                      <w:lang w:eastAsia="ru-RU"/>
                    </w:rPr>
                    <w:t>6</w:t>
                  </w:r>
                </w:p>
              </w:tc>
              <w:tc>
                <w:tcPr>
                  <w:tcW w:w="958" w:type="dxa"/>
                  <w:shd w:val="clear" w:color="auto" w:fill="auto"/>
                  <w:noWrap/>
                  <w:vAlign w:val="bottom"/>
                  <w:hideMark/>
                </w:tcPr>
                <w:p w:rsidR="00144C47" w:rsidRPr="00B4734A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 w:rsidRPr="00B4734A">
                    <w:rPr>
                      <w:color w:val="FF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144C47" w:rsidRPr="004C1A4A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 w:rsidRPr="004C1A4A">
                    <w:rPr>
                      <w:sz w:val="26"/>
                      <w:szCs w:val="26"/>
                      <w:lang w:eastAsia="ru-RU"/>
                    </w:rPr>
                    <w:t> 0,0</w:t>
                  </w:r>
                </w:p>
              </w:tc>
              <w:tc>
                <w:tcPr>
                  <w:tcW w:w="1388" w:type="dxa"/>
                  <w:shd w:val="clear" w:color="000000" w:fill="CCFFFF"/>
                  <w:noWrap/>
                  <w:vAlign w:val="bottom"/>
                  <w:hideMark/>
                </w:tcPr>
                <w:p w:rsidR="00144C47" w:rsidRPr="00B51D97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 w:rsidRPr="00B51D97">
                    <w:rPr>
                      <w:sz w:val="26"/>
                      <w:szCs w:val="26"/>
                      <w:lang w:eastAsia="ru-RU"/>
                    </w:rPr>
                    <w:t>-</w:t>
                  </w:r>
                </w:p>
              </w:tc>
            </w:tr>
            <w:tr w:rsidR="00144C47" w:rsidRPr="00144C47" w:rsidTr="00144C47">
              <w:trPr>
                <w:trHeight w:val="135"/>
              </w:trPr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:rsidR="00144C47" w:rsidRPr="00144C47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sz w:val="26"/>
                      <w:szCs w:val="26"/>
                      <w:lang w:eastAsia="ru-RU"/>
                    </w:rPr>
                    <w:t>7</w:t>
                  </w:r>
                </w:p>
              </w:tc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144C47" w:rsidRPr="00144C47" w:rsidRDefault="00144C47" w:rsidP="00B83DE5">
                  <w:pPr>
                    <w:overflowPunct/>
                    <w:autoSpaceDE/>
                    <w:autoSpaceDN/>
                    <w:adjustRightInd/>
                    <w:rPr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sz w:val="26"/>
                      <w:szCs w:val="26"/>
                      <w:lang w:eastAsia="ru-RU"/>
                    </w:rPr>
                    <w:t>с.п. С</w:t>
                  </w:r>
                  <w:r w:rsidR="00B83DE5">
                    <w:rPr>
                      <w:sz w:val="26"/>
                      <w:szCs w:val="26"/>
                      <w:lang w:eastAsia="ru-RU"/>
                    </w:rPr>
                    <w:t>ингапай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144C47" w:rsidRPr="00B4734A" w:rsidRDefault="00144C47" w:rsidP="002C0CD6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 w:rsidRPr="00B83DE5">
                    <w:rPr>
                      <w:sz w:val="26"/>
                      <w:szCs w:val="26"/>
                      <w:lang w:eastAsia="ru-RU"/>
                    </w:rPr>
                    <w:t>7</w:t>
                  </w:r>
                  <w:r w:rsidR="001A5DF2">
                    <w:rPr>
                      <w:sz w:val="26"/>
                      <w:szCs w:val="26"/>
                      <w:lang w:eastAsia="ru-RU"/>
                    </w:rPr>
                    <w:t>5,98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144C47" w:rsidRPr="00FB2931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 w:rsidRPr="00FB2931">
                    <w:rPr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144C47" w:rsidRPr="00B4734A" w:rsidRDefault="001A5DF2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75,98</w:t>
                  </w:r>
                </w:p>
              </w:tc>
              <w:tc>
                <w:tcPr>
                  <w:tcW w:w="993" w:type="dxa"/>
                  <w:shd w:val="clear" w:color="000000" w:fill="FFCC99"/>
                  <w:noWrap/>
                  <w:vAlign w:val="bottom"/>
                  <w:hideMark/>
                </w:tcPr>
                <w:p w:rsidR="00144C47" w:rsidRPr="00B4734A" w:rsidRDefault="00B83DE5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 w:rsidRPr="00B83DE5">
                    <w:rPr>
                      <w:sz w:val="26"/>
                      <w:szCs w:val="26"/>
                      <w:lang w:eastAsia="ru-RU"/>
                    </w:rPr>
                    <w:t>7</w:t>
                  </w:r>
                </w:p>
              </w:tc>
              <w:tc>
                <w:tcPr>
                  <w:tcW w:w="958" w:type="dxa"/>
                  <w:shd w:val="clear" w:color="auto" w:fill="auto"/>
                  <w:noWrap/>
                  <w:vAlign w:val="bottom"/>
                  <w:hideMark/>
                </w:tcPr>
                <w:p w:rsidR="00144C47" w:rsidRPr="00B4734A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 w:rsidRPr="00B4734A">
                    <w:rPr>
                      <w:color w:val="FF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144C47" w:rsidRPr="004C1A4A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 w:rsidRPr="004C1A4A">
                    <w:rPr>
                      <w:sz w:val="26"/>
                      <w:szCs w:val="26"/>
                      <w:lang w:eastAsia="ru-RU"/>
                    </w:rPr>
                    <w:t xml:space="preserve"> 0,0</w:t>
                  </w:r>
                </w:p>
              </w:tc>
              <w:tc>
                <w:tcPr>
                  <w:tcW w:w="1388" w:type="dxa"/>
                  <w:shd w:val="clear" w:color="000000" w:fill="CCFFFF"/>
                  <w:noWrap/>
                  <w:vAlign w:val="bottom"/>
                  <w:hideMark/>
                </w:tcPr>
                <w:p w:rsidR="00144C47" w:rsidRPr="00B51D97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 w:rsidRPr="00B51D97">
                    <w:rPr>
                      <w:sz w:val="26"/>
                      <w:szCs w:val="26"/>
                      <w:lang w:eastAsia="ru-RU"/>
                    </w:rPr>
                    <w:t>-</w:t>
                  </w:r>
                </w:p>
              </w:tc>
            </w:tr>
            <w:tr w:rsidR="00144C47" w:rsidRPr="00144C47" w:rsidTr="00144C47">
              <w:trPr>
                <w:trHeight w:val="397"/>
              </w:trPr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:rsidR="00144C47" w:rsidRPr="00144C47" w:rsidRDefault="00144C47" w:rsidP="00144C47">
                  <w:pPr>
                    <w:overflowPunct/>
                    <w:autoSpaceDE/>
                    <w:autoSpaceDN/>
                    <w:adjustRightInd/>
                    <w:rPr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sz w:val="26"/>
                      <w:szCs w:val="26"/>
                      <w:lang w:eastAsia="ru-RU"/>
                    </w:rPr>
                    <w:t xml:space="preserve"> 8</w:t>
                  </w:r>
                </w:p>
              </w:tc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144C47" w:rsidRPr="00144C47" w:rsidRDefault="00144C47" w:rsidP="00B83DE5">
                  <w:pPr>
                    <w:overflowPunct/>
                    <w:autoSpaceDE/>
                    <w:autoSpaceDN/>
                    <w:adjustRightInd/>
                    <w:rPr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sz w:val="26"/>
                      <w:szCs w:val="26"/>
                      <w:lang w:eastAsia="ru-RU"/>
                    </w:rPr>
                    <w:t xml:space="preserve">с.п. </w:t>
                  </w:r>
                  <w:r w:rsidR="00B83DE5">
                    <w:rPr>
                      <w:sz w:val="26"/>
                      <w:szCs w:val="26"/>
                      <w:lang w:eastAsia="ru-RU"/>
                    </w:rPr>
                    <w:t>Лемпино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144C47" w:rsidRPr="00B4734A" w:rsidRDefault="00B83DE5" w:rsidP="002C0CD6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 w:rsidRPr="00B83DE5">
                    <w:rPr>
                      <w:sz w:val="26"/>
                      <w:szCs w:val="26"/>
                      <w:lang w:eastAsia="ru-RU"/>
                    </w:rPr>
                    <w:t>67</w:t>
                  </w:r>
                  <w:r w:rsidR="00144C47" w:rsidRPr="00B83DE5">
                    <w:rPr>
                      <w:sz w:val="26"/>
                      <w:szCs w:val="26"/>
                      <w:lang w:eastAsia="ru-RU"/>
                    </w:rPr>
                    <w:t>,</w:t>
                  </w:r>
                  <w:r w:rsidR="001A5DF2">
                    <w:rPr>
                      <w:sz w:val="26"/>
                      <w:szCs w:val="26"/>
                      <w:lang w:eastAsia="ru-RU"/>
                    </w:rPr>
                    <w:t>75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144C47" w:rsidRPr="00FB2931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 w:rsidRPr="00FB2931">
                    <w:rPr>
                      <w:sz w:val="26"/>
                      <w:szCs w:val="2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144C47" w:rsidRPr="00B4734A" w:rsidRDefault="001A5DF2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67,75</w:t>
                  </w:r>
                </w:p>
              </w:tc>
              <w:tc>
                <w:tcPr>
                  <w:tcW w:w="993" w:type="dxa"/>
                  <w:shd w:val="clear" w:color="000000" w:fill="FFCC99"/>
                  <w:noWrap/>
                  <w:vAlign w:val="bottom"/>
                  <w:hideMark/>
                </w:tcPr>
                <w:p w:rsidR="00144C47" w:rsidRPr="00B4734A" w:rsidRDefault="00B83DE5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 w:rsidRPr="00B83DE5">
                    <w:rPr>
                      <w:sz w:val="26"/>
                      <w:szCs w:val="26"/>
                      <w:lang w:eastAsia="ru-RU"/>
                    </w:rPr>
                    <w:t>8</w:t>
                  </w:r>
                </w:p>
              </w:tc>
              <w:tc>
                <w:tcPr>
                  <w:tcW w:w="958" w:type="dxa"/>
                  <w:shd w:val="clear" w:color="auto" w:fill="auto"/>
                  <w:noWrap/>
                  <w:vAlign w:val="bottom"/>
                  <w:hideMark/>
                </w:tcPr>
                <w:p w:rsidR="00144C47" w:rsidRPr="00B4734A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color w:val="FF0000"/>
                      <w:sz w:val="26"/>
                      <w:szCs w:val="26"/>
                      <w:lang w:eastAsia="ru-RU"/>
                    </w:rPr>
                  </w:pPr>
                  <w:r w:rsidRPr="00B4734A">
                    <w:rPr>
                      <w:color w:val="FF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144C47" w:rsidRPr="004C1A4A" w:rsidRDefault="00144C47" w:rsidP="004C1A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 w:rsidRPr="004C1A4A">
                    <w:rPr>
                      <w:sz w:val="26"/>
                      <w:szCs w:val="26"/>
                      <w:lang w:eastAsia="ru-RU"/>
                    </w:rPr>
                    <w:t> </w:t>
                  </w:r>
                  <w:r w:rsidR="004C1A4A" w:rsidRPr="004C1A4A">
                    <w:rPr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1388" w:type="dxa"/>
                  <w:shd w:val="clear" w:color="000000" w:fill="CCFFFF"/>
                  <w:noWrap/>
                  <w:vAlign w:val="bottom"/>
                  <w:hideMark/>
                </w:tcPr>
                <w:p w:rsidR="00144C47" w:rsidRPr="00B51D97" w:rsidRDefault="00144C47" w:rsidP="00B51D97">
                  <w:pPr>
                    <w:overflowPunct/>
                    <w:autoSpaceDE/>
                    <w:autoSpaceDN/>
                    <w:adjustRightInd/>
                    <w:rPr>
                      <w:sz w:val="26"/>
                      <w:szCs w:val="26"/>
                      <w:lang w:eastAsia="ru-RU"/>
                    </w:rPr>
                  </w:pPr>
                  <w:r w:rsidRPr="00B51D97">
                    <w:rPr>
                      <w:sz w:val="26"/>
                      <w:szCs w:val="26"/>
                      <w:lang w:eastAsia="ru-RU"/>
                    </w:rPr>
                    <w:t xml:space="preserve">     </w:t>
                  </w:r>
                  <w:r w:rsidR="00B51D97" w:rsidRPr="00B51D97">
                    <w:rPr>
                      <w:sz w:val="26"/>
                      <w:szCs w:val="26"/>
                      <w:lang w:eastAsia="ru-RU"/>
                    </w:rPr>
                    <w:t xml:space="preserve">   -</w:t>
                  </w:r>
                </w:p>
              </w:tc>
            </w:tr>
            <w:tr w:rsidR="00144C47" w:rsidRPr="00144C47" w:rsidTr="00144C47">
              <w:trPr>
                <w:trHeight w:val="405"/>
              </w:trPr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:rsidR="00144C47" w:rsidRPr="00144C47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144C47" w:rsidRPr="00144C47" w:rsidRDefault="00144C47" w:rsidP="00144C47">
                  <w:pPr>
                    <w:overflowPunct/>
                    <w:autoSpaceDE/>
                    <w:autoSpaceDN/>
                    <w:adjustRightInd/>
                    <w:rPr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144C47">
                    <w:rPr>
                      <w:b/>
                      <w:bCs/>
                      <w:sz w:val="26"/>
                      <w:szCs w:val="26"/>
                      <w:lang w:eastAsia="ru-RU"/>
                    </w:rPr>
                    <w:t>ИТОГО: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144C47" w:rsidRPr="00B4734A" w:rsidRDefault="001A5DF2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b/>
                      <w:bCs/>
                      <w:sz w:val="26"/>
                      <w:szCs w:val="26"/>
                      <w:lang w:eastAsia="ru-RU"/>
                    </w:rPr>
                    <w:t>641,59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144C47" w:rsidRPr="00FB2931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FB2931">
                    <w:rPr>
                      <w:b/>
                      <w:bCs/>
                      <w:sz w:val="26"/>
                      <w:szCs w:val="26"/>
                      <w:lang w:eastAsia="ru-RU"/>
                    </w:rPr>
                    <w:t>0,0 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144C47" w:rsidRPr="00B4734A" w:rsidRDefault="001A5DF2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b/>
                      <w:bCs/>
                      <w:sz w:val="26"/>
                      <w:szCs w:val="26"/>
                      <w:lang w:eastAsia="ru-RU"/>
                    </w:rPr>
                    <w:t>641,59</w:t>
                  </w:r>
                </w:p>
              </w:tc>
              <w:tc>
                <w:tcPr>
                  <w:tcW w:w="993" w:type="dxa"/>
                  <w:shd w:val="clear" w:color="000000" w:fill="FFCC99"/>
                  <w:noWrap/>
                  <w:vAlign w:val="bottom"/>
                  <w:hideMark/>
                </w:tcPr>
                <w:p w:rsidR="00144C47" w:rsidRPr="00B4734A" w:rsidRDefault="00144C4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FF0000"/>
                      <w:sz w:val="26"/>
                      <w:szCs w:val="26"/>
                      <w:lang w:eastAsia="ru-RU"/>
                    </w:rPr>
                  </w:pPr>
                  <w:r w:rsidRPr="00B4734A">
                    <w:rPr>
                      <w:b/>
                      <w:bCs/>
                      <w:color w:val="FF0000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958" w:type="dxa"/>
                  <w:shd w:val="clear" w:color="auto" w:fill="auto"/>
                  <w:noWrap/>
                  <w:vAlign w:val="bottom"/>
                  <w:hideMark/>
                </w:tcPr>
                <w:p w:rsidR="00144C47" w:rsidRPr="00B4734A" w:rsidRDefault="004C1A4A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FF0000"/>
                      <w:sz w:val="26"/>
                      <w:szCs w:val="26"/>
                      <w:lang w:eastAsia="ru-RU"/>
                    </w:rPr>
                  </w:pPr>
                  <w:r w:rsidRPr="004C1A4A">
                    <w:rPr>
                      <w:b/>
                      <w:bCs/>
                      <w:sz w:val="26"/>
                      <w:szCs w:val="26"/>
                      <w:lang w:eastAsia="ru-RU"/>
                    </w:rPr>
                    <w:t>80,2</w:t>
                  </w:r>
                  <w:r w:rsidR="0032754F">
                    <w:rPr>
                      <w:b/>
                      <w:bCs/>
                      <w:sz w:val="26"/>
                      <w:szCs w:val="26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144C47" w:rsidRPr="004C1A4A" w:rsidRDefault="004C1A4A" w:rsidP="00144C47">
                  <w:pPr>
                    <w:overflowPunct/>
                    <w:autoSpaceDE/>
                    <w:autoSpaceDN/>
                    <w:adjustRightInd/>
                    <w:rPr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4C1A4A">
                    <w:rPr>
                      <w:b/>
                      <w:bCs/>
                      <w:sz w:val="26"/>
                      <w:szCs w:val="26"/>
                      <w:lang w:eastAsia="ru-RU"/>
                    </w:rPr>
                    <w:t xml:space="preserve">   19</w:t>
                  </w:r>
                  <w:r w:rsidR="00144C47" w:rsidRPr="004C1A4A">
                    <w:rPr>
                      <w:b/>
                      <w:bCs/>
                      <w:sz w:val="26"/>
                      <w:szCs w:val="26"/>
                      <w:lang w:eastAsia="ru-RU"/>
                    </w:rPr>
                    <w:t>,5</w:t>
                  </w:r>
                  <w:r w:rsidR="0032754F">
                    <w:rPr>
                      <w:b/>
                      <w:bCs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  <w:tc>
                <w:tcPr>
                  <w:tcW w:w="1388" w:type="dxa"/>
                  <w:shd w:val="clear" w:color="000000" w:fill="CCFFFF"/>
                  <w:noWrap/>
                  <w:vAlign w:val="bottom"/>
                  <w:hideMark/>
                </w:tcPr>
                <w:p w:rsidR="00144C47" w:rsidRPr="00B4734A" w:rsidRDefault="00B51D97" w:rsidP="00144C47">
                  <w:pPr>
                    <w:overflowPunct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FF0000"/>
                      <w:sz w:val="26"/>
                      <w:szCs w:val="26"/>
                      <w:lang w:eastAsia="ru-RU"/>
                    </w:rPr>
                  </w:pPr>
                  <w:r>
                    <w:rPr>
                      <w:b/>
                      <w:bCs/>
                      <w:color w:val="FF0000"/>
                      <w:sz w:val="26"/>
                      <w:szCs w:val="26"/>
                      <w:lang w:eastAsia="ru-RU"/>
                    </w:rPr>
                    <w:t xml:space="preserve">   </w:t>
                  </w:r>
                  <w:r w:rsidRPr="00B51D97">
                    <w:rPr>
                      <w:b/>
                      <w:bCs/>
                      <w:sz w:val="26"/>
                      <w:szCs w:val="26"/>
                      <w:lang w:eastAsia="ru-RU"/>
                    </w:rPr>
                    <w:t>2 000</w:t>
                  </w:r>
                  <w:r w:rsidR="00144C47" w:rsidRPr="00B51D97">
                    <w:rPr>
                      <w:b/>
                      <w:bCs/>
                      <w:sz w:val="26"/>
                      <w:szCs w:val="26"/>
                      <w:lang w:eastAsia="ru-RU"/>
                    </w:rPr>
                    <w:t xml:space="preserve">,0 </w:t>
                  </w:r>
                </w:p>
              </w:tc>
            </w:tr>
          </w:tbl>
          <w:p w:rsidR="00144C47" w:rsidRPr="00AF0828" w:rsidRDefault="00144C47" w:rsidP="00144C47">
            <w:pPr>
              <w:overflowPunct/>
              <w:autoSpaceDE/>
              <w:autoSpaceDN/>
              <w:adjustRightInd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144C47" w:rsidRDefault="00144C47" w:rsidP="00B52DD8">
      <w:pPr>
        <w:spacing w:line="312" w:lineRule="auto"/>
        <w:ind w:left="567" w:firstLine="708"/>
        <w:jc w:val="both"/>
        <w:rPr>
          <w:sz w:val="28"/>
          <w:szCs w:val="28"/>
        </w:rPr>
      </w:pPr>
    </w:p>
    <w:p w:rsidR="00B52DD8" w:rsidRPr="00AF0828" w:rsidRDefault="00B52DD8" w:rsidP="00B52DD8">
      <w:pPr>
        <w:spacing w:line="312" w:lineRule="auto"/>
        <w:ind w:left="567" w:firstLine="708"/>
        <w:jc w:val="both"/>
        <w:rPr>
          <w:sz w:val="28"/>
          <w:szCs w:val="28"/>
        </w:rPr>
      </w:pPr>
      <w:r w:rsidRPr="00AF0828">
        <w:rPr>
          <w:sz w:val="28"/>
          <w:szCs w:val="28"/>
        </w:rPr>
        <w:t xml:space="preserve">Итоговая сводная оценка зависит от сводной оценки качества организации и осуществления </w:t>
      </w:r>
      <w:r w:rsidR="00113D2C" w:rsidRPr="00AF0828">
        <w:rPr>
          <w:sz w:val="28"/>
          <w:szCs w:val="28"/>
        </w:rPr>
        <w:t xml:space="preserve">бюджетного процесса и </w:t>
      </w:r>
      <w:r w:rsidRPr="00AF0828">
        <w:rPr>
          <w:sz w:val="28"/>
          <w:szCs w:val="28"/>
        </w:rPr>
        <w:t xml:space="preserve">несоответствий </w:t>
      </w:r>
      <w:proofErr w:type="gramStart"/>
      <w:r w:rsidRPr="00AF0828">
        <w:rPr>
          <w:sz w:val="28"/>
          <w:szCs w:val="28"/>
        </w:rPr>
        <w:t>значений индикаторов соблюдения требований бюджетного законодательства</w:t>
      </w:r>
      <w:proofErr w:type="gramEnd"/>
      <w:r w:rsidRPr="00AF0828">
        <w:rPr>
          <w:sz w:val="28"/>
          <w:szCs w:val="28"/>
        </w:rPr>
        <w:t xml:space="preserve">. </w:t>
      </w:r>
    </w:p>
    <w:p w:rsidR="00B52DD8" w:rsidRPr="00AF0828" w:rsidRDefault="00B52DD8" w:rsidP="00B52DD8">
      <w:pPr>
        <w:spacing w:line="312" w:lineRule="auto"/>
        <w:ind w:left="567" w:firstLine="708"/>
        <w:jc w:val="both"/>
        <w:rPr>
          <w:sz w:val="28"/>
          <w:szCs w:val="28"/>
        </w:rPr>
      </w:pPr>
      <w:r w:rsidRPr="00AF0828">
        <w:rPr>
          <w:sz w:val="28"/>
          <w:szCs w:val="28"/>
        </w:rPr>
        <w:t>В поселениях за 201</w:t>
      </w:r>
      <w:r w:rsidR="00B4734A">
        <w:rPr>
          <w:sz w:val="28"/>
          <w:szCs w:val="28"/>
        </w:rPr>
        <w:t>8</w:t>
      </w:r>
      <w:r w:rsidRPr="00AF0828">
        <w:rPr>
          <w:sz w:val="28"/>
          <w:szCs w:val="28"/>
        </w:rPr>
        <w:t xml:space="preserve"> год несоответствие значений индикаторов соблюдения требований бюджетного законодательства не наблюдается. Во всех посе</w:t>
      </w:r>
      <w:r w:rsidR="00113D2C" w:rsidRPr="00AF0828">
        <w:rPr>
          <w:sz w:val="28"/>
          <w:szCs w:val="28"/>
        </w:rPr>
        <w:t>лениях соблюдается установленный норматив</w:t>
      </w:r>
      <w:r w:rsidRPr="00AF0828">
        <w:rPr>
          <w:sz w:val="28"/>
          <w:szCs w:val="28"/>
        </w:rPr>
        <w:t xml:space="preserve"> формирования расходов на содержание органов местного самоуправления муниципальных образований, отсутствует муниципальный долг. </w:t>
      </w:r>
    </w:p>
    <w:p w:rsidR="005E6070" w:rsidRPr="00AF0828" w:rsidRDefault="00113D2C" w:rsidP="00814CC3">
      <w:pPr>
        <w:tabs>
          <w:tab w:val="left" w:pos="1560"/>
        </w:tabs>
        <w:spacing w:line="312" w:lineRule="auto"/>
        <w:ind w:left="567" w:firstLine="708"/>
        <w:jc w:val="both"/>
        <w:rPr>
          <w:sz w:val="28"/>
          <w:szCs w:val="28"/>
        </w:rPr>
      </w:pPr>
      <w:proofErr w:type="gramStart"/>
      <w:r w:rsidRPr="00AF0828">
        <w:rPr>
          <w:rFonts w:eastAsiaTheme="minorEastAsia"/>
          <w:sz w:val="28"/>
          <w:szCs w:val="28"/>
        </w:rPr>
        <w:t xml:space="preserve">В соответствии с порядком </w:t>
      </w:r>
      <w:r w:rsidR="001503EE" w:rsidRPr="00AF0828">
        <w:rPr>
          <w:rFonts w:eastAsiaTheme="minorEastAsia"/>
          <w:sz w:val="28"/>
          <w:szCs w:val="28"/>
        </w:rPr>
        <w:t>п</w:t>
      </w:r>
      <w:r w:rsidR="005E6070" w:rsidRPr="00AF0828">
        <w:rPr>
          <w:sz w:val="28"/>
          <w:szCs w:val="28"/>
        </w:rPr>
        <w:t>о результатам проведенного мониторинга и оценки качества организации и осуществления бюджетного процесса</w:t>
      </w:r>
      <w:r w:rsidR="00D5683F" w:rsidRPr="00AF0828">
        <w:rPr>
          <w:sz w:val="28"/>
          <w:szCs w:val="28"/>
        </w:rPr>
        <w:t xml:space="preserve"> органами местного самоуправления поселений, входящих в состав Нефтеюганского района</w:t>
      </w:r>
      <w:r w:rsidR="005E6070" w:rsidRPr="00AF0828">
        <w:rPr>
          <w:sz w:val="28"/>
          <w:szCs w:val="28"/>
        </w:rPr>
        <w:t xml:space="preserve"> за 201</w:t>
      </w:r>
      <w:r w:rsidR="00B4734A">
        <w:rPr>
          <w:sz w:val="28"/>
          <w:szCs w:val="28"/>
        </w:rPr>
        <w:t>8</w:t>
      </w:r>
      <w:r w:rsidR="005E6070" w:rsidRPr="00AF0828">
        <w:rPr>
          <w:sz w:val="28"/>
          <w:szCs w:val="28"/>
        </w:rPr>
        <w:t xml:space="preserve"> год, согласно протокола</w:t>
      </w:r>
      <w:r w:rsidR="00957DDE" w:rsidRPr="00AF0828">
        <w:rPr>
          <w:sz w:val="28"/>
          <w:szCs w:val="28"/>
        </w:rPr>
        <w:t xml:space="preserve"> </w:t>
      </w:r>
      <w:r w:rsidR="005E6070" w:rsidRPr="00AF0828">
        <w:rPr>
          <w:sz w:val="28"/>
          <w:szCs w:val="28"/>
        </w:rPr>
        <w:t xml:space="preserve">Экспертного совета </w:t>
      </w:r>
      <w:r w:rsidR="00957DDE" w:rsidRPr="00AF0828">
        <w:rPr>
          <w:sz w:val="28"/>
          <w:szCs w:val="28"/>
        </w:rPr>
        <w:t xml:space="preserve">по проведению мониторинга и оценки качества организации и осуществления бюджетного процесса органами местного самоуправления поселений, входящих в состав Нефтеюганского района </w:t>
      </w:r>
      <w:r w:rsidR="001A31A2">
        <w:rPr>
          <w:sz w:val="28"/>
          <w:szCs w:val="28"/>
        </w:rPr>
        <w:t xml:space="preserve">   </w:t>
      </w:r>
      <w:r w:rsidR="005E6070" w:rsidRPr="0080150A">
        <w:rPr>
          <w:sz w:val="28"/>
          <w:szCs w:val="28"/>
        </w:rPr>
        <w:t>№</w:t>
      </w:r>
      <w:r w:rsidR="00841C22" w:rsidRPr="0080150A">
        <w:rPr>
          <w:sz w:val="28"/>
          <w:szCs w:val="28"/>
        </w:rPr>
        <w:t xml:space="preserve"> </w:t>
      </w:r>
      <w:r w:rsidR="005E6070" w:rsidRPr="0080150A">
        <w:rPr>
          <w:sz w:val="28"/>
          <w:szCs w:val="28"/>
        </w:rPr>
        <w:t xml:space="preserve">1 от </w:t>
      </w:r>
      <w:r w:rsidR="000F098D" w:rsidRPr="0080150A">
        <w:rPr>
          <w:sz w:val="28"/>
          <w:szCs w:val="28"/>
        </w:rPr>
        <w:t>1</w:t>
      </w:r>
      <w:r w:rsidR="0080150A" w:rsidRPr="0080150A">
        <w:rPr>
          <w:sz w:val="28"/>
          <w:szCs w:val="28"/>
        </w:rPr>
        <w:t>0</w:t>
      </w:r>
      <w:r w:rsidR="005E6070" w:rsidRPr="0080150A">
        <w:rPr>
          <w:sz w:val="28"/>
          <w:szCs w:val="28"/>
        </w:rPr>
        <w:t>.0</w:t>
      </w:r>
      <w:r w:rsidR="000F098D" w:rsidRPr="0080150A">
        <w:rPr>
          <w:sz w:val="28"/>
          <w:szCs w:val="28"/>
        </w:rPr>
        <w:t>4</w:t>
      </w:r>
      <w:r w:rsidR="005E6070" w:rsidRPr="0080150A">
        <w:rPr>
          <w:sz w:val="28"/>
          <w:szCs w:val="28"/>
        </w:rPr>
        <w:t>.201</w:t>
      </w:r>
      <w:r w:rsidR="00B4734A" w:rsidRPr="0080150A">
        <w:rPr>
          <w:sz w:val="28"/>
          <w:szCs w:val="28"/>
        </w:rPr>
        <w:t>9</w:t>
      </w:r>
      <w:r w:rsidR="005E6070" w:rsidRPr="0080150A">
        <w:rPr>
          <w:sz w:val="28"/>
          <w:szCs w:val="28"/>
        </w:rPr>
        <w:t xml:space="preserve"> </w:t>
      </w:r>
      <w:r w:rsidR="005E6070" w:rsidRPr="00AF0828">
        <w:rPr>
          <w:sz w:val="28"/>
          <w:szCs w:val="28"/>
        </w:rPr>
        <w:t>года решено:</w:t>
      </w:r>
      <w:proofErr w:type="gramEnd"/>
    </w:p>
    <w:p w:rsidR="00684BCB" w:rsidRPr="00AF0828" w:rsidRDefault="00684BCB" w:rsidP="004D6424">
      <w:pPr>
        <w:pStyle w:val="a9"/>
        <w:numPr>
          <w:ilvl w:val="0"/>
          <w:numId w:val="4"/>
        </w:numPr>
        <w:tabs>
          <w:tab w:val="left" w:pos="142"/>
          <w:tab w:val="left" w:pos="567"/>
          <w:tab w:val="left" w:pos="1560"/>
          <w:tab w:val="left" w:pos="1701"/>
        </w:tabs>
        <w:spacing w:line="276" w:lineRule="auto"/>
        <w:ind w:left="567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AF0828">
        <w:rPr>
          <w:rFonts w:ascii="Times New Roman" w:hAnsi="Times New Roman"/>
          <w:sz w:val="28"/>
          <w:szCs w:val="28"/>
        </w:rPr>
        <w:t xml:space="preserve">  В соответствии с порядком определить муниципальные образования в границах Нефтеюганского района, </w:t>
      </w:r>
      <w:r w:rsidRPr="00AF0828">
        <w:rPr>
          <w:rFonts w:ascii="Times New Roman" w:eastAsia="Calibri" w:hAnsi="Times New Roman"/>
          <w:sz w:val="28"/>
          <w:szCs w:val="28"/>
        </w:rPr>
        <w:t xml:space="preserve">сводная оценка качества которых выше среднего значения, сложившегося </w:t>
      </w:r>
      <w:r w:rsidR="00BC76F4">
        <w:rPr>
          <w:rFonts w:ascii="Times New Roman" w:eastAsia="Calibri" w:hAnsi="Times New Roman"/>
          <w:sz w:val="28"/>
          <w:szCs w:val="28"/>
        </w:rPr>
        <w:t>за</w:t>
      </w:r>
      <w:r w:rsidRPr="00AF0828">
        <w:rPr>
          <w:rFonts w:ascii="Times New Roman" w:eastAsia="Calibri" w:hAnsi="Times New Roman"/>
          <w:sz w:val="28"/>
          <w:szCs w:val="28"/>
        </w:rPr>
        <w:t xml:space="preserve"> 201</w:t>
      </w:r>
      <w:r w:rsidR="00FE3BE4">
        <w:rPr>
          <w:rFonts w:ascii="Times New Roman" w:eastAsia="Calibri" w:hAnsi="Times New Roman"/>
          <w:sz w:val="28"/>
          <w:szCs w:val="28"/>
        </w:rPr>
        <w:t>8</w:t>
      </w:r>
      <w:r w:rsidRPr="00AF0828">
        <w:rPr>
          <w:rFonts w:ascii="Times New Roman" w:eastAsia="Calibri" w:hAnsi="Times New Roman"/>
          <w:sz w:val="28"/>
          <w:szCs w:val="28"/>
        </w:rPr>
        <w:t xml:space="preserve"> год:</w:t>
      </w:r>
    </w:p>
    <w:p w:rsidR="00297F1D" w:rsidRPr="00C20181" w:rsidRDefault="00297F1D" w:rsidP="004D6424">
      <w:pPr>
        <w:tabs>
          <w:tab w:val="left" w:pos="142"/>
          <w:tab w:val="left" w:pos="567"/>
        </w:tabs>
        <w:overflowPunct/>
        <w:autoSpaceDE/>
        <w:autoSpaceDN/>
        <w:adjustRightInd/>
        <w:spacing w:line="276" w:lineRule="auto"/>
        <w:ind w:left="567"/>
        <w:contextualSpacing/>
        <w:jc w:val="both"/>
        <w:rPr>
          <w:sz w:val="28"/>
          <w:szCs w:val="28"/>
        </w:rPr>
      </w:pPr>
    </w:p>
    <w:p w:rsidR="00EF70BF" w:rsidRPr="00C20181" w:rsidRDefault="00EF70BF" w:rsidP="004D6424">
      <w:pPr>
        <w:tabs>
          <w:tab w:val="left" w:pos="142"/>
          <w:tab w:val="left" w:pos="567"/>
        </w:tabs>
        <w:overflowPunct/>
        <w:autoSpaceDE/>
        <w:autoSpaceDN/>
        <w:adjustRightInd/>
        <w:spacing w:line="276" w:lineRule="auto"/>
        <w:ind w:left="567" w:firstLine="851"/>
        <w:contextualSpacing/>
        <w:jc w:val="both"/>
        <w:rPr>
          <w:sz w:val="28"/>
          <w:szCs w:val="28"/>
        </w:rPr>
      </w:pPr>
      <w:r w:rsidRPr="00C20181">
        <w:rPr>
          <w:sz w:val="28"/>
          <w:szCs w:val="28"/>
        </w:rPr>
        <w:t>1 место</w:t>
      </w:r>
      <w:r w:rsidR="00EC2644" w:rsidRPr="00C20181">
        <w:rPr>
          <w:sz w:val="28"/>
          <w:szCs w:val="28"/>
        </w:rPr>
        <w:t xml:space="preserve"> – </w:t>
      </w:r>
      <w:r w:rsidR="001D7762" w:rsidRPr="00C20181">
        <w:rPr>
          <w:sz w:val="28"/>
          <w:szCs w:val="28"/>
        </w:rPr>
        <w:t>городское</w:t>
      </w:r>
      <w:r w:rsidR="00EC2644" w:rsidRPr="00C20181">
        <w:rPr>
          <w:sz w:val="28"/>
          <w:szCs w:val="28"/>
        </w:rPr>
        <w:t xml:space="preserve"> поселение </w:t>
      </w:r>
      <w:proofErr w:type="spellStart"/>
      <w:r w:rsidR="001D7762" w:rsidRPr="00C20181">
        <w:rPr>
          <w:sz w:val="28"/>
          <w:szCs w:val="28"/>
        </w:rPr>
        <w:t>Пойковский</w:t>
      </w:r>
      <w:proofErr w:type="spellEnd"/>
      <w:r w:rsidR="001D7762" w:rsidRPr="00C20181">
        <w:rPr>
          <w:sz w:val="28"/>
          <w:szCs w:val="28"/>
        </w:rPr>
        <w:t xml:space="preserve"> </w:t>
      </w:r>
      <w:r w:rsidR="00C20181">
        <w:rPr>
          <w:sz w:val="28"/>
          <w:szCs w:val="28"/>
        </w:rPr>
        <w:t xml:space="preserve">(балл </w:t>
      </w:r>
      <w:r w:rsidR="00C20181" w:rsidRPr="00C20181">
        <w:rPr>
          <w:sz w:val="28"/>
          <w:szCs w:val="28"/>
        </w:rPr>
        <w:t>–</w:t>
      </w:r>
      <w:r w:rsidR="00C20181">
        <w:rPr>
          <w:sz w:val="28"/>
          <w:szCs w:val="28"/>
        </w:rPr>
        <w:t xml:space="preserve"> </w:t>
      </w:r>
      <w:r w:rsidR="00D23A46" w:rsidRPr="00C20181">
        <w:rPr>
          <w:sz w:val="28"/>
          <w:szCs w:val="28"/>
        </w:rPr>
        <w:t>8</w:t>
      </w:r>
      <w:r w:rsidR="00C20181" w:rsidRPr="00C20181">
        <w:rPr>
          <w:sz w:val="28"/>
          <w:szCs w:val="28"/>
        </w:rPr>
        <w:t>7</w:t>
      </w:r>
      <w:r w:rsidR="0007750B" w:rsidRPr="00C20181">
        <w:rPr>
          <w:sz w:val="28"/>
          <w:szCs w:val="28"/>
        </w:rPr>
        <w:t>,</w:t>
      </w:r>
      <w:r w:rsidR="00C20181" w:rsidRPr="00C20181">
        <w:rPr>
          <w:sz w:val="28"/>
          <w:szCs w:val="28"/>
        </w:rPr>
        <w:t>2</w:t>
      </w:r>
      <w:r w:rsidR="0080150A">
        <w:rPr>
          <w:sz w:val="28"/>
          <w:szCs w:val="28"/>
        </w:rPr>
        <w:t>2</w:t>
      </w:r>
      <w:r w:rsidR="00EC2644" w:rsidRPr="00C20181">
        <w:rPr>
          <w:sz w:val="28"/>
          <w:szCs w:val="28"/>
        </w:rPr>
        <w:t>)</w:t>
      </w:r>
    </w:p>
    <w:p w:rsidR="00EC2644" w:rsidRPr="00B4734A" w:rsidRDefault="00EC2644" w:rsidP="004D6424">
      <w:pPr>
        <w:tabs>
          <w:tab w:val="left" w:pos="142"/>
          <w:tab w:val="left" w:pos="567"/>
        </w:tabs>
        <w:overflowPunct/>
        <w:autoSpaceDE/>
        <w:autoSpaceDN/>
        <w:adjustRightInd/>
        <w:spacing w:line="276" w:lineRule="auto"/>
        <w:ind w:left="567" w:firstLine="851"/>
        <w:contextualSpacing/>
        <w:jc w:val="both"/>
        <w:rPr>
          <w:color w:val="FF0000"/>
          <w:sz w:val="28"/>
          <w:szCs w:val="28"/>
        </w:rPr>
      </w:pPr>
      <w:r w:rsidRPr="00B4734A">
        <w:rPr>
          <w:color w:val="FF0000"/>
          <w:sz w:val="28"/>
          <w:szCs w:val="28"/>
        </w:rPr>
        <w:t xml:space="preserve">    </w:t>
      </w:r>
      <w:r w:rsidR="00DA6F0E" w:rsidRPr="00B4734A">
        <w:rPr>
          <w:color w:val="FF0000"/>
          <w:sz w:val="28"/>
          <w:szCs w:val="28"/>
        </w:rPr>
        <w:t xml:space="preserve">              </w:t>
      </w:r>
      <w:r w:rsidRPr="00B4734A">
        <w:rPr>
          <w:color w:val="FF0000"/>
          <w:sz w:val="28"/>
          <w:szCs w:val="28"/>
        </w:rPr>
        <w:t xml:space="preserve"> </w:t>
      </w:r>
      <w:r w:rsidRPr="00C20181">
        <w:rPr>
          <w:sz w:val="28"/>
          <w:szCs w:val="28"/>
          <w:u w:val="single"/>
        </w:rPr>
        <w:t>количество голосов «за</w:t>
      </w:r>
      <w:r w:rsidRPr="0080150A">
        <w:rPr>
          <w:sz w:val="28"/>
          <w:szCs w:val="28"/>
          <w:u w:val="single"/>
        </w:rPr>
        <w:t xml:space="preserve">» - </w:t>
      </w:r>
      <w:r w:rsidR="00957DDE" w:rsidRPr="0080150A">
        <w:rPr>
          <w:sz w:val="28"/>
          <w:szCs w:val="28"/>
          <w:u w:val="single"/>
        </w:rPr>
        <w:t>4</w:t>
      </w:r>
      <w:r w:rsidRPr="0080150A">
        <w:rPr>
          <w:sz w:val="28"/>
          <w:szCs w:val="28"/>
          <w:u w:val="single"/>
        </w:rPr>
        <w:t xml:space="preserve">, </w:t>
      </w:r>
      <w:r w:rsidRPr="00C20181">
        <w:rPr>
          <w:sz w:val="28"/>
          <w:szCs w:val="28"/>
          <w:u w:val="single"/>
        </w:rPr>
        <w:t>«против» 0</w:t>
      </w:r>
      <w:r w:rsidRPr="00C20181">
        <w:rPr>
          <w:sz w:val="28"/>
          <w:szCs w:val="28"/>
        </w:rPr>
        <w:t>;</w:t>
      </w:r>
    </w:p>
    <w:p w:rsidR="00DA6F0E" w:rsidRPr="00C20181" w:rsidRDefault="00DA6F0E" w:rsidP="004D6424">
      <w:pPr>
        <w:pStyle w:val="a9"/>
        <w:tabs>
          <w:tab w:val="left" w:pos="0"/>
          <w:tab w:val="left" w:pos="142"/>
        </w:tabs>
        <w:spacing w:line="276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4734A">
        <w:rPr>
          <w:rFonts w:ascii="Times New Roman" w:eastAsia="Times New Roman" w:hAnsi="Times New Roman"/>
          <w:color w:val="FF0000"/>
          <w:sz w:val="28"/>
          <w:szCs w:val="28"/>
        </w:rPr>
        <w:t xml:space="preserve">        </w:t>
      </w:r>
      <w:r w:rsidRPr="00C20181">
        <w:rPr>
          <w:rFonts w:ascii="Times New Roman" w:eastAsia="Times New Roman" w:hAnsi="Times New Roman"/>
          <w:sz w:val="28"/>
          <w:szCs w:val="28"/>
        </w:rPr>
        <w:t xml:space="preserve">2 место – сельское поселение </w:t>
      </w:r>
      <w:proofErr w:type="spellStart"/>
      <w:r w:rsidR="00DD7CC0" w:rsidRPr="00C20181">
        <w:rPr>
          <w:rFonts w:ascii="Times New Roman" w:eastAsia="Times New Roman" w:hAnsi="Times New Roman"/>
          <w:sz w:val="28"/>
          <w:szCs w:val="28"/>
        </w:rPr>
        <w:t>К</w:t>
      </w:r>
      <w:r w:rsidR="00C20181" w:rsidRPr="00C20181">
        <w:rPr>
          <w:rFonts w:ascii="Times New Roman" w:eastAsia="Times New Roman" w:hAnsi="Times New Roman"/>
          <w:sz w:val="28"/>
          <w:szCs w:val="28"/>
        </w:rPr>
        <w:t>аркатеевы</w:t>
      </w:r>
      <w:proofErr w:type="spellEnd"/>
      <w:r w:rsidR="00DD7CC0" w:rsidRPr="00C20181">
        <w:rPr>
          <w:rFonts w:ascii="Times New Roman" w:eastAsia="Times New Roman" w:hAnsi="Times New Roman"/>
          <w:sz w:val="28"/>
          <w:szCs w:val="28"/>
        </w:rPr>
        <w:t xml:space="preserve"> </w:t>
      </w:r>
      <w:r w:rsidRPr="00C20181">
        <w:rPr>
          <w:rFonts w:ascii="Times New Roman" w:eastAsia="Times New Roman" w:hAnsi="Times New Roman"/>
          <w:sz w:val="28"/>
          <w:szCs w:val="28"/>
        </w:rPr>
        <w:t>(балл –</w:t>
      </w:r>
      <w:r w:rsidR="00C20181">
        <w:rPr>
          <w:rFonts w:ascii="Times New Roman" w:eastAsia="Times New Roman" w:hAnsi="Times New Roman"/>
          <w:sz w:val="28"/>
          <w:szCs w:val="28"/>
        </w:rPr>
        <w:t xml:space="preserve"> </w:t>
      </w:r>
      <w:r w:rsidR="00C20181" w:rsidRPr="00C20181">
        <w:rPr>
          <w:rFonts w:ascii="Times New Roman" w:eastAsia="Times New Roman" w:hAnsi="Times New Roman"/>
          <w:sz w:val="28"/>
          <w:szCs w:val="28"/>
        </w:rPr>
        <w:t>84,0</w:t>
      </w:r>
      <w:r w:rsidR="0080150A">
        <w:rPr>
          <w:rFonts w:ascii="Times New Roman" w:eastAsia="Times New Roman" w:hAnsi="Times New Roman"/>
          <w:sz w:val="28"/>
          <w:szCs w:val="28"/>
        </w:rPr>
        <w:t>1</w:t>
      </w:r>
      <w:r w:rsidRPr="00C20181">
        <w:rPr>
          <w:rFonts w:ascii="Times New Roman" w:eastAsia="Times New Roman" w:hAnsi="Times New Roman"/>
          <w:sz w:val="28"/>
          <w:szCs w:val="28"/>
        </w:rPr>
        <w:t>)</w:t>
      </w:r>
    </w:p>
    <w:p w:rsidR="00DA6F0E" w:rsidRPr="00B4734A" w:rsidRDefault="00DA6F0E" w:rsidP="004D6424">
      <w:pPr>
        <w:pStyle w:val="a9"/>
        <w:tabs>
          <w:tab w:val="left" w:pos="0"/>
          <w:tab w:val="left" w:pos="142"/>
        </w:tabs>
        <w:spacing w:line="276" w:lineRule="auto"/>
        <w:ind w:left="0" w:firstLine="851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B4734A">
        <w:rPr>
          <w:rFonts w:ascii="Times New Roman" w:eastAsia="Times New Roman" w:hAnsi="Times New Roman"/>
          <w:color w:val="FF0000"/>
          <w:sz w:val="28"/>
          <w:szCs w:val="28"/>
        </w:rPr>
        <w:tab/>
      </w:r>
      <w:r w:rsidRPr="00B4734A">
        <w:rPr>
          <w:rFonts w:ascii="Times New Roman" w:eastAsia="Times New Roman" w:hAnsi="Times New Roman"/>
          <w:color w:val="FF0000"/>
          <w:sz w:val="28"/>
          <w:szCs w:val="28"/>
        </w:rPr>
        <w:tab/>
      </w:r>
      <w:r w:rsidRPr="00B4734A">
        <w:rPr>
          <w:rFonts w:ascii="Times New Roman" w:eastAsia="Times New Roman" w:hAnsi="Times New Roman"/>
          <w:color w:val="FF0000"/>
          <w:sz w:val="28"/>
          <w:szCs w:val="28"/>
        </w:rPr>
        <w:tab/>
      </w:r>
      <w:r w:rsidRPr="00C20181">
        <w:rPr>
          <w:rFonts w:ascii="Times New Roman" w:eastAsia="Times New Roman" w:hAnsi="Times New Roman"/>
          <w:sz w:val="28"/>
          <w:szCs w:val="28"/>
          <w:u w:val="single"/>
        </w:rPr>
        <w:t xml:space="preserve">количество голосов «за» </w:t>
      </w:r>
      <w:r w:rsidRPr="0080150A">
        <w:rPr>
          <w:rFonts w:ascii="Times New Roman" w:eastAsia="Times New Roman" w:hAnsi="Times New Roman"/>
          <w:sz w:val="28"/>
          <w:szCs w:val="28"/>
          <w:u w:val="single"/>
        </w:rPr>
        <w:t xml:space="preserve">- </w:t>
      </w:r>
      <w:r w:rsidR="00957DDE" w:rsidRPr="0080150A">
        <w:rPr>
          <w:rFonts w:ascii="Times New Roman" w:eastAsia="Times New Roman" w:hAnsi="Times New Roman"/>
          <w:sz w:val="28"/>
          <w:szCs w:val="28"/>
          <w:u w:val="single"/>
        </w:rPr>
        <w:t>4</w:t>
      </w:r>
      <w:r w:rsidRPr="0080150A">
        <w:rPr>
          <w:rFonts w:ascii="Times New Roman" w:eastAsia="Times New Roman" w:hAnsi="Times New Roman"/>
          <w:sz w:val="28"/>
          <w:szCs w:val="28"/>
          <w:u w:val="single"/>
        </w:rPr>
        <w:t xml:space="preserve">, </w:t>
      </w:r>
      <w:r w:rsidRPr="00C20181">
        <w:rPr>
          <w:rFonts w:ascii="Times New Roman" w:eastAsia="Times New Roman" w:hAnsi="Times New Roman"/>
          <w:sz w:val="28"/>
          <w:szCs w:val="28"/>
          <w:u w:val="single"/>
        </w:rPr>
        <w:t>«против» - 0;</w:t>
      </w:r>
    </w:p>
    <w:p w:rsidR="00DA6F0E" w:rsidRPr="00C20181" w:rsidRDefault="00DA6F0E" w:rsidP="004D6424">
      <w:pPr>
        <w:pStyle w:val="a9"/>
        <w:tabs>
          <w:tab w:val="left" w:pos="0"/>
          <w:tab w:val="left" w:pos="142"/>
        </w:tabs>
        <w:spacing w:line="276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20181">
        <w:rPr>
          <w:rFonts w:ascii="Times New Roman" w:eastAsia="Times New Roman" w:hAnsi="Times New Roman"/>
          <w:sz w:val="28"/>
          <w:szCs w:val="28"/>
        </w:rPr>
        <w:tab/>
        <w:t xml:space="preserve">3 место – сельское поселение </w:t>
      </w:r>
      <w:proofErr w:type="spellStart"/>
      <w:r w:rsidR="00C20181" w:rsidRPr="00C20181">
        <w:rPr>
          <w:rFonts w:ascii="Times New Roman" w:eastAsia="Times New Roman" w:hAnsi="Times New Roman"/>
          <w:sz w:val="28"/>
          <w:szCs w:val="28"/>
        </w:rPr>
        <w:t>Куть-Ях</w:t>
      </w:r>
      <w:proofErr w:type="spellEnd"/>
      <w:r w:rsidRPr="00C20181">
        <w:rPr>
          <w:rFonts w:ascii="Times New Roman" w:eastAsia="Times New Roman" w:hAnsi="Times New Roman"/>
          <w:sz w:val="28"/>
          <w:szCs w:val="28"/>
        </w:rPr>
        <w:t xml:space="preserve"> (балл –</w:t>
      </w:r>
      <w:r w:rsidR="00C20181" w:rsidRPr="00C20181">
        <w:rPr>
          <w:rFonts w:ascii="Times New Roman" w:eastAsia="Times New Roman" w:hAnsi="Times New Roman"/>
          <w:sz w:val="28"/>
          <w:szCs w:val="28"/>
        </w:rPr>
        <w:t xml:space="preserve"> 83,7</w:t>
      </w:r>
      <w:r w:rsidR="0080150A">
        <w:rPr>
          <w:rFonts w:ascii="Times New Roman" w:eastAsia="Times New Roman" w:hAnsi="Times New Roman"/>
          <w:sz w:val="28"/>
          <w:szCs w:val="28"/>
        </w:rPr>
        <w:t>4</w:t>
      </w:r>
      <w:r w:rsidRPr="00C20181">
        <w:rPr>
          <w:rFonts w:ascii="Times New Roman" w:eastAsia="Times New Roman" w:hAnsi="Times New Roman"/>
          <w:sz w:val="28"/>
          <w:szCs w:val="28"/>
        </w:rPr>
        <w:t>)</w:t>
      </w:r>
    </w:p>
    <w:p w:rsidR="00DA6F0E" w:rsidRPr="00B4734A" w:rsidRDefault="00DA6F0E" w:rsidP="004D6424">
      <w:pPr>
        <w:pStyle w:val="a9"/>
        <w:tabs>
          <w:tab w:val="left" w:pos="0"/>
          <w:tab w:val="left" w:pos="142"/>
        </w:tabs>
        <w:spacing w:line="276" w:lineRule="auto"/>
        <w:ind w:left="0" w:firstLine="851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B4734A">
        <w:rPr>
          <w:rFonts w:ascii="Times New Roman" w:eastAsia="Times New Roman" w:hAnsi="Times New Roman"/>
          <w:color w:val="FF0000"/>
          <w:sz w:val="28"/>
          <w:szCs w:val="28"/>
        </w:rPr>
        <w:tab/>
      </w:r>
      <w:r w:rsidRPr="00B4734A">
        <w:rPr>
          <w:rFonts w:ascii="Times New Roman" w:eastAsia="Times New Roman" w:hAnsi="Times New Roman"/>
          <w:color w:val="FF0000"/>
          <w:sz w:val="28"/>
          <w:szCs w:val="28"/>
        </w:rPr>
        <w:tab/>
      </w:r>
      <w:r w:rsidRPr="00B4734A">
        <w:rPr>
          <w:rFonts w:ascii="Times New Roman" w:eastAsia="Times New Roman" w:hAnsi="Times New Roman"/>
          <w:color w:val="FF0000"/>
          <w:sz w:val="28"/>
          <w:szCs w:val="28"/>
        </w:rPr>
        <w:tab/>
      </w:r>
      <w:r w:rsidRPr="00C20181">
        <w:rPr>
          <w:rFonts w:ascii="Times New Roman" w:eastAsia="Times New Roman" w:hAnsi="Times New Roman"/>
          <w:sz w:val="28"/>
          <w:szCs w:val="28"/>
          <w:u w:val="single"/>
        </w:rPr>
        <w:t xml:space="preserve">количество голосов «за» </w:t>
      </w:r>
      <w:r w:rsidRPr="0080150A">
        <w:rPr>
          <w:rFonts w:ascii="Times New Roman" w:eastAsia="Times New Roman" w:hAnsi="Times New Roman"/>
          <w:sz w:val="28"/>
          <w:szCs w:val="28"/>
          <w:u w:val="single"/>
        </w:rPr>
        <w:t xml:space="preserve">- </w:t>
      </w:r>
      <w:r w:rsidR="00957DDE" w:rsidRPr="0080150A">
        <w:rPr>
          <w:rFonts w:ascii="Times New Roman" w:eastAsia="Times New Roman" w:hAnsi="Times New Roman"/>
          <w:sz w:val="28"/>
          <w:szCs w:val="28"/>
          <w:u w:val="single"/>
        </w:rPr>
        <w:t>4</w:t>
      </w:r>
      <w:r w:rsidRPr="0080150A">
        <w:rPr>
          <w:rFonts w:ascii="Times New Roman" w:eastAsia="Times New Roman" w:hAnsi="Times New Roman"/>
          <w:sz w:val="28"/>
          <w:szCs w:val="28"/>
          <w:u w:val="single"/>
        </w:rPr>
        <w:t xml:space="preserve">, </w:t>
      </w:r>
      <w:r w:rsidRPr="00C20181">
        <w:rPr>
          <w:rFonts w:ascii="Times New Roman" w:eastAsia="Times New Roman" w:hAnsi="Times New Roman"/>
          <w:sz w:val="28"/>
          <w:szCs w:val="28"/>
          <w:u w:val="single"/>
        </w:rPr>
        <w:t>«против» - 0;</w:t>
      </w:r>
    </w:p>
    <w:p w:rsidR="00DA6F0E" w:rsidRPr="00B4734A" w:rsidRDefault="00DA6F0E" w:rsidP="004D6424">
      <w:pPr>
        <w:pStyle w:val="a9"/>
        <w:tabs>
          <w:tab w:val="left" w:pos="0"/>
          <w:tab w:val="left" w:pos="142"/>
        </w:tabs>
        <w:spacing w:line="276" w:lineRule="auto"/>
        <w:ind w:left="0" w:firstLine="851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B4734A">
        <w:rPr>
          <w:rFonts w:ascii="Times New Roman" w:eastAsia="Times New Roman" w:hAnsi="Times New Roman"/>
          <w:color w:val="FF0000"/>
          <w:sz w:val="28"/>
          <w:szCs w:val="28"/>
        </w:rPr>
        <w:tab/>
      </w:r>
      <w:r w:rsidRPr="00C20181">
        <w:rPr>
          <w:rFonts w:ascii="Times New Roman" w:eastAsia="Times New Roman" w:hAnsi="Times New Roman"/>
          <w:sz w:val="28"/>
          <w:szCs w:val="28"/>
        </w:rPr>
        <w:t xml:space="preserve">4 место – сельское поселение </w:t>
      </w:r>
      <w:r w:rsidR="00DD7CC0" w:rsidRPr="00C20181">
        <w:rPr>
          <w:rFonts w:ascii="Times New Roman" w:eastAsia="Times New Roman" w:hAnsi="Times New Roman"/>
          <w:sz w:val="28"/>
          <w:szCs w:val="28"/>
        </w:rPr>
        <w:t>С</w:t>
      </w:r>
      <w:r w:rsidR="00C20181" w:rsidRPr="00C20181">
        <w:rPr>
          <w:rFonts w:ascii="Times New Roman" w:eastAsia="Times New Roman" w:hAnsi="Times New Roman"/>
          <w:sz w:val="28"/>
          <w:szCs w:val="28"/>
        </w:rPr>
        <w:t>алым</w:t>
      </w:r>
      <w:r w:rsidRPr="00C20181">
        <w:rPr>
          <w:rFonts w:ascii="Times New Roman" w:eastAsia="Times New Roman" w:hAnsi="Times New Roman"/>
          <w:sz w:val="28"/>
          <w:szCs w:val="28"/>
        </w:rPr>
        <w:t xml:space="preserve"> (балл –</w:t>
      </w:r>
      <w:r w:rsidR="00C20181" w:rsidRPr="00C20181">
        <w:rPr>
          <w:rFonts w:ascii="Times New Roman" w:eastAsia="Times New Roman" w:hAnsi="Times New Roman"/>
          <w:sz w:val="28"/>
          <w:szCs w:val="28"/>
        </w:rPr>
        <w:t xml:space="preserve"> 82,8</w:t>
      </w:r>
      <w:r w:rsidR="0080150A">
        <w:rPr>
          <w:rFonts w:ascii="Times New Roman" w:eastAsia="Times New Roman" w:hAnsi="Times New Roman"/>
          <w:sz w:val="28"/>
          <w:szCs w:val="28"/>
        </w:rPr>
        <w:t>0</w:t>
      </w:r>
      <w:r w:rsidR="001D7762" w:rsidRPr="00C20181">
        <w:rPr>
          <w:rFonts w:ascii="Times New Roman" w:eastAsia="Times New Roman" w:hAnsi="Times New Roman"/>
          <w:sz w:val="28"/>
          <w:szCs w:val="28"/>
        </w:rPr>
        <w:t>)</w:t>
      </w:r>
    </w:p>
    <w:p w:rsidR="00524C7E" w:rsidRPr="00B4734A" w:rsidRDefault="00DA6F0E" w:rsidP="004D6424">
      <w:pPr>
        <w:pStyle w:val="a9"/>
        <w:tabs>
          <w:tab w:val="left" w:pos="0"/>
          <w:tab w:val="left" w:pos="142"/>
        </w:tabs>
        <w:spacing w:line="276" w:lineRule="auto"/>
        <w:ind w:left="0" w:firstLine="851"/>
        <w:jc w:val="both"/>
        <w:rPr>
          <w:rFonts w:ascii="Times New Roman" w:eastAsia="Times New Roman" w:hAnsi="Times New Roman"/>
          <w:color w:val="FF0000"/>
          <w:sz w:val="28"/>
          <w:szCs w:val="28"/>
          <w:u w:val="single"/>
        </w:rPr>
      </w:pPr>
      <w:r w:rsidRPr="00B4734A">
        <w:rPr>
          <w:rFonts w:ascii="Times New Roman" w:eastAsia="Times New Roman" w:hAnsi="Times New Roman"/>
          <w:color w:val="FF0000"/>
          <w:sz w:val="28"/>
          <w:szCs w:val="28"/>
        </w:rPr>
        <w:lastRenderedPageBreak/>
        <w:tab/>
      </w:r>
      <w:r w:rsidRPr="00B4734A">
        <w:rPr>
          <w:rFonts w:ascii="Times New Roman" w:eastAsia="Times New Roman" w:hAnsi="Times New Roman"/>
          <w:color w:val="FF0000"/>
          <w:sz w:val="28"/>
          <w:szCs w:val="28"/>
        </w:rPr>
        <w:tab/>
      </w:r>
      <w:r w:rsidRPr="00B4734A">
        <w:rPr>
          <w:rFonts w:ascii="Times New Roman" w:eastAsia="Times New Roman" w:hAnsi="Times New Roman"/>
          <w:color w:val="FF0000"/>
          <w:sz w:val="28"/>
          <w:szCs w:val="28"/>
        </w:rPr>
        <w:tab/>
      </w:r>
      <w:r w:rsidRPr="00C20181">
        <w:rPr>
          <w:rFonts w:ascii="Times New Roman" w:eastAsia="Times New Roman" w:hAnsi="Times New Roman"/>
          <w:sz w:val="28"/>
          <w:szCs w:val="28"/>
          <w:u w:val="single"/>
        </w:rPr>
        <w:t xml:space="preserve">количество голосов «за» </w:t>
      </w:r>
      <w:r w:rsidRPr="0080150A">
        <w:rPr>
          <w:rFonts w:ascii="Times New Roman" w:eastAsia="Times New Roman" w:hAnsi="Times New Roman"/>
          <w:sz w:val="28"/>
          <w:szCs w:val="28"/>
          <w:u w:val="single"/>
        </w:rPr>
        <w:t xml:space="preserve">- </w:t>
      </w:r>
      <w:r w:rsidR="00957DDE" w:rsidRPr="0080150A">
        <w:rPr>
          <w:rFonts w:ascii="Times New Roman" w:eastAsia="Times New Roman" w:hAnsi="Times New Roman"/>
          <w:sz w:val="28"/>
          <w:szCs w:val="28"/>
          <w:u w:val="single"/>
        </w:rPr>
        <w:t>4</w:t>
      </w:r>
      <w:r w:rsidRPr="0080150A">
        <w:rPr>
          <w:rFonts w:ascii="Times New Roman" w:eastAsia="Times New Roman" w:hAnsi="Times New Roman"/>
          <w:sz w:val="28"/>
          <w:szCs w:val="28"/>
          <w:u w:val="single"/>
        </w:rPr>
        <w:t xml:space="preserve">, </w:t>
      </w:r>
      <w:r w:rsidRPr="00C20181">
        <w:rPr>
          <w:rFonts w:ascii="Times New Roman" w:eastAsia="Times New Roman" w:hAnsi="Times New Roman"/>
          <w:sz w:val="28"/>
          <w:szCs w:val="28"/>
          <w:u w:val="single"/>
        </w:rPr>
        <w:t>«против» - 0</w:t>
      </w:r>
      <w:r w:rsidR="00DD7CC0" w:rsidRPr="00C20181">
        <w:rPr>
          <w:rFonts w:ascii="Times New Roman" w:eastAsia="Times New Roman" w:hAnsi="Times New Roman"/>
          <w:sz w:val="28"/>
          <w:szCs w:val="28"/>
          <w:u w:val="single"/>
        </w:rPr>
        <w:t>;</w:t>
      </w:r>
    </w:p>
    <w:p w:rsidR="00DD7CC0" w:rsidRPr="00C20181" w:rsidRDefault="00144C47" w:rsidP="00DD7CC0">
      <w:pPr>
        <w:pStyle w:val="a9"/>
        <w:tabs>
          <w:tab w:val="left" w:pos="0"/>
          <w:tab w:val="left" w:pos="142"/>
        </w:tabs>
        <w:spacing w:line="276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4734A">
        <w:rPr>
          <w:rFonts w:ascii="Times New Roman" w:eastAsia="Times New Roman" w:hAnsi="Times New Roman"/>
          <w:color w:val="FF0000"/>
          <w:sz w:val="28"/>
          <w:szCs w:val="28"/>
        </w:rPr>
        <w:t xml:space="preserve">       </w:t>
      </w:r>
      <w:r w:rsidR="00DD7CC0" w:rsidRPr="00C20181">
        <w:rPr>
          <w:rFonts w:ascii="Times New Roman" w:eastAsia="Times New Roman" w:hAnsi="Times New Roman"/>
          <w:sz w:val="28"/>
          <w:szCs w:val="28"/>
        </w:rPr>
        <w:t xml:space="preserve">5 место – сельское поселение </w:t>
      </w:r>
      <w:r w:rsidR="00C20181" w:rsidRPr="00C20181">
        <w:rPr>
          <w:rFonts w:ascii="Times New Roman" w:eastAsia="Times New Roman" w:hAnsi="Times New Roman"/>
          <w:sz w:val="28"/>
          <w:szCs w:val="28"/>
        </w:rPr>
        <w:t>Усть-Юган</w:t>
      </w:r>
      <w:r w:rsidR="00DD7CC0" w:rsidRPr="00C20181">
        <w:rPr>
          <w:rFonts w:ascii="Times New Roman" w:eastAsia="Times New Roman" w:hAnsi="Times New Roman"/>
          <w:sz w:val="28"/>
          <w:szCs w:val="28"/>
        </w:rPr>
        <w:t xml:space="preserve"> (балл – </w:t>
      </w:r>
      <w:r w:rsidR="00C20181" w:rsidRPr="00C20181">
        <w:rPr>
          <w:rFonts w:ascii="Times New Roman" w:eastAsia="Times New Roman" w:hAnsi="Times New Roman"/>
          <w:sz w:val="28"/>
          <w:szCs w:val="28"/>
        </w:rPr>
        <w:t>82,</w:t>
      </w:r>
      <w:r w:rsidR="0080150A">
        <w:rPr>
          <w:rFonts w:ascii="Times New Roman" w:eastAsia="Times New Roman" w:hAnsi="Times New Roman"/>
          <w:sz w:val="28"/>
          <w:szCs w:val="28"/>
        </w:rPr>
        <w:t>75</w:t>
      </w:r>
      <w:r w:rsidR="00DD7CC0" w:rsidRPr="00C20181">
        <w:rPr>
          <w:rFonts w:ascii="Times New Roman" w:eastAsia="Times New Roman" w:hAnsi="Times New Roman"/>
          <w:sz w:val="28"/>
          <w:szCs w:val="28"/>
        </w:rPr>
        <w:t>)</w:t>
      </w:r>
      <w:bookmarkStart w:id="0" w:name="_GoBack"/>
      <w:bookmarkEnd w:id="0"/>
    </w:p>
    <w:p w:rsidR="00DD7CC0" w:rsidRPr="00B4734A" w:rsidRDefault="00DD7CC0" w:rsidP="00DD7CC0">
      <w:pPr>
        <w:pStyle w:val="a9"/>
        <w:tabs>
          <w:tab w:val="left" w:pos="0"/>
          <w:tab w:val="left" w:pos="142"/>
        </w:tabs>
        <w:spacing w:line="276" w:lineRule="auto"/>
        <w:ind w:left="0" w:firstLine="851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B4734A">
        <w:rPr>
          <w:rFonts w:ascii="Times New Roman" w:eastAsia="Times New Roman" w:hAnsi="Times New Roman"/>
          <w:color w:val="FF0000"/>
          <w:sz w:val="28"/>
          <w:szCs w:val="28"/>
        </w:rPr>
        <w:t xml:space="preserve">                              </w:t>
      </w:r>
      <w:r w:rsidRPr="00C20181">
        <w:rPr>
          <w:rFonts w:ascii="Times New Roman" w:eastAsia="Times New Roman" w:hAnsi="Times New Roman"/>
          <w:sz w:val="28"/>
          <w:szCs w:val="28"/>
          <w:u w:val="single"/>
        </w:rPr>
        <w:t>количество голосов «за</w:t>
      </w:r>
      <w:r w:rsidRPr="0080150A">
        <w:rPr>
          <w:rFonts w:ascii="Times New Roman" w:eastAsia="Times New Roman" w:hAnsi="Times New Roman"/>
          <w:sz w:val="28"/>
          <w:szCs w:val="28"/>
          <w:u w:val="single"/>
        </w:rPr>
        <w:t xml:space="preserve">» - 4, </w:t>
      </w:r>
      <w:r w:rsidRPr="00C20181">
        <w:rPr>
          <w:rFonts w:ascii="Times New Roman" w:eastAsia="Times New Roman" w:hAnsi="Times New Roman"/>
          <w:sz w:val="28"/>
          <w:szCs w:val="28"/>
          <w:u w:val="single"/>
        </w:rPr>
        <w:t>«против» - 0.</w:t>
      </w:r>
    </w:p>
    <w:p w:rsidR="00DD7CC0" w:rsidRPr="00AF0828" w:rsidRDefault="00DD7CC0" w:rsidP="004D6424">
      <w:pPr>
        <w:pStyle w:val="a9"/>
        <w:tabs>
          <w:tab w:val="left" w:pos="0"/>
          <w:tab w:val="left" w:pos="142"/>
        </w:tabs>
        <w:spacing w:line="276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EF70BF" w:rsidRPr="00BC76F4" w:rsidRDefault="0089112B" w:rsidP="00BC76F4">
      <w:pPr>
        <w:numPr>
          <w:ilvl w:val="0"/>
          <w:numId w:val="4"/>
        </w:numPr>
        <w:tabs>
          <w:tab w:val="left" w:pos="993"/>
          <w:tab w:val="left" w:pos="1418"/>
          <w:tab w:val="left" w:pos="1560"/>
          <w:tab w:val="left" w:pos="1843"/>
        </w:tabs>
        <w:spacing w:line="276" w:lineRule="auto"/>
        <w:ind w:firstLine="698"/>
        <w:jc w:val="both"/>
        <w:rPr>
          <w:sz w:val="28"/>
          <w:szCs w:val="28"/>
        </w:rPr>
      </w:pPr>
      <w:r w:rsidRPr="00AF0828">
        <w:rPr>
          <w:sz w:val="28"/>
          <w:szCs w:val="28"/>
        </w:rPr>
        <w:t xml:space="preserve"> </w:t>
      </w:r>
      <w:r w:rsidR="00BC76F4" w:rsidRPr="00BC76F4">
        <w:rPr>
          <w:sz w:val="28"/>
          <w:szCs w:val="28"/>
        </w:rPr>
        <w:t>Предоставить дотации за достижение наиболее высоких показателей качества организации и осуществления бюджетного процесса органами местного самоуправления поселений, входящих в состав Нефтеюганского района,</w:t>
      </w:r>
      <w:r w:rsidR="00BC76F4" w:rsidRPr="00BC76F4">
        <w:rPr>
          <w:bCs/>
          <w:sz w:val="28"/>
          <w:szCs w:val="28"/>
        </w:rPr>
        <w:t xml:space="preserve"> за 2018 год</w:t>
      </w:r>
      <w:r w:rsidR="00BC76F4" w:rsidRPr="00BC76F4">
        <w:rPr>
          <w:sz w:val="28"/>
          <w:szCs w:val="28"/>
        </w:rPr>
        <w:t xml:space="preserve"> в сумме 2</w:t>
      </w:r>
      <w:r w:rsidR="00BC76F4">
        <w:rPr>
          <w:sz w:val="28"/>
          <w:szCs w:val="28"/>
        </w:rPr>
        <w:t> </w:t>
      </w:r>
      <w:r w:rsidR="00BC76F4" w:rsidRPr="00BC76F4">
        <w:rPr>
          <w:sz w:val="28"/>
          <w:szCs w:val="28"/>
        </w:rPr>
        <w:t>000</w:t>
      </w:r>
      <w:r w:rsidR="00BC76F4">
        <w:rPr>
          <w:sz w:val="28"/>
          <w:szCs w:val="28"/>
        </w:rPr>
        <w:t>,0</w:t>
      </w:r>
      <w:r w:rsidR="00BC76F4" w:rsidRPr="00BC76F4">
        <w:rPr>
          <w:sz w:val="28"/>
          <w:szCs w:val="28"/>
        </w:rPr>
        <w:t>00</w:t>
      </w:r>
      <w:r w:rsidR="00BC76F4">
        <w:rPr>
          <w:sz w:val="28"/>
          <w:szCs w:val="28"/>
        </w:rPr>
        <w:t xml:space="preserve"> тыс.</w:t>
      </w:r>
      <w:r w:rsidR="00BC76F4" w:rsidRPr="00BC76F4">
        <w:rPr>
          <w:sz w:val="28"/>
          <w:szCs w:val="28"/>
        </w:rPr>
        <w:t xml:space="preserve"> рублей следующим поселениям, входящим в состав Нефтеюганского района:</w:t>
      </w:r>
    </w:p>
    <w:p w:rsidR="00C42AF1" w:rsidRDefault="00C42AF1" w:rsidP="004D6424">
      <w:pPr>
        <w:tabs>
          <w:tab w:val="left" w:pos="142"/>
          <w:tab w:val="left" w:pos="1418"/>
        </w:tabs>
        <w:overflowPunct/>
        <w:autoSpaceDE/>
        <w:autoSpaceDN/>
        <w:adjustRightInd/>
        <w:spacing w:line="276" w:lineRule="auto"/>
        <w:ind w:left="567" w:firstLine="851"/>
        <w:jc w:val="both"/>
        <w:rPr>
          <w:sz w:val="28"/>
          <w:szCs w:val="28"/>
        </w:rPr>
      </w:pPr>
      <w:r w:rsidRPr="008B036D">
        <w:rPr>
          <w:sz w:val="28"/>
          <w:szCs w:val="28"/>
        </w:rPr>
        <w:t xml:space="preserve">- городское поселение Пойковский в размере </w:t>
      </w:r>
      <w:r w:rsidR="008B036D" w:rsidRPr="008B036D">
        <w:rPr>
          <w:sz w:val="28"/>
          <w:szCs w:val="28"/>
        </w:rPr>
        <w:t>719,596</w:t>
      </w:r>
      <w:r w:rsidRPr="008B036D">
        <w:rPr>
          <w:sz w:val="28"/>
          <w:szCs w:val="28"/>
        </w:rPr>
        <w:t xml:space="preserve"> тыс. рублей;</w:t>
      </w:r>
    </w:p>
    <w:p w:rsidR="008B036D" w:rsidRPr="008B036D" w:rsidRDefault="008B036D" w:rsidP="004D6424">
      <w:pPr>
        <w:tabs>
          <w:tab w:val="left" w:pos="142"/>
          <w:tab w:val="left" w:pos="1418"/>
        </w:tabs>
        <w:overflowPunct/>
        <w:autoSpaceDE/>
        <w:autoSpaceDN/>
        <w:adjustRightInd/>
        <w:spacing w:line="276" w:lineRule="auto"/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сельское поселение Каркатеевы в размере 390,638 тыс. рублей;</w:t>
      </w:r>
    </w:p>
    <w:p w:rsidR="00DA6F0E" w:rsidRDefault="0003386D" w:rsidP="004D6424">
      <w:pPr>
        <w:tabs>
          <w:tab w:val="left" w:pos="142"/>
          <w:tab w:val="left" w:pos="1418"/>
        </w:tabs>
        <w:overflowPunct/>
        <w:autoSpaceDE/>
        <w:autoSpaceDN/>
        <w:adjustRightInd/>
        <w:spacing w:line="276" w:lineRule="auto"/>
        <w:ind w:left="567" w:firstLine="851"/>
        <w:jc w:val="both"/>
        <w:rPr>
          <w:sz w:val="28"/>
          <w:szCs w:val="28"/>
        </w:rPr>
      </w:pPr>
      <w:r w:rsidRPr="008B036D">
        <w:rPr>
          <w:sz w:val="28"/>
          <w:szCs w:val="28"/>
        </w:rPr>
        <w:t xml:space="preserve">- сельское поселение </w:t>
      </w:r>
      <w:r w:rsidR="00DD7CC0" w:rsidRPr="008B036D">
        <w:rPr>
          <w:sz w:val="28"/>
          <w:szCs w:val="28"/>
        </w:rPr>
        <w:t>Куть-Ях</w:t>
      </w:r>
      <w:r w:rsidR="00DA6F0E" w:rsidRPr="008B036D">
        <w:rPr>
          <w:sz w:val="28"/>
          <w:szCs w:val="28"/>
        </w:rPr>
        <w:t xml:space="preserve"> в размере </w:t>
      </w:r>
      <w:r w:rsidR="008B036D" w:rsidRPr="008B036D">
        <w:rPr>
          <w:sz w:val="28"/>
          <w:szCs w:val="28"/>
        </w:rPr>
        <w:t>362,818</w:t>
      </w:r>
      <w:r w:rsidR="00DA6F0E" w:rsidRPr="008B036D">
        <w:rPr>
          <w:sz w:val="28"/>
          <w:szCs w:val="28"/>
        </w:rPr>
        <w:t xml:space="preserve"> тыс. рублей;</w:t>
      </w:r>
    </w:p>
    <w:p w:rsidR="00570EE8" w:rsidRPr="00570EE8" w:rsidRDefault="00570EE8" w:rsidP="004D6424">
      <w:pPr>
        <w:tabs>
          <w:tab w:val="left" w:pos="142"/>
          <w:tab w:val="left" w:pos="1418"/>
        </w:tabs>
        <w:overflowPunct/>
        <w:autoSpaceDE/>
        <w:autoSpaceDN/>
        <w:adjustRightInd/>
        <w:spacing w:line="276" w:lineRule="auto"/>
        <w:ind w:left="567" w:firstLine="851"/>
        <w:jc w:val="both"/>
        <w:rPr>
          <w:sz w:val="28"/>
          <w:szCs w:val="28"/>
        </w:rPr>
      </w:pPr>
      <w:r w:rsidRPr="00570EE8">
        <w:rPr>
          <w:sz w:val="28"/>
          <w:szCs w:val="28"/>
        </w:rPr>
        <w:t>- сельское поселение Салым в размере 265,930 тыс. рублей;</w:t>
      </w:r>
    </w:p>
    <w:p w:rsidR="00C42AF1" w:rsidRPr="00570EE8" w:rsidRDefault="00C42AF1" w:rsidP="004D6424">
      <w:pPr>
        <w:tabs>
          <w:tab w:val="left" w:pos="142"/>
          <w:tab w:val="left" w:pos="1418"/>
        </w:tabs>
        <w:overflowPunct/>
        <w:autoSpaceDE/>
        <w:autoSpaceDN/>
        <w:adjustRightInd/>
        <w:spacing w:line="276" w:lineRule="auto"/>
        <w:ind w:left="567" w:firstLine="851"/>
        <w:jc w:val="both"/>
        <w:rPr>
          <w:sz w:val="28"/>
          <w:szCs w:val="28"/>
        </w:rPr>
      </w:pPr>
      <w:r w:rsidRPr="00570EE8">
        <w:rPr>
          <w:sz w:val="28"/>
          <w:szCs w:val="28"/>
        </w:rPr>
        <w:t xml:space="preserve">- </w:t>
      </w:r>
      <w:r w:rsidR="0003386D" w:rsidRPr="00570EE8">
        <w:rPr>
          <w:sz w:val="28"/>
          <w:szCs w:val="28"/>
        </w:rPr>
        <w:t xml:space="preserve">сельское поселение </w:t>
      </w:r>
      <w:r w:rsidR="00DD7CC0" w:rsidRPr="00570EE8">
        <w:rPr>
          <w:sz w:val="28"/>
          <w:szCs w:val="28"/>
        </w:rPr>
        <w:t>Усть-Юган</w:t>
      </w:r>
      <w:r w:rsidRPr="00570EE8">
        <w:rPr>
          <w:sz w:val="28"/>
          <w:szCs w:val="28"/>
        </w:rPr>
        <w:t xml:space="preserve"> в размере </w:t>
      </w:r>
      <w:r w:rsidR="00570EE8" w:rsidRPr="00570EE8">
        <w:rPr>
          <w:sz w:val="28"/>
          <w:szCs w:val="28"/>
        </w:rPr>
        <w:t>261,018 тыс. рублей.</w:t>
      </w:r>
    </w:p>
    <w:p w:rsidR="00DD7CC0" w:rsidRPr="00087ED3" w:rsidRDefault="00DD7CC0" w:rsidP="00570EE8">
      <w:pPr>
        <w:tabs>
          <w:tab w:val="left" w:pos="142"/>
          <w:tab w:val="left" w:pos="1418"/>
        </w:tabs>
        <w:overflowPunct/>
        <w:autoSpaceDE/>
        <w:autoSpaceDN/>
        <w:adjustRightInd/>
        <w:spacing w:line="276" w:lineRule="auto"/>
        <w:ind w:left="567" w:firstLine="851"/>
        <w:jc w:val="both"/>
        <w:rPr>
          <w:color w:val="FF0000"/>
          <w:sz w:val="28"/>
          <w:szCs w:val="28"/>
        </w:rPr>
      </w:pPr>
    </w:p>
    <w:p w:rsidR="00144C47" w:rsidRPr="00087ED3" w:rsidRDefault="00144C47" w:rsidP="004D6424">
      <w:pPr>
        <w:tabs>
          <w:tab w:val="left" w:pos="142"/>
          <w:tab w:val="left" w:pos="1418"/>
        </w:tabs>
        <w:overflowPunct/>
        <w:autoSpaceDE/>
        <w:autoSpaceDN/>
        <w:adjustRightInd/>
        <w:spacing w:line="276" w:lineRule="auto"/>
        <w:ind w:left="567" w:firstLine="851"/>
        <w:jc w:val="both"/>
        <w:rPr>
          <w:color w:val="FF0000"/>
          <w:sz w:val="28"/>
          <w:szCs w:val="28"/>
        </w:rPr>
      </w:pPr>
    </w:p>
    <w:p w:rsidR="002E06C4" w:rsidRPr="00BB007D" w:rsidRDefault="002E06C4" w:rsidP="004D6424">
      <w:pPr>
        <w:tabs>
          <w:tab w:val="left" w:pos="142"/>
          <w:tab w:val="left" w:pos="1418"/>
        </w:tabs>
        <w:overflowPunct/>
        <w:autoSpaceDE/>
        <w:autoSpaceDN/>
        <w:adjustRightInd/>
        <w:spacing w:line="276" w:lineRule="auto"/>
        <w:ind w:left="567" w:firstLine="851"/>
        <w:jc w:val="both"/>
        <w:rPr>
          <w:color w:val="FF0000"/>
          <w:sz w:val="28"/>
          <w:szCs w:val="28"/>
        </w:rPr>
      </w:pPr>
    </w:p>
    <w:p w:rsidR="000B6A4D" w:rsidRPr="00AF0828" w:rsidRDefault="000B6A4D" w:rsidP="004D6424">
      <w:pPr>
        <w:tabs>
          <w:tab w:val="left" w:pos="142"/>
          <w:tab w:val="left" w:pos="567"/>
        </w:tabs>
        <w:overflowPunct/>
        <w:autoSpaceDE/>
        <w:autoSpaceDN/>
        <w:adjustRightInd/>
        <w:spacing w:line="276" w:lineRule="auto"/>
        <w:ind w:left="567" w:firstLine="851"/>
        <w:jc w:val="both"/>
        <w:rPr>
          <w:sz w:val="28"/>
          <w:szCs w:val="28"/>
        </w:rPr>
      </w:pPr>
    </w:p>
    <w:sectPr w:rsidR="000B6A4D" w:rsidRPr="00AF0828" w:rsidSect="00144C47">
      <w:pgSz w:w="11906" w:h="16838"/>
      <w:pgMar w:top="568" w:right="850" w:bottom="56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DF2" w:rsidRDefault="001A5DF2" w:rsidP="00305F36">
      <w:r>
        <w:separator/>
      </w:r>
    </w:p>
  </w:endnote>
  <w:endnote w:type="continuationSeparator" w:id="0">
    <w:p w:rsidR="001A5DF2" w:rsidRDefault="001A5DF2" w:rsidP="00305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DF2" w:rsidRDefault="001A5DF2" w:rsidP="00305F36">
      <w:r>
        <w:separator/>
      </w:r>
    </w:p>
  </w:footnote>
  <w:footnote w:type="continuationSeparator" w:id="0">
    <w:p w:rsidR="001A5DF2" w:rsidRDefault="001A5DF2" w:rsidP="00305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1349B"/>
    <w:multiLevelType w:val="hybridMultilevel"/>
    <w:tmpl w:val="A490906E"/>
    <w:lvl w:ilvl="0" w:tplc="02802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C446B8"/>
    <w:multiLevelType w:val="hybridMultilevel"/>
    <w:tmpl w:val="3FFC32D0"/>
    <w:lvl w:ilvl="0" w:tplc="C7B6496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A42500C"/>
    <w:multiLevelType w:val="hybridMultilevel"/>
    <w:tmpl w:val="98EACC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99288B"/>
    <w:multiLevelType w:val="multilevel"/>
    <w:tmpl w:val="32D68B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72033DBB"/>
    <w:multiLevelType w:val="hybridMultilevel"/>
    <w:tmpl w:val="85767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63"/>
    <w:rsid w:val="0003386D"/>
    <w:rsid w:val="0003684A"/>
    <w:rsid w:val="00070610"/>
    <w:rsid w:val="0007750B"/>
    <w:rsid w:val="00083A68"/>
    <w:rsid w:val="00087ED3"/>
    <w:rsid w:val="000B6A4D"/>
    <w:rsid w:val="000E304F"/>
    <w:rsid w:val="000E4A6F"/>
    <w:rsid w:val="000F098D"/>
    <w:rsid w:val="000F701D"/>
    <w:rsid w:val="00113D2C"/>
    <w:rsid w:val="00141063"/>
    <w:rsid w:val="00144C47"/>
    <w:rsid w:val="001503EE"/>
    <w:rsid w:val="001A20C7"/>
    <w:rsid w:val="001A31A2"/>
    <w:rsid w:val="001A5DF2"/>
    <w:rsid w:val="001B2B97"/>
    <w:rsid w:val="001D7762"/>
    <w:rsid w:val="001E34B3"/>
    <w:rsid w:val="001E73CE"/>
    <w:rsid w:val="00225607"/>
    <w:rsid w:val="0025781B"/>
    <w:rsid w:val="00267D03"/>
    <w:rsid w:val="00270770"/>
    <w:rsid w:val="00280C92"/>
    <w:rsid w:val="00297F1D"/>
    <w:rsid w:val="002B6E7D"/>
    <w:rsid w:val="002B7890"/>
    <w:rsid w:val="002C0CD6"/>
    <w:rsid w:val="002D3835"/>
    <w:rsid w:val="002E06C4"/>
    <w:rsid w:val="00305F36"/>
    <w:rsid w:val="0032754F"/>
    <w:rsid w:val="00343E0D"/>
    <w:rsid w:val="00347B9D"/>
    <w:rsid w:val="003511C3"/>
    <w:rsid w:val="00351604"/>
    <w:rsid w:val="00382855"/>
    <w:rsid w:val="003B6701"/>
    <w:rsid w:val="00423EC7"/>
    <w:rsid w:val="004B4361"/>
    <w:rsid w:val="004C1A4A"/>
    <w:rsid w:val="004C3623"/>
    <w:rsid w:val="004D6424"/>
    <w:rsid w:val="004E39CA"/>
    <w:rsid w:val="004F247A"/>
    <w:rsid w:val="00515242"/>
    <w:rsid w:val="00524C7E"/>
    <w:rsid w:val="005352A8"/>
    <w:rsid w:val="0053707B"/>
    <w:rsid w:val="00570EE8"/>
    <w:rsid w:val="005B2714"/>
    <w:rsid w:val="005B2D6D"/>
    <w:rsid w:val="005E6070"/>
    <w:rsid w:val="00627DED"/>
    <w:rsid w:val="006542DF"/>
    <w:rsid w:val="00684BCB"/>
    <w:rsid w:val="006C17F3"/>
    <w:rsid w:val="006E5584"/>
    <w:rsid w:val="00740220"/>
    <w:rsid w:val="00743676"/>
    <w:rsid w:val="00777F56"/>
    <w:rsid w:val="007A2952"/>
    <w:rsid w:val="007D3775"/>
    <w:rsid w:val="007E3072"/>
    <w:rsid w:val="0080150A"/>
    <w:rsid w:val="00814CC3"/>
    <w:rsid w:val="00841C22"/>
    <w:rsid w:val="008470F2"/>
    <w:rsid w:val="00867250"/>
    <w:rsid w:val="0089112B"/>
    <w:rsid w:val="008B036D"/>
    <w:rsid w:val="008B7C0F"/>
    <w:rsid w:val="00903E4D"/>
    <w:rsid w:val="00907B46"/>
    <w:rsid w:val="00921A3D"/>
    <w:rsid w:val="00957DDE"/>
    <w:rsid w:val="00965AD6"/>
    <w:rsid w:val="00992E6E"/>
    <w:rsid w:val="009B70A9"/>
    <w:rsid w:val="009C25A5"/>
    <w:rsid w:val="00AE324A"/>
    <w:rsid w:val="00AF0828"/>
    <w:rsid w:val="00B320A6"/>
    <w:rsid w:val="00B4734A"/>
    <w:rsid w:val="00B51D97"/>
    <w:rsid w:val="00B52DD8"/>
    <w:rsid w:val="00B53ED0"/>
    <w:rsid w:val="00B766A4"/>
    <w:rsid w:val="00B83DE5"/>
    <w:rsid w:val="00B91361"/>
    <w:rsid w:val="00BA3C05"/>
    <w:rsid w:val="00BB007D"/>
    <w:rsid w:val="00BC76F4"/>
    <w:rsid w:val="00BE60C3"/>
    <w:rsid w:val="00C20181"/>
    <w:rsid w:val="00C42AF1"/>
    <w:rsid w:val="00C71F65"/>
    <w:rsid w:val="00C9647C"/>
    <w:rsid w:val="00D23A46"/>
    <w:rsid w:val="00D4548D"/>
    <w:rsid w:val="00D5683F"/>
    <w:rsid w:val="00D67DA5"/>
    <w:rsid w:val="00DA5337"/>
    <w:rsid w:val="00DA5C1F"/>
    <w:rsid w:val="00DA6F0E"/>
    <w:rsid w:val="00DB03AB"/>
    <w:rsid w:val="00DD7CC0"/>
    <w:rsid w:val="00DF7948"/>
    <w:rsid w:val="00E316A6"/>
    <w:rsid w:val="00E42565"/>
    <w:rsid w:val="00E42F2E"/>
    <w:rsid w:val="00E52F0A"/>
    <w:rsid w:val="00E5628D"/>
    <w:rsid w:val="00E66450"/>
    <w:rsid w:val="00EA4A79"/>
    <w:rsid w:val="00EC2644"/>
    <w:rsid w:val="00EF70BF"/>
    <w:rsid w:val="00F33DA4"/>
    <w:rsid w:val="00F833D6"/>
    <w:rsid w:val="00F90D1F"/>
    <w:rsid w:val="00F95A7E"/>
    <w:rsid w:val="00FB2931"/>
    <w:rsid w:val="00FE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D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D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DD8"/>
    <w:rPr>
      <w:rFonts w:ascii="Tahoma" w:eastAsia="Times New Roman" w:hAnsi="Tahoma" w:cs="Tahoma"/>
      <w:sz w:val="16"/>
      <w:szCs w:val="16"/>
    </w:rPr>
  </w:style>
  <w:style w:type="paragraph" w:customStyle="1" w:styleId="2">
    <w:name w:val="Знак Знак2"/>
    <w:basedOn w:val="a"/>
    <w:rsid w:val="00305F36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305F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5F36"/>
    <w:rPr>
      <w:rFonts w:ascii="Times New Roman" w:eastAsia="Times New Roman" w:hAnsi="Times New Roman" w:cs="Times New Roman"/>
      <w:sz w:val="2"/>
      <w:szCs w:val="2"/>
    </w:rPr>
  </w:style>
  <w:style w:type="paragraph" w:styleId="a7">
    <w:name w:val="footer"/>
    <w:basedOn w:val="a"/>
    <w:link w:val="a8"/>
    <w:uiPriority w:val="99"/>
    <w:unhideWhenUsed/>
    <w:rsid w:val="00305F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5F36"/>
    <w:rPr>
      <w:rFonts w:ascii="Times New Roman" w:eastAsia="Times New Roman" w:hAnsi="Times New Roman" w:cs="Times New Roman"/>
      <w:sz w:val="2"/>
      <w:szCs w:val="2"/>
    </w:rPr>
  </w:style>
  <w:style w:type="paragraph" w:styleId="a9">
    <w:name w:val="List Paragraph"/>
    <w:basedOn w:val="a"/>
    <w:uiPriority w:val="34"/>
    <w:qFormat/>
    <w:rsid w:val="00DA6F0E"/>
    <w:pPr>
      <w:overflowPunct/>
      <w:autoSpaceDE/>
      <w:autoSpaceDN/>
      <w:adjustRightInd/>
      <w:ind w:left="720"/>
      <w:contextualSpacing/>
    </w:pPr>
    <w:rPr>
      <w:rFonts w:asciiTheme="minorHAnsi" w:eastAsiaTheme="minorEastAsia" w:hAnsiTheme="minorHAnsi"/>
      <w:sz w:val="24"/>
      <w:szCs w:val="24"/>
    </w:rPr>
  </w:style>
  <w:style w:type="character" w:customStyle="1" w:styleId="1">
    <w:name w:val="Основной текст Знак1"/>
    <w:basedOn w:val="a0"/>
    <w:link w:val="aa"/>
    <w:uiPriority w:val="99"/>
    <w:locked/>
    <w:rsid w:val="00144C47"/>
    <w:rPr>
      <w:rFonts w:ascii="Times New Roman" w:hAnsi="Times New Roman"/>
      <w:sz w:val="26"/>
      <w:szCs w:val="26"/>
      <w:shd w:val="clear" w:color="auto" w:fill="FFFFFF"/>
    </w:rPr>
  </w:style>
  <w:style w:type="paragraph" w:styleId="aa">
    <w:name w:val="Body Text"/>
    <w:basedOn w:val="a"/>
    <w:link w:val="1"/>
    <w:uiPriority w:val="99"/>
    <w:rsid w:val="00144C47"/>
    <w:pPr>
      <w:widowControl w:val="0"/>
      <w:shd w:val="clear" w:color="auto" w:fill="FFFFFF"/>
      <w:overflowPunct/>
      <w:autoSpaceDE/>
      <w:autoSpaceDN/>
      <w:adjustRightInd/>
      <w:spacing w:line="322" w:lineRule="exact"/>
      <w:jc w:val="right"/>
    </w:pPr>
    <w:rPr>
      <w:rFonts w:eastAsiaTheme="minorHAnsi" w:cstheme="minorBidi"/>
      <w:sz w:val="26"/>
      <w:szCs w:val="26"/>
    </w:rPr>
  </w:style>
  <w:style w:type="character" w:customStyle="1" w:styleId="ab">
    <w:name w:val="Основной текст Знак"/>
    <w:basedOn w:val="a0"/>
    <w:uiPriority w:val="99"/>
    <w:semiHidden/>
    <w:rsid w:val="00144C47"/>
    <w:rPr>
      <w:rFonts w:ascii="Times New Roman" w:eastAsia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D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D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DD8"/>
    <w:rPr>
      <w:rFonts w:ascii="Tahoma" w:eastAsia="Times New Roman" w:hAnsi="Tahoma" w:cs="Tahoma"/>
      <w:sz w:val="16"/>
      <w:szCs w:val="16"/>
    </w:rPr>
  </w:style>
  <w:style w:type="paragraph" w:customStyle="1" w:styleId="2">
    <w:name w:val="Знак Знак2"/>
    <w:basedOn w:val="a"/>
    <w:rsid w:val="00305F36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305F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5F36"/>
    <w:rPr>
      <w:rFonts w:ascii="Times New Roman" w:eastAsia="Times New Roman" w:hAnsi="Times New Roman" w:cs="Times New Roman"/>
      <w:sz w:val="2"/>
      <w:szCs w:val="2"/>
    </w:rPr>
  </w:style>
  <w:style w:type="paragraph" w:styleId="a7">
    <w:name w:val="footer"/>
    <w:basedOn w:val="a"/>
    <w:link w:val="a8"/>
    <w:uiPriority w:val="99"/>
    <w:unhideWhenUsed/>
    <w:rsid w:val="00305F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5F36"/>
    <w:rPr>
      <w:rFonts w:ascii="Times New Roman" w:eastAsia="Times New Roman" w:hAnsi="Times New Roman" w:cs="Times New Roman"/>
      <w:sz w:val="2"/>
      <w:szCs w:val="2"/>
    </w:rPr>
  </w:style>
  <w:style w:type="paragraph" w:styleId="a9">
    <w:name w:val="List Paragraph"/>
    <w:basedOn w:val="a"/>
    <w:uiPriority w:val="34"/>
    <w:qFormat/>
    <w:rsid w:val="00DA6F0E"/>
    <w:pPr>
      <w:overflowPunct/>
      <w:autoSpaceDE/>
      <w:autoSpaceDN/>
      <w:adjustRightInd/>
      <w:ind w:left="720"/>
      <w:contextualSpacing/>
    </w:pPr>
    <w:rPr>
      <w:rFonts w:asciiTheme="minorHAnsi" w:eastAsiaTheme="minorEastAsia" w:hAnsiTheme="minorHAnsi"/>
      <w:sz w:val="24"/>
      <w:szCs w:val="24"/>
    </w:rPr>
  </w:style>
  <w:style w:type="character" w:customStyle="1" w:styleId="1">
    <w:name w:val="Основной текст Знак1"/>
    <w:basedOn w:val="a0"/>
    <w:link w:val="aa"/>
    <w:uiPriority w:val="99"/>
    <w:locked/>
    <w:rsid w:val="00144C47"/>
    <w:rPr>
      <w:rFonts w:ascii="Times New Roman" w:hAnsi="Times New Roman"/>
      <w:sz w:val="26"/>
      <w:szCs w:val="26"/>
      <w:shd w:val="clear" w:color="auto" w:fill="FFFFFF"/>
    </w:rPr>
  </w:style>
  <w:style w:type="paragraph" w:styleId="aa">
    <w:name w:val="Body Text"/>
    <w:basedOn w:val="a"/>
    <w:link w:val="1"/>
    <w:uiPriority w:val="99"/>
    <w:rsid w:val="00144C47"/>
    <w:pPr>
      <w:widowControl w:val="0"/>
      <w:shd w:val="clear" w:color="auto" w:fill="FFFFFF"/>
      <w:overflowPunct/>
      <w:autoSpaceDE/>
      <w:autoSpaceDN/>
      <w:adjustRightInd/>
      <w:spacing w:line="322" w:lineRule="exact"/>
      <w:jc w:val="right"/>
    </w:pPr>
    <w:rPr>
      <w:rFonts w:eastAsiaTheme="minorHAnsi" w:cstheme="minorBidi"/>
      <w:sz w:val="26"/>
      <w:szCs w:val="26"/>
    </w:rPr>
  </w:style>
  <w:style w:type="character" w:customStyle="1" w:styleId="ab">
    <w:name w:val="Основной текст Знак"/>
    <w:basedOn w:val="a0"/>
    <w:uiPriority w:val="99"/>
    <w:semiHidden/>
    <w:rsid w:val="00144C47"/>
    <w:rPr>
      <w:rFonts w:ascii="Times New Roman" w:eastAsia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Яна Игоревна</dc:creator>
  <cp:keywords/>
  <dc:description/>
  <cp:lastModifiedBy>Галимова Екатерина Давыдовна</cp:lastModifiedBy>
  <cp:revision>111</cp:revision>
  <cp:lastPrinted>2019-04-04T11:54:00Z</cp:lastPrinted>
  <dcterms:created xsi:type="dcterms:W3CDTF">2014-09-12T03:38:00Z</dcterms:created>
  <dcterms:modified xsi:type="dcterms:W3CDTF">2019-04-18T10:08:00Z</dcterms:modified>
</cp:coreProperties>
</file>