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A11E" w14:textId="6B3D1BAE" w:rsidR="00D54188" w:rsidRDefault="00D54188" w:rsidP="00D825C9">
      <w:pPr>
        <w:pStyle w:val="6"/>
        <w:tabs>
          <w:tab w:val="left" w:pos="9639"/>
        </w:tabs>
        <w:spacing w:before="0" w:after="0"/>
        <w:jc w:val="center"/>
      </w:pPr>
      <w:r>
        <w:rPr>
          <w:noProof/>
        </w:rPr>
        <w:drawing>
          <wp:inline distT="0" distB="0" distL="0" distR="0" wp14:anchorId="66ED1FD2" wp14:editId="3B9C0373">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133CFF9" w14:textId="77777777" w:rsidR="00D54188" w:rsidRPr="00814AD3" w:rsidRDefault="00D54188" w:rsidP="00D825C9">
      <w:pPr>
        <w:spacing w:after="0" w:line="240" w:lineRule="auto"/>
        <w:jc w:val="center"/>
        <w:rPr>
          <w:b/>
          <w:sz w:val="20"/>
          <w:szCs w:val="20"/>
        </w:rPr>
      </w:pPr>
    </w:p>
    <w:p w14:paraId="0BBE2F4B" w14:textId="77777777" w:rsidR="00D54188" w:rsidRPr="00D825C9" w:rsidRDefault="00D54188" w:rsidP="00D825C9">
      <w:pPr>
        <w:spacing w:after="0" w:line="240" w:lineRule="auto"/>
        <w:jc w:val="center"/>
        <w:rPr>
          <w:rFonts w:ascii="Times New Roman" w:hAnsi="Times New Roman"/>
          <w:b/>
          <w:sz w:val="42"/>
          <w:szCs w:val="42"/>
        </w:rPr>
      </w:pPr>
      <w:r w:rsidRPr="00D825C9">
        <w:rPr>
          <w:rFonts w:ascii="Times New Roman" w:hAnsi="Times New Roman"/>
          <w:b/>
          <w:sz w:val="42"/>
          <w:szCs w:val="42"/>
        </w:rPr>
        <w:t xml:space="preserve">АДМИНИСТРАЦИЯ  </w:t>
      </w:r>
    </w:p>
    <w:p w14:paraId="1A290DB1" w14:textId="77777777" w:rsidR="00D54188" w:rsidRPr="00D825C9" w:rsidRDefault="00D54188" w:rsidP="00D825C9">
      <w:pPr>
        <w:spacing w:after="0" w:line="240" w:lineRule="auto"/>
        <w:jc w:val="center"/>
        <w:rPr>
          <w:rFonts w:ascii="Times New Roman" w:hAnsi="Times New Roman"/>
          <w:b/>
          <w:sz w:val="19"/>
          <w:szCs w:val="42"/>
        </w:rPr>
      </w:pPr>
      <w:r w:rsidRPr="00D825C9">
        <w:rPr>
          <w:rFonts w:ascii="Times New Roman" w:hAnsi="Times New Roman"/>
          <w:b/>
          <w:sz w:val="42"/>
          <w:szCs w:val="42"/>
        </w:rPr>
        <w:t>НЕФТЕЮГАНСКОГО РАЙОНА</w:t>
      </w:r>
    </w:p>
    <w:p w14:paraId="33FEF0AE" w14:textId="77777777" w:rsidR="00D54188" w:rsidRPr="00D825C9" w:rsidRDefault="00D54188" w:rsidP="00D825C9">
      <w:pPr>
        <w:spacing w:after="0" w:line="240" w:lineRule="auto"/>
        <w:jc w:val="center"/>
        <w:rPr>
          <w:rFonts w:ascii="Times New Roman" w:hAnsi="Times New Roman"/>
          <w:b/>
          <w:sz w:val="32"/>
        </w:rPr>
      </w:pPr>
    </w:p>
    <w:p w14:paraId="56641196" w14:textId="77777777" w:rsidR="00D54188" w:rsidRPr="00D825C9" w:rsidRDefault="00D54188" w:rsidP="00D825C9">
      <w:pPr>
        <w:spacing w:after="0" w:line="240" w:lineRule="auto"/>
        <w:jc w:val="center"/>
        <w:rPr>
          <w:rFonts w:ascii="Times New Roman" w:hAnsi="Times New Roman"/>
          <w:b/>
          <w:caps/>
          <w:sz w:val="36"/>
          <w:szCs w:val="38"/>
        </w:rPr>
      </w:pPr>
      <w:r w:rsidRPr="00D825C9">
        <w:rPr>
          <w:rFonts w:ascii="Times New Roman" w:hAnsi="Times New Roman"/>
          <w:b/>
          <w:caps/>
          <w:sz w:val="36"/>
          <w:szCs w:val="38"/>
        </w:rPr>
        <w:t>РАСПОРЯЖение</w:t>
      </w:r>
    </w:p>
    <w:p w14:paraId="5803812E" w14:textId="77777777" w:rsidR="00D54188" w:rsidRPr="00D825C9" w:rsidRDefault="00D54188" w:rsidP="00D825C9">
      <w:pPr>
        <w:spacing w:after="0" w:line="240" w:lineRule="auto"/>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54188" w:rsidRPr="00D825C9" w14:paraId="59BF89DB" w14:textId="77777777" w:rsidTr="00294699">
        <w:trPr>
          <w:cantSplit/>
          <w:trHeight w:val="232"/>
        </w:trPr>
        <w:tc>
          <w:tcPr>
            <w:tcW w:w="3119" w:type="dxa"/>
            <w:tcBorders>
              <w:bottom w:val="single" w:sz="4" w:space="0" w:color="auto"/>
            </w:tcBorders>
          </w:tcPr>
          <w:p w14:paraId="197FABD0" w14:textId="10C80F31" w:rsidR="00D54188" w:rsidRPr="007804B3" w:rsidRDefault="00D54188" w:rsidP="00D825C9">
            <w:pPr>
              <w:spacing w:after="0" w:line="240" w:lineRule="auto"/>
              <w:jc w:val="center"/>
              <w:rPr>
                <w:rFonts w:ascii="Times New Roman" w:hAnsi="Times New Roman"/>
                <w:sz w:val="26"/>
                <w:szCs w:val="26"/>
              </w:rPr>
            </w:pPr>
            <w:r>
              <w:rPr>
                <w:rFonts w:ascii="Times New Roman" w:hAnsi="Times New Roman"/>
                <w:sz w:val="26"/>
                <w:szCs w:val="26"/>
              </w:rPr>
              <w:t>04.08.</w:t>
            </w:r>
            <w:r w:rsidRPr="007804B3">
              <w:rPr>
                <w:rFonts w:ascii="Times New Roman" w:hAnsi="Times New Roman"/>
                <w:sz w:val="26"/>
                <w:szCs w:val="26"/>
              </w:rPr>
              <w:t>2023</w:t>
            </w:r>
          </w:p>
        </w:tc>
        <w:tc>
          <w:tcPr>
            <w:tcW w:w="6595" w:type="dxa"/>
            <w:vMerge w:val="restart"/>
          </w:tcPr>
          <w:p w14:paraId="51EF05D4" w14:textId="62EF1684" w:rsidR="00D54188" w:rsidRPr="007804B3" w:rsidRDefault="00D54188" w:rsidP="00D825C9">
            <w:pPr>
              <w:spacing w:after="0" w:line="240" w:lineRule="auto"/>
              <w:jc w:val="right"/>
              <w:rPr>
                <w:rFonts w:ascii="Times New Roman" w:hAnsi="Times New Roman"/>
                <w:sz w:val="26"/>
                <w:szCs w:val="26"/>
                <w:u w:val="single"/>
              </w:rPr>
            </w:pPr>
            <w:r w:rsidRPr="007804B3">
              <w:rPr>
                <w:rFonts w:ascii="Times New Roman" w:hAnsi="Times New Roman"/>
                <w:sz w:val="26"/>
                <w:szCs w:val="26"/>
              </w:rPr>
              <w:t>№</w:t>
            </w:r>
            <w:r w:rsidRPr="007804B3">
              <w:rPr>
                <w:rFonts w:ascii="Times New Roman" w:hAnsi="Times New Roman"/>
                <w:sz w:val="26"/>
                <w:szCs w:val="26"/>
                <w:u w:val="single"/>
              </w:rPr>
              <w:t xml:space="preserve"> </w:t>
            </w:r>
            <w:r>
              <w:rPr>
                <w:rFonts w:ascii="Times New Roman" w:hAnsi="Times New Roman"/>
                <w:sz w:val="26"/>
                <w:szCs w:val="26"/>
                <w:u w:val="single"/>
              </w:rPr>
              <w:t>361</w:t>
            </w:r>
            <w:r w:rsidRPr="007804B3">
              <w:rPr>
                <w:rFonts w:ascii="Times New Roman" w:hAnsi="Times New Roman"/>
                <w:sz w:val="26"/>
                <w:szCs w:val="26"/>
                <w:u w:val="single"/>
              </w:rPr>
              <w:t>-ра</w:t>
            </w:r>
          </w:p>
        </w:tc>
      </w:tr>
      <w:tr w:rsidR="00D54188" w:rsidRPr="00D825C9" w14:paraId="5883AA88" w14:textId="77777777" w:rsidTr="00294699">
        <w:trPr>
          <w:cantSplit/>
          <w:trHeight w:val="70"/>
        </w:trPr>
        <w:tc>
          <w:tcPr>
            <w:tcW w:w="3119" w:type="dxa"/>
          </w:tcPr>
          <w:p w14:paraId="2418695B" w14:textId="77777777" w:rsidR="00D54188" w:rsidRPr="00D825C9" w:rsidRDefault="00D54188" w:rsidP="00D825C9">
            <w:pPr>
              <w:spacing w:after="0" w:line="240" w:lineRule="auto"/>
              <w:rPr>
                <w:rFonts w:ascii="Times New Roman" w:hAnsi="Times New Roman"/>
                <w:sz w:val="4"/>
              </w:rPr>
            </w:pPr>
          </w:p>
          <w:p w14:paraId="578E96E2" w14:textId="77777777" w:rsidR="00D54188" w:rsidRPr="00D825C9" w:rsidRDefault="00D54188" w:rsidP="00D825C9">
            <w:pPr>
              <w:spacing w:after="0" w:line="240" w:lineRule="auto"/>
              <w:jc w:val="center"/>
              <w:rPr>
                <w:rFonts w:ascii="Times New Roman" w:hAnsi="Times New Roman"/>
                <w:sz w:val="20"/>
              </w:rPr>
            </w:pPr>
          </w:p>
        </w:tc>
        <w:tc>
          <w:tcPr>
            <w:tcW w:w="6595" w:type="dxa"/>
            <w:vMerge/>
          </w:tcPr>
          <w:p w14:paraId="143F393E" w14:textId="77777777" w:rsidR="00D54188" w:rsidRPr="00D825C9" w:rsidRDefault="00D54188" w:rsidP="00D825C9">
            <w:pPr>
              <w:spacing w:after="0" w:line="240" w:lineRule="auto"/>
              <w:jc w:val="right"/>
              <w:rPr>
                <w:rFonts w:ascii="Times New Roman" w:hAnsi="Times New Roman"/>
                <w:sz w:val="20"/>
              </w:rPr>
            </w:pPr>
          </w:p>
        </w:tc>
      </w:tr>
    </w:tbl>
    <w:p w14:paraId="4E320749" w14:textId="77777777" w:rsidR="00D54188" w:rsidRPr="002F0348" w:rsidRDefault="00D54188" w:rsidP="00D825C9">
      <w:pPr>
        <w:spacing w:after="0" w:line="240" w:lineRule="auto"/>
        <w:jc w:val="center"/>
        <w:rPr>
          <w:rFonts w:ascii="Times New Roman" w:hAnsi="Times New Roman"/>
          <w:sz w:val="24"/>
          <w:szCs w:val="24"/>
        </w:rPr>
      </w:pPr>
      <w:r w:rsidRPr="002F0348">
        <w:rPr>
          <w:rFonts w:ascii="Times New Roman" w:hAnsi="Times New Roman"/>
          <w:sz w:val="24"/>
          <w:szCs w:val="24"/>
        </w:rPr>
        <w:t>г.Нефтеюганск</w:t>
      </w:r>
    </w:p>
    <w:p w14:paraId="68B9241B" w14:textId="0FB9D355" w:rsidR="004D5DB0" w:rsidRPr="003B1269" w:rsidRDefault="004D5DB0" w:rsidP="004D5DB0">
      <w:pPr>
        <w:spacing w:after="0" w:line="240" w:lineRule="auto"/>
        <w:jc w:val="center"/>
        <w:rPr>
          <w:rFonts w:ascii="Times New Roman" w:hAnsi="Times New Roman" w:cs="Times New Roman"/>
          <w:sz w:val="28"/>
          <w:szCs w:val="28"/>
        </w:rPr>
      </w:pPr>
    </w:p>
    <w:p w14:paraId="3F4627EF" w14:textId="0A18955F" w:rsidR="003B1269" w:rsidRDefault="003B1269" w:rsidP="004D5DB0">
      <w:pPr>
        <w:spacing w:after="0" w:line="240" w:lineRule="auto"/>
        <w:jc w:val="center"/>
        <w:rPr>
          <w:rFonts w:ascii="Times New Roman" w:hAnsi="Times New Roman" w:cs="Times New Roman"/>
          <w:sz w:val="26"/>
          <w:szCs w:val="26"/>
          <w:lang w:eastAsia="ar-SA"/>
        </w:rPr>
      </w:pPr>
      <w:r w:rsidRPr="003B1269">
        <w:rPr>
          <w:rFonts w:ascii="Times New Roman" w:hAnsi="Times New Roman" w:cs="Times New Roman"/>
          <w:sz w:val="26"/>
          <w:szCs w:val="26"/>
          <w:lang w:eastAsia="ar-SA"/>
        </w:rPr>
        <w:t>О результатах оценки эффективности предоставляемых налоговых расходов Нефтеюганского района</w:t>
      </w:r>
      <w:r>
        <w:rPr>
          <w:rFonts w:ascii="Times New Roman" w:hAnsi="Times New Roman" w:cs="Times New Roman"/>
          <w:sz w:val="26"/>
          <w:szCs w:val="26"/>
          <w:lang w:eastAsia="ar-SA"/>
        </w:rPr>
        <w:t xml:space="preserve"> за 2022 год</w:t>
      </w:r>
    </w:p>
    <w:p w14:paraId="6C27055F" w14:textId="21AB087C" w:rsidR="003B1269" w:rsidRDefault="003B1269" w:rsidP="004D5DB0">
      <w:pPr>
        <w:spacing w:after="0" w:line="240" w:lineRule="auto"/>
        <w:jc w:val="center"/>
        <w:rPr>
          <w:rFonts w:ascii="Times New Roman" w:hAnsi="Times New Roman" w:cs="Times New Roman"/>
          <w:sz w:val="26"/>
          <w:szCs w:val="26"/>
          <w:lang w:eastAsia="ar-SA"/>
        </w:rPr>
      </w:pPr>
    </w:p>
    <w:p w14:paraId="39714D5F" w14:textId="77777777" w:rsidR="004D5DB0" w:rsidRDefault="004D5DB0" w:rsidP="004D5DB0">
      <w:pPr>
        <w:spacing w:after="0" w:line="240" w:lineRule="auto"/>
        <w:jc w:val="center"/>
        <w:rPr>
          <w:rFonts w:ascii="Times New Roman" w:hAnsi="Times New Roman" w:cs="Times New Roman"/>
          <w:sz w:val="26"/>
          <w:szCs w:val="26"/>
          <w:lang w:eastAsia="ar-SA"/>
        </w:rPr>
      </w:pPr>
    </w:p>
    <w:p w14:paraId="2763D564" w14:textId="6866C141" w:rsidR="003B1269" w:rsidRDefault="003B1269"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B1269">
        <w:rPr>
          <w:rFonts w:ascii="Times New Roman" w:eastAsia="Times New Roman" w:hAnsi="Times New Roman" w:cs="Times New Roman"/>
          <w:sz w:val="26"/>
          <w:szCs w:val="26"/>
          <w:lang w:eastAsia="ru-RU"/>
        </w:rPr>
        <w:t>В соответствии с постановлени</w:t>
      </w:r>
      <w:r w:rsidR="004071BC">
        <w:rPr>
          <w:rFonts w:ascii="Times New Roman" w:eastAsia="Times New Roman" w:hAnsi="Times New Roman" w:cs="Times New Roman"/>
          <w:sz w:val="26"/>
          <w:szCs w:val="26"/>
          <w:lang w:eastAsia="ru-RU"/>
        </w:rPr>
        <w:t>е</w:t>
      </w:r>
      <w:r w:rsidRPr="003B1269">
        <w:rPr>
          <w:rFonts w:ascii="Times New Roman" w:eastAsia="Times New Roman" w:hAnsi="Times New Roman" w:cs="Times New Roman"/>
          <w:sz w:val="26"/>
          <w:szCs w:val="26"/>
          <w:lang w:eastAsia="ru-RU"/>
        </w:rPr>
        <w:t xml:space="preserve">м администрации Нефтеюганского района </w:t>
      </w:r>
      <w:r w:rsidRPr="003B1269">
        <w:rPr>
          <w:rFonts w:ascii="Times New Roman" w:eastAsia="Times New Roman" w:hAnsi="Times New Roman" w:cs="Times New Roman"/>
          <w:sz w:val="26"/>
          <w:szCs w:val="26"/>
          <w:lang w:eastAsia="ru-RU"/>
        </w:rPr>
        <w:br/>
        <w:t>от 2</w:t>
      </w:r>
      <w:r>
        <w:rPr>
          <w:rFonts w:ascii="Times New Roman" w:eastAsia="Times New Roman" w:hAnsi="Times New Roman" w:cs="Times New Roman"/>
          <w:sz w:val="26"/>
          <w:szCs w:val="26"/>
          <w:lang w:eastAsia="ru-RU"/>
        </w:rPr>
        <w:t>5</w:t>
      </w:r>
      <w:r w:rsidRPr="003B126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4</w:t>
      </w:r>
      <w:r w:rsidRPr="003B1269">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3</w:t>
      </w:r>
      <w:r w:rsidRPr="003B126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w:t>
      </w:r>
      <w:r w:rsidRPr="003B1269">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3B1269">
        <w:rPr>
          <w:rFonts w:ascii="Times New Roman" w:eastAsia="Times New Roman" w:hAnsi="Times New Roman" w:cs="Times New Roman"/>
          <w:sz w:val="26"/>
          <w:szCs w:val="26"/>
          <w:lang w:eastAsia="ru-RU"/>
        </w:rPr>
        <w:t xml:space="preserve">-па «Об утверждении </w:t>
      </w:r>
      <w:bookmarkStart w:id="0" w:name="_Hlk127194942"/>
      <w:r w:rsidRPr="003B1269">
        <w:rPr>
          <w:rFonts w:ascii="Times New Roman" w:eastAsia="Times New Roman" w:hAnsi="Times New Roman" w:cs="Times New Roman"/>
          <w:sz w:val="26"/>
          <w:szCs w:val="26"/>
          <w:lang w:eastAsia="ru-RU"/>
        </w:rPr>
        <w:t>порядка формирования перечня налоговых</w:t>
      </w:r>
      <w:r>
        <w:rPr>
          <w:rFonts w:ascii="Times New Roman" w:eastAsia="Times New Roman" w:hAnsi="Times New Roman" w:cs="Times New Roman"/>
          <w:sz w:val="26"/>
          <w:szCs w:val="26"/>
          <w:lang w:eastAsia="ru-RU"/>
        </w:rPr>
        <w:t xml:space="preserve"> </w:t>
      </w:r>
      <w:r w:rsidRPr="003B1269">
        <w:rPr>
          <w:rFonts w:ascii="Times New Roman" w:eastAsia="Times New Roman" w:hAnsi="Times New Roman" w:cs="Times New Roman"/>
          <w:sz w:val="26"/>
          <w:szCs w:val="26"/>
          <w:lang w:eastAsia="ru-RU"/>
        </w:rPr>
        <w:t xml:space="preserve">расходов и </w:t>
      </w:r>
      <w:bookmarkStart w:id="1" w:name="_Hlk127195000"/>
      <w:r w:rsidRPr="003B1269">
        <w:rPr>
          <w:rFonts w:ascii="Times New Roman" w:eastAsia="Times New Roman" w:hAnsi="Times New Roman" w:cs="Times New Roman"/>
          <w:sz w:val="26"/>
          <w:szCs w:val="26"/>
          <w:lang w:eastAsia="ru-RU"/>
        </w:rPr>
        <w:t xml:space="preserve">оценки налоговых расходов </w:t>
      </w:r>
      <w:bookmarkEnd w:id="1"/>
      <w:r w:rsidRPr="003B1269">
        <w:rPr>
          <w:rFonts w:ascii="Times New Roman" w:eastAsia="Times New Roman" w:hAnsi="Times New Roman" w:cs="Times New Roman"/>
          <w:sz w:val="26"/>
          <w:szCs w:val="26"/>
          <w:lang w:eastAsia="ru-RU"/>
        </w:rPr>
        <w:t>Нефтеюганского района</w:t>
      </w:r>
      <w:bookmarkEnd w:id="0"/>
      <w:r w:rsidRPr="003B1269">
        <w:rPr>
          <w:rFonts w:ascii="Times New Roman" w:eastAsia="Times New Roman" w:hAnsi="Times New Roman" w:cs="Times New Roman"/>
          <w:sz w:val="26"/>
          <w:szCs w:val="26"/>
          <w:lang w:eastAsia="ru-RU"/>
        </w:rPr>
        <w:t xml:space="preserve">», протоколом Бюджетной комиссии по формированию проекта бюджета Нефтеюганского района </w:t>
      </w:r>
      <w:r w:rsidR="004D5DB0">
        <w:rPr>
          <w:rFonts w:ascii="Times New Roman" w:eastAsia="Times New Roman" w:hAnsi="Times New Roman" w:cs="Times New Roman"/>
          <w:sz w:val="26"/>
          <w:szCs w:val="26"/>
          <w:lang w:eastAsia="ru-RU"/>
        </w:rPr>
        <w:br/>
      </w:r>
      <w:r w:rsidRPr="003B1269">
        <w:rPr>
          <w:rFonts w:ascii="Times New Roman" w:eastAsia="Times New Roman" w:hAnsi="Times New Roman" w:cs="Times New Roman"/>
          <w:sz w:val="26"/>
          <w:szCs w:val="26"/>
          <w:lang w:eastAsia="ru-RU"/>
        </w:rPr>
        <w:t xml:space="preserve">и внесению изменений и дополнений на очередной финансовый год и плановый период от 10.07.2023 </w:t>
      </w:r>
      <w:r w:rsidRPr="0040558A">
        <w:rPr>
          <w:rFonts w:ascii="Times New Roman" w:eastAsia="Times New Roman" w:hAnsi="Times New Roman" w:cs="Times New Roman"/>
          <w:sz w:val="26"/>
          <w:szCs w:val="26"/>
          <w:lang w:eastAsia="ru-RU"/>
        </w:rPr>
        <w:t>№</w:t>
      </w:r>
      <w:r w:rsidR="00DB3187" w:rsidRPr="0040558A">
        <w:rPr>
          <w:rFonts w:ascii="Times New Roman" w:eastAsia="Times New Roman" w:hAnsi="Times New Roman" w:cs="Times New Roman"/>
          <w:sz w:val="26"/>
          <w:szCs w:val="26"/>
          <w:lang w:eastAsia="ru-RU"/>
        </w:rPr>
        <w:t xml:space="preserve"> </w:t>
      </w:r>
      <w:r w:rsidRPr="003B1269">
        <w:rPr>
          <w:rFonts w:ascii="Times New Roman" w:eastAsia="Times New Roman" w:hAnsi="Times New Roman" w:cs="Times New Roman"/>
          <w:sz w:val="26"/>
          <w:szCs w:val="26"/>
          <w:lang w:eastAsia="ru-RU"/>
        </w:rPr>
        <w:t>3:</w:t>
      </w:r>
    </w:p>
    <w:p w14:paraId="2E37856D" w14:textId="23066B02" w:rsid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53BAF9D6" w14:textId="4910CBE8"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Принять к сведению Аналитическую записку о</w:t>
      </w:r>
      <w:r w:rsidR="0036145A" w:rsidRPr="004D5DB0">
        <w:rPr>
          <w:rFonts w:ascii="Times New Roman" w:eastAsia="Times New Roman" w:hAnsi="Times New Roman"/>
          <w:sz w:val="26"/>
          <w:szCs w:val="26"/>
          <w:lang w:eastAsia="ru-RU"/>
        </w:rPr>
        <w:t xml:space="preserve"> результатах</w:t>
      </w:r>
      <w:r w:rsidRPr="004D5DB0">
        <w:rPr>
          <w:rFonts w:ascii="Times New Roman" w:eastAsia="Times New Roman" w:hAnsi="Times New Roman"/>
          <w:sz w:val="26"/>
          <w:szCs w:val="26"/>
          <w:lang w:eastAsia="ru-RU"/>
        </w:rPr>
        <w:t xml:space="preserve"> оценк</w:t>
      </w:r>
      <w:r w:rsidR="0036145A" w:rsidRPr="004D5DB0">
        <w:rPr>
          <w:rFonts w:ascii="Times New Roman" w:eastAsia="Times New Roman" w:hAnsi="Times New Roman"/>
          <w:sz w:val="26"/>
          <w:szCs w:val="26"/>
          <w:lang w:eastAsia="ru-RU"/>
        </w:rPr>
        <w:t>и</w:t>
      </w:r>
      <w:r w:rsidRPr="004D5DB0">
        <w:rPr>
          <w:rFonts w:ascii="Times New Roman" w:eastAsia="Times New Roman" w:hAnsi="Times New Roman"/>
          <w:sz w:val="26"/>
          <w:szCs w:val="26"/>
          <w:lang w:eastAsia="ru-RU"/>
        </w:rPr>
        <w:t xml:space="preserve"> эффективности предоставленных налоговых расходов Нефтеюганско</w:t>
      </w:r>
      <w:r w:rsidR="0036145A" w:rsidRPr="004D5DB0">
        <w:rPr>
          <w:rFonts w:ascii="Times New Roman" w:eastAsia="Times New Roman" w:hAnsi="Times New Roman"/>
          <w:sz w:val="26"/>
          <w:szCs w:val="26"/>
          <w:lang w:eastAsia="ru-RU"/>
        </w:rPr>
        <w:t>го</w:t>
      </w:r>
      <w:r w:rsidRPr="004D5DB0">
        <w:rPr>
          <w:rFonts w:ascii="Times New Roman" w:eastAsia="Times New Roman" w:hAnsi="Times New Roman"/>
          <w:sz w:val="26"/>
          <w:szCs w:val="26"/>
          <w:lang w:eastAsia="ru-RU"/>
        </w:rPr>
        <w:t xml:space="preserve"> район</w:t>
      </w:r>
      <w:r w:rsidR="0036145A" w:rsidRPr="004D5DB0">
        <w:rPr>
          <w:rFonts w:ascii="Times New Roman" w:eastAsia="Times New Roman" w:hAnsi="Times New Roman"/>
          <w:sz w:val="26"/>
          <w:szCs w:val="26"/>
          <w:lang w:eastAsia="ru-RU"/>
        </w:rPr>
        <w:t>а</w:t>
      </w:r>
      <w:r w:rsidRPr="004D5DB0">
        <w:rPr>
          <w:rFonts w:ascii="Times New Roman" w:eastAsia="Times New Roman" w:hAnsi="Times New Roman"/>
          <w:sz w:val="26"/>
          <w:szCs w:val="26"/>
          <w:lang w:eastAsia="ru-RU"/>
        </w:rPr>
        <w:t xml:space="preserve"> </w:t>
      </w:r>
      <w:r w:rsidR="004D5DB0">
        <w:rPr>
          <w:rFonts w:ascii="Times New Roman" w:eastAsia="Times New Roman" w:hAnsi="Times New Roman"/>
          <w:sz w:val="26"/>
          <w:szCs w:val="26"/>
          <w:lang w:eastAsia="ru-RU"/>
        </w:rPr>
        <w:br/>
      </w:r>
      <w:r w:rsidRPr="004D5DB0">
        <w:rPr>
          <w:rFonts w:ascii="Times New Roman" w:eastAsia="Times New Roman" w:hAnsi="Times New Roman"/>
          <w:sz w:val="26"/>
          <w:szCs w:val="26"/>
          <w:lang w:eastAsia="ru-RU"/>
        </w:rPr>
        <w:t xml:space="preserve">за 2022 год согласно приложению. </w:t>
      </w:r>
    </w:p>
    <w:p w14:paraId="0443F304" w14:textId="18CDEC02" w:rsidR="0036145A"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olor w:val="0070C0"/>
          <w:sz w:val="26"/>
          <w:szCs w:val="26"/>
          <w:lang w:eastAsia="ru-RU"/>
        </w:rPr>
      </w:pPr>
      <w:r w:rsidRPr="004D5DB0">
        <w:rPr>
          <w:rFonts w:ascii="Times New Roman" w:eastAsia="Times New Roman" w:hAnsi="Times New Roman"/>
          <w:sz w:val="26"/>
          <w:szCs w:val="26"/>
          <w:lang w:eastAsia="ru-RU"/>
        </w:rPr>
        <w:t xml:space="preserve">Департаменту финансов Нефтеюганского района (Кофанова О.А.) </w:t>
      </w:r>
      <w:r w:rsidR="0036145A" w:rsidRPr="004D5DB0">
        <w:rPr>
          <w:rFonts w:ascii="Times New Roman" w:eastAsia="Times New Roman" w:hAnsi="Times New Roman"/>
          <w:sz w:val="26"/>
          <w:szCs w:val="26"/>
          <w:lang w:eastAsia="ru-RU"/>
        </w:rPr>
        <w:t xml:space="preserve">учитывать результаты оценки эффективности предоставленных налоговых расходов Нефтеюганского района за 2022 год при формировании основных направлений </w:t>
      </w:r>
      <w:r w:rsidR="006F4F3B" w:rsidRPr="004D5DB0">
        <w:rPr>
          <w:rFonts w:ascii="Times New Roman" w:eastAsia="Times New Roman" w:hAnsi="Times New Roman"/>
          <w:sz w:val="26"/>
          <w:szCs w:val="26"/>
          <w:lang w:eastAsia="ru-RU"/>
        </w:rPr>
        <w:t xml:space="preserve">налоговой, </w:t>
      </w:r>
      <w:r w:rsidR="0036145A" w:rsidRPr="004D5DB0">
        <w:rPr>
          <w:rFonts w:ascii="Times New Roman" w:eastAsia="Times New Roman" w:hAnsi="Times New Roman"/>
          <w:sz w:val="26"/>
          <w:szCs w:val="26"/>
          <w:lang w:eastAsia="ru-RU"/>
        </w:rPr>
        <w:t xml:space="preserve">бюджетной и </w:t>
      </w:r>
      <w:r w:rsidR="006F4F3B" w:rsidRPr="004D5DB0">
        <w:rPr>
          <w:rFonts w:ascii="Times New Roman" w:eastAsia="Times New Roman" w:hAnsi="Times New Roman"/>
          <w:sz w:val="26"/>
          <w:szCs w:val="26"/>
          <w:lang w:eastAsia="ru-RU"/>
        </w:rPr>
        <w:t>долговой</w:t>
      </w:r>
      <w:r w:rsidR="0036145A" w:rsidRPr="004D5DB0">
        <w:rPr>
          <w:rFonts w:ascii="Times New Roman" w:eastAsia="Times New Roman" w:hAnsi="Times New Roman"/>
          <w:sz w:val="26"/>
          <w:szCs w:val="26"/>
          <w:lang w:eastAsia="ru-RU"/>
        </w:rPr>
        <w:t xml:space="preserve"> политики Нефтеюганского района. </w:t>
      </w:r>
    </w:p>
    <w:p w14:paraId="5F245727" w14:textId="246B4F56"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Настоящее распоряжение подлежит размещению на официальном сайте органов местного самоуправления Нефтеюганского района</w:t>
      </w:r>
      <w:r w:rsidR="00126F67" w:rsidRPr="004D5DB0">
        <w:rPr>
          <w:rFonts w:ascii="Times New Roman" w:eastAsia="Times New Roman" w:hAnsi="Times New Roman"/>
          <w:sz w:val="26"/>
          <w:szCs w:val="26"/>
          <w:lang w:eastAsia="ru-RU"/>
        </w:rPr>
        <w:t xml:space="preserve"> в разделе «Бюджет </w:t>
      </w:r>
      <w:r w:rsidR="004D5DB0">
        <w:rPr>
          <w:rFonts w:ascii="Times New Roman" w:eastAsia="Times New Roman" w:hAnsi="Times New Roman"/>
          <w:sz w:val="26"/>
          <w:szCs w:val="26"/>
          <w:lang w:eastAsia="ru-RU"/>
        </w:rPr>
        <w:br/>
      </w:r>
      <w:r w:rsidR="00126F67" w:rsidRPr="004D5DB0">
        <w:rPr>
          <w:rFonts w:ascii="Times New Roman" w:eastAsia="Times New Roman" w:hAnsi="Times New Roman"/>
          <w:sz w:val="26"/>
          <w:szCs w:val="26"/>
          <w:lang w:eastAsia="ru-RU"/>
        </w:rPr>
        <w:t>и финансы»</w:t>
      </w:r>
      <w:r w:rsidRPr="004D5DB0">
        <w:rPr>
          <w:rFonts w:ascii="Times New Roman" w:eastAsia="Times New Roman" w:hAnsi="Times New Roman"/>
          <w:sz w:val="26"/>
          <w:szCs w:val="26"/>
          <w:lang w:eastAsia="ru-RU"/>
        </w:rPr>
        <w:t>.</w:t>
      </w:r>
      <w:r w:rsidR="00126F67" w:rsidRPr="004D5DB0">
        <w:rPr>
          <w:rFonts w:ascii="Times New Roman" w:eastAsia="Times New Roman" w:hAnsi="Times New Roman"/>
          <w:sz w:val="26"/>
          <w:szCs w:val="26"/>
          <w:lang w:eastAsia="ru-RU"/>
        </w:rPr>
        <w:t xml:space="preserve"> </w:t>
      </w:r>
    </w:p>
    <w:p w14:paraId="10306151" w14:textId="56F8C887" w:rsidR="006C16A3" w:rsidRPr="004D5DB0" w:rsidRDefault="006C16A3" w:rsidP="004D5DB0">
      <w:pPr>
        <w:pStyle w:val="a3"/>
        <w:numPr>
          <w:ilvl w:val="0"/>
          <w:numId w:val="6"/>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4D5DB0">
        <w:rPr>
          <w:rFonts w:ascii="Times New Roman" w:eastAsia="Times New Roman" w:hAnsi="Times New Roman"/>
          <w:sz w:val="26"/>
          <w:szCs w:val="26"/>
          <w:lang w:eastAsia="ru-RU"/>
        </w:rPr>
        <w:t xml:space="preserve">Контроль за выполнением распоряжения возложить на заместителя главы Нефтеюганского района Щегульную Л.И. </w:t>
      </w:r>
    </w:p>
    <w:p w14:paraId="2B12145A" w14:textId="77777777" w:rsidR="006C16A3" w:rsidRP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FA395D0" w14:textId="77777777" w:rsidR="006C16A3" w:rsidRP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1B73396" w14:textId="6F9FDB11" w:rsidR="006C16A3"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ABD9132" w14:textId="333236C6" w:rsidR="00C562B4" w:rsidRPr="00C562B4" w:rsidRDefault="00C562B4" w:rsidP="004D5DB0">
      <w:pPr>
        <w:spacing w:after="0" w:line="240" w:lineRule="auto"/>
        <w:rPr>
          <w:rFonts w:ascii="Times New Roman" w:eastAsia="Calibri" w:hAnsi="Times New Roman" w:cs="Times New Roman"/>
          <w:sz w:val="26"/>
          <w:szCs w:val="26"/>
        </w:rPr>
      </w:pPr>
      <w:r w:rsidRPr="00C562B4">
        <w:rPr>
          <w:rFonts w:ascii="Times New Roman" w:eastAsia="Calibri" w:hAnsi="Times New Roman" w:cs="Times New Roman"/>
          <w:sz w:val="26"/>
          <w:szCs w:val="26"/>
        </w:rPr>
        <w:t>Глава района</w:t>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r>
      <w:r w:rsidR="004D5DB0">
        <w:rPr>
          <w:rFonts w:ascii="Times New Roman" w:eastAsia="Calibri" w:hAnsi="Times New Roman" w:cs="Times New Roman"/>
          <w:sz w:val="26"/>
          <w:szCs w:val="26"/>
        </w:rPr>
        <w:t xml:space="preserve">           </w:t>
      </w:r>
      <w:r w:rsidRPr="00C562B4">
        <w:rPr>
          <w:rFonts w:ascii="Times New Roman" w:eastAsia="Calibri" w:hAnsi="Times New Roman" w:cs="Times New Roman"/>
          <w:sz w:val="26"/>
          <w:szCs w:val="26"/>
        </w:rPr>
        <w:tab/>
      </w:r>
      <w:r w:rsidRPr="00C562B4">
        <w:rPr>
          <w:rFonts w:ascii="Times New Roman" w:eastAsia="Calibri" w:hAnsi="Times New Roman" w:cs="Times New Roman"/>
          <w:sz w:val="26"/>
          <w:szCs w:val="26"/>
        </w:rPr>
        <w:tab/>
        <w:t>А.А.Бочко</w:t>
      </w:r>
    </w:p>
    <w:p w14:paraId="4843FF59" w14:textId="77777777" w:rsidR="006C16A3" w:rsidRPr="003B1269" w:rsidRDefault="006C16A3" w:rsidP="004D5DB0">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12C8F8A" w14:textId="558B88FC" w:rsidR="003B1269" w:rsidRDefault="003B1269" w:rsidP="004D5DB0">
      <w:pPr>
        <w:spacing w:after="0" w:line="240" w:lineRule="auto"/>
        <w:jc w:val="center"/>
        <w:rPr>
          <w:rFonts w:ascii="Times New Roman" w:hAnsi="Times New Roman" w:cs="Times New Roman"/>
          <w:sz w:val="26"/>
          <w:szCs w:val="26"/>
          <w:lang w:eastAsia="ar-SA"/>
        </w:rPr>
      </w:pPr>
    </w:p>
    <w:p w14:paraId="6512FC18" w14:textId="3718047B" w:rsidR="00126F67" w:rsidRDefault="00126F67" w:rsidP="004D5DB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14:paraId="40DA656D" w14:textId="77777777" w:rsidR="004D5DB0" w:rsidRPr="004D5DB0" w:rsidRDefault="004D5DB0" w:rsidP="004D5DB0">
      <w:pPr>
        <w:tabs>
          <w:tab w:val="left" w:pos="567"/>
        </w:tabs>
        <w:spacing w:after="0" w:line="240" w:lineRule="auto"/>
        <w:ind w:right="1558" w:firstLine="5387"/>
        <w:rPr>
          <w:rFonts w:ascii="Times New Roman" w:eastAsia="Times New Roman" w:hAnsi="Times New Roman" w:cs="Times New Roman"/>
          <w:sz w:val="26"/>
          <w:szCs w:val="24"/>
          <w:lang w:eastAsia="ru-RU"/>
        </w:rPr>
      </w:pPr>
      <w:r w:rsidRPr="004D5DB0">
        <w:rPr>
          <w:rFonts w:ascii="Times New Roman" w:eastAsia="Times New Roman" w:hAnsi="Times New Roman" w:cs="Times New Roman"/>
          <w:sz w:val="26"/>
          <w:szCs w:val="24"/>
          <w:lang w:eastAsia="ru-RU"/>
        </w:rPr>
        <w:lastRenderedPageBreak/>
        <w:t>Приложение</w:t>
      </w:r>
    </w:p>
    <w:p w14:paraId="1571D02E" w14:textId="7ADDB533" w:rsidR="004D5DB0" w:rsidRPr="004D5DB0" w:rsidRDefault="004D5DB0" w:rsidP="004D5DB0">
      <w:pPr>
        <w:tabs>
          <w:tab w:val="left" w:pos="567"/>
          <w:tab w:val="left" w:pos="9639"/>
        </w:tabs>
        <w:spacing w:after="0" w:line="240" w:lineRule="auto"/>
        <w:ind w:firstLine="5387"/>
        <w:rPr>
          <w:rFonts w:ascii="Times New Roman" w:eastAsia="Times New Roman" w:hAnsi="Times New Roman" w:cs="Times New Roman"/>
          <w:bCs/>
          <w:noProof/>
          <w:sz w:val="26"/>
          <w:lang w:eastAsia="ru-RU"/>
        </w:rPr>
      </w:pPr>
      <w:r w:rsidRPr="004D5DB0">
        <w:rPr>
          <w:rFonts w:ascii="Times New Roman" w:eastAsia="Times New Roman" w:hAnsi="Times New Roman" w:cs="Times New Roman"/>
          <w:bCs/>
          <w:noProof/>
          <w:sz w:val="26"/>
          <w:lang w:eastAsia="ru-RU"/>
        </w:rPr>
        <w:t xml:space="preserve">к </w:t>
      </w:r>
      <w:r>
        <w:rPr>
          <w:rFonts w:ascii="Times New Roman" w:eastAsia="Times New Roman" w:hAnsi="Times New Roman" w:cs="Times New Roman"/>
          <w:bCs/>
          <w:noProof/>
          <w:sz w:val="26"/>
          <w:lang w:eastAsia="ru-RU"/>
        </w:rPr>
        <w:t>распоряжению</w:t>
      </w:r>
      <w:r w:rsidRPr="004D5DB0">
        <w:rPr>
          <w:rFonts w:ascii="Times New Roman" w:eastAsia="Times New Roman" w:hAnsi="Times New Roman" w:cs="Times New Roman"/>
          <w:bCs/>
          <w:noProof/>
          <w:sz w:val="26"/>
          <w:lang w:eastAsia="ru-RU"/>
        </w:rPr>
        <w:t xml:space="preserve"> администрации</w:t>
      </w:r>
    </w:p>
    <w:p w14:paraId="4A4C366C" w14:textId="77777777" w:rsidR="004D5DB0" w:rsidRPr="004D5DB0" w:rsidRDefault="004D5DB0" w:rsidP="004D5DB0">
      <w:pPr>
        <w:tabs>
          <w:tab w:val="left" w:pos="567"/>
        </w:tabs>
        <w:spacing w:after="0" w:line="240" w:lineRule="auto"/>
        <w:ind w:firstLine="5387"/>
        <w:rPr>
          <w:rFonts w:ascii="Times New Roman" w:eastAsia="Times New Roman" w:hAnsi="Times New Roman" w:cs="Times New Roman"/>
          <w:sz w:val="26"/>
          <w:lang w:eastAsia="ru-RU"/>
        </w:rPr>
      </w:pPr>
      <w:r w:rsidRPr="004D5DB0">
        <w:rPr>
          <w:rFonts w:ascii="Times New Roman" w:eastAsia="Times New Roman" w:hAnsi="Times New Roman" w:cs="Times New Roman"/>
          <w:bCs/>
          <w:noProof/>
          <w:sz w:val="26"/>
          <w:lang w:eastAsia="ru-RU"/>
        </w:rPr>
        <w:t>Нефтеюганского района</w:t>
      </w:r>
    </w:p>
    <w:p w14:paraId="68D0B289" w14:textId="5550CA18" w:rsidR="004D5DB0" w:rsidRPr="004D5DB0" w:rsidRDefault="004D5DB0" w:rsidP="004D5DB0">
      <w:pPr>
        <w:tabs>
          <w:tab w:val="left" w:pos="567"/>
        </w:tabs>
        <w:spacing w:after="0" w:line="240" w:lineRule="auto"/>
        <w:ind w:firstLine="5387"/>
        <w:rPr>
          <w:rFonts w:ascii="Times New Roman" w:eastAsia="Times New Roman" w:hAnsi="Times New Roman" w:cs="Times New Roman"/>
          <w:sz w:val="26"/>
          <w:lang w:eastAsia="ru-RU"/>
        </w:rPr>
      </w:pPr>
      <w:r w:rsidRPr="004D5DB0">
        <w:rPr>
          <w:rFonts w:ascii="Times New Roman" w:eastAsia="Times New Roman" w:hAnsi="Times New Roman" w:cs="Times New Roman"/>
          <w:sz w:val="26"/>
          <w:lang w:eastAsia="ru-RU"/>
        </w:rPr>
        <w:t xml:space="preserve">от </w:t>
      </w:r>
      <w:r w:rsidR="00D54188">
        <w:rPr>
          <w:rFonts w:ascii="Times New Roman" w:eastAsia="Times New Roman" w:hAnsi="Times New Roman" w:cs="Times New Roman"/>
          <w:sz w:val="26"/>
          <w:lang w:eastAsia="ru-RU"/>
        </w:rPr>
        <w:t>04.08.2023</w:t>
      </w:r>
      <w:r w:rsidRPr="004D5DB0">
        <w:rPr>
          <w:rFonts w:ascii="Times New Roman" w:eastAsia="Times New Roman" w:hAnsi="Times New Roman" w:cs="Times New Roman"/>
          <w:sz w:val="26"/>
          <w:lang w:eastAsia="ru-RU"/>
        </w:rPr>
        <w:t xml:space="preserve"> № </w:t>
      </w:r>
      <w:r w:rsidR="00D54188">
        <w:rPr>
          <w:rFonts w:ascii="Times New Roman" w:eastAsia="Times New Roman" w:hAnsi="Times New Roman" w:cs="Times New Roman"/>
          <w:sz w:val="26"/>
          <w:lang w:eastAsia="ru-RU"/>
        </w:rPr>
        <w:t>361-ра</w:t>
      </w:r>
    </w:p>
    <w:p w14:paraId="749684BC" w14:textId="77777777" w:rsidR="00126F67" w:rsidRPr="00126F67" w:rsidRDefault="00126F67" w:rsidP="004D5DB0">
      <w:pPr>
        <w:spacing w:after="0" w:line="240" w:lineRule="auto"/>
        <w:jc w:val="right"/>
        <w:rPr>
          <w:rFonts w:ascii="Times New Roman" w:eastAsia="Times New Roman" w:hAnsi="Times New Roman" w:cs="Times New Roman"/>
          <w:sz w:val="26"/>
          <w:szCs w:val="26"/>
          <w:lang w:eastAsia="ru-RU"/>
        </w:rPr>
      </w:pPr>
    </w:p>
    <w:p w14:paraId="4D6F2405" w14:textId="77777777" w:rsidR="00126F67" w:rsidRPr="00126F67" w:rsidRDefault="00126F67" w:rsidP="004D5DB0">
      <w:pPr>
        <w:spacing w:after="0" w:line="240" w:lineRule="auto"/>
        <w:jc w:val="right"/>
        <w:rPr>
          <w:rFonts w:ascii="Times New Roman" w:eastAsia="Times New Roman" w:hAnsi="Times New Roman" w:cs="Times New Roman"/>
          <w:sz w:val="26"/>
          <w:szCs w:val="26"/>
          <w:lang w:eastAsia="ru-RU"/>
        </w:rPr>
      </w:pPr>
    </w:p>
    <w:p w14:paraId="3BC5BA3E" w14:textId="77777777" w:rsidR="00126F67" w:rsidRPr="00126F67" w:rsidRDefault="00126F67" w:rsidP="004D5DB0">
      <w:pPr>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Аналитическая записка</w:t>
      </w:r>
    </w:p>
    <w:p w14:paraId="2B86C1FA" w14:textId="77777777" w:rsidR="00126F67" w:rsidRPr="00126F67" w:rsidRDefault="00126F67" w:rsidP="004D5DB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 результатах оценки эффективности предоставленных налоговых расходов </w:t>
      </w:r>
    </w:p>
    <w:p w14:paraId="6BCC6B69" w14:textId="6B3F9F7F" w:rsidR="00126F67" w:rsidRDefault="00126F67" w:rsidP="004D5DB0">
      <w:pPr>
        <w:spacing w:after="0" w:line="240" w:lineRule="auto"/>
        <w:jc w:val="center"/>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Нефтеюганского района за 2022 год</w:t>
      </w:r>
    </w:p>
    <w:p w14:paraId="02D6B517" w14:textId="77777777" w:rsidR="00126F67" w:rsidRPr="00126F67" w:rsidRDefault="00126F67" w:rsidP="004D5DB0">
      <w:pPr>
        <w:spacing w:after="0" w:line="240" w:lineRule="auto"/>
        <w:jc w:val="center"/>
        <w:rPr>
          <w:rFonts w:ascii="Times New Roman" w:eastAsia="Times New Roman" w:hAnsi="Times New Roman" w:cs="Times New Roman"/>
          <w:sz w:val="26"/>
          <w:szCs w:val="26"/>
          <w:lang w:eastAsia="ru-RU"/>
        </w:rPr>
      </w:pPr>
    </w:p>
    <w:p w14:paraId="182302D9" w14:textId="0DB5D7EC"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Оценка эффективности предоставленных налоговых расходов Нефтеюганского района (далее – налоговые расходы) за 2022 год проведена в соответствии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постановлением администрации Нефтеюганского района от 25.04.2023 № 569-па </w:t>
      </w:r>
      <w:r w:rsidR="004D5DB0">
        <w:rPr>
          <w:rFonts w:ascii="Times New Roman" w:eastAsia="Times New Roman" w:hAnsi="Times New Roman" w:cs="Times New Roman"/>
          <w:sz w:val="26"/>
          <w:szCs w:val="26"/>
          <w:lang w:eastAsia="ru-RU"/>
        </w:rPr>
        <w:br/>
      </w:r>
      <w:r w:rsidR="00C236F3">
        <w:rPr>
          <w:rFonts w:ascii="Times New Roman" w:eastAsia="Times New Roman" w:hAnsi="Times New Roman" w:cs="Times New Roman"/>
          <w:sz w:val="26"/>
          <w:szCs w:val="26"/>
          <w:lang w:eastAsia="ru-RU"/>
        </w:rPr>
        <w:t>«</w:t>
      </w:r>
      <w:r w:rsidR="00C236F3" w:rsidRPr="00C236F3">
        <w:rPr>
          <w:rFonts w:ascii="Times New Roman" w:eastAsia="Times New Roman" w:hAnsi="Times New Roman" w:cs="Times New Roman"/>
          <w:sz w:val="26"/>
          <w:szCs w:val="26"/>
          <w:lang w:eastAsia="ru-RU"/>
        </w:rPr>
        <w:t>Об утверждении порядка формирования перечня налоговых</w:t>
      </w:r>
      <w:r w:rsidR="00C236F3">
        <w:rPr>
          <w:rFonts w:ascii="Times New Roman" w:eastAsia="Times New Roman" w:hAnsi="Times New Roman" w:cs="Times New Roman"/>
          <w:sz w:val="26"/>
          <w:szCs w:val="26"/>
          <w:lang w:eastAsia="ru-RU"/>
        </w:rPr>
        <w:t xml:space="preserve"> </w:t>
      </w:r>
      <w:r w:rsidR="00C236F3" w:rsidRPr="00C236F3">
        <w:rPr>
          <w:rFonts w:ascii="Times New Roman" w:eastAsia="Times New Roman" w:hAnsi="Times New Roman" w:cs="Times New Roman"/>
          <w:sz w:val="26"/>
          <w:szCs w:val="26"/>
          <w:lang w:eastAsia="ru-RU"/>
        </w:rPr>
        <w:t>расходов и оценки налоговых расходов Нефтеюганского района</w:t>
      </w:r>
      <w:r w:rsidR="00C236F3">
        <w:rPr>
          <w:rFonts w:ascii="Times New Roman" w:eastAsia="Times New Roman" w:hAnsi="Times New Roman" w:cs="Times New Roman"/>
          <w:sz w:val="26"/>
          <w:szCs w:val="26"/>
          <w:lang w:eastAsia="ru-RU"/>
        </w:rPr>
        <w:t xml:space="preserve">» </w:t>
      </w:r>
      <w:r w:rsidR="00F37550">
        <w:rPr>
          <w:rFonts w:ascii="Times New Roman" w:eastAsia="Times New Roman" w:hAnsi="Times New Roman" w:cs="Times New Roman"/>
          <w:sz w:val="26"/>
          <w:szCs w:val="26"/>
          <w:lang w:eastAsia="ru-RU"/>
        </w:rPr>
        <w:t>(</w:t>
      </w:r>
      <w:r w:rsidRPr="00126F67">
        <w:rPr>
          <w:rFonts w:ascii="Times New Roman" w:eastAsia="Times New Roman" w:hAnsi="Times New Roman" w:cs="Times New Roman"/>
          <w:sz w:val="26"/>
          <w:szCs w:val="26"/>
          <w:lang w:eastAsia="ru-RU"/>
        </w:rPr>
        <w:t xml:space="preserve">далее – постановление </w:t>
      </w:r>
      <w:r w:rsidR="0040558A" w:rsidRPr="0040558A">
        <w:rPr>
          <w:rFonts w:ascii="Times New Roman" w:eastAsia="Times New Roman" w:hAnsi="Times New Roman" w:cs="Times New Roman"/>
          <w:sz w:val="26"/>
          <w:szCs w:val="26"/>
          <w:lang w:eastAsia="ru-RU"/>
        </w:rPr>
        <w:t>от 25.04.2023</w:t>
      </w:r>
      <w:r w:rsidR="0040558A">
        <w:rPr>
          <w:rFonts w:ascii="Times New Roman" w:eastAsia="Times New Roman" w:hAnsi="Times New Roman" w:cs="Times New Roman"/>
          <w:sz w:val="26"/>
          <w:szCs w:val="26"/>
          <w:lang w:eastAsia="ru-RU"/>
        </w:rPr>
        <w:t xml:space="preserve">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569-па)</w:t>
      </w:r>
      <w:r w:rsidR="00C236F3">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xml:space="preserve">Целью проведения оценки эффективности налоговых расходов является выявление неэффективных налоговых расходов, разработка рекомендаций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о сохранении или об отмене налоговых льгот, освобождений и иных преференций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по налогам.</w:t>
      </w:r>
    </w:p>
    <w:p w14:paraId="123101D2" w14:textId="0BB7181A" w:rsidR="00126F67" w:rsidRPr="00126F67" w:rsidRDefault="00126F67" w:rsidP="004D5DB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 </w:t>
      </w:r>
      <w:r w:rsidR="00F37550">
        <w:rPr>
          <w:rFonts w:ascii="Times New Roman" w:eastAsia="Times New Roman" w:hAnsi="Times New Roman" w:cs="Times New Roman"/>
          <w:sz w:val="26"/>
          <w:szCs w:val="26"/>
          <w:lang w:eastAsia="ru-RU"/>
        </w:rPr>
        <w:tab/>
      </w:r>
      <w:r w:rsidRPr="00126F67">
        <w:rPr>
          <w:rFonts w:ascii="Times New Roman" w:eastAsia="Times New Roman" w:hAnsi="Times New Roman" w:cs="Times New Roman"/>
          <w:sz w:val="26"/>
          <w:szCs w:val="26"/>
          <w:lang w:eastAsia="ru-RU"/>
        </w:rPr>
        <w:t xml:space="preserve">Для проведения оценки эффективности налоговых расходов использовались данные о категориях налогоплательщиков, о суммах выпадающих доходов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и количестве налогоплательщиков, воспользовавшихся льготами, представленными Межрайонной ИФНС России № 7 по Ханты-Мансийскому автономному округу – Югре, информация, представленная кураторами налоговых расходов и отчеты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по форме № 5-МН «О налоговой базе и структуре начислений по местным налогам» (далее – форма № 5-МН).</w:t>
      </w:r>
    </w:p>
    <w:p w14:paraId="7D1F9799" w14:textId="0A245220" w:rsidR="00126F67" w:rsidRPr="00126F67" w:rsidRDefault="00126F67" w:rsidP="004D5DB0">
      <w:pPr>
        <w:widowControl w:val="0"/>
        <w:suppressAutoHyphens/>
        <w:autoSpaceDE w:val="0"/>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Информация о структуре и динамике налоговых расходов по видам налогов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за 2020 – 2022 годы представлена в таблице 1.</w:t>
      </w:r>
    </w:p>
    <w:p w14:paraId="4007BF45"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p>
    <w:p w14:paraId="0441891F" w14:textId="77777777" w:rsidR="00126F67" w:rsidRPr="00126F67" w:rsidRDefault="00126F67" w:rsidP="004D5DB0">
      <w:pPr>
        <w:widowControl w:val="0"/>
        <w:suppressAutoHyphens/>
        <w:autoSpaceDE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Структура и динамика налоговых расходов по видам налогов </w:t>
      </w:r>
    </w:p>
    <w:p w14:paraId="61360F93" w14:textId="77777777" w:rsidR="00126F67" w:rsidRPr="00126F67" w:rsidRDefault="00126F67" w:rsidP="004D5DB0">
      <w:pPr>
        <w:widowControl w:val="0"/>
        <w:suppressAutoHyphens/>
        <w:autoSpaceDE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за 2020 – 2022 годы</w:t>
      </w:r>
    </w:p>
    <w:p w14:paraId="720065C6"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bookmarkStart w:id="2" w:name="_Hlk136252129"/>
      <w:r w:rsidRPr="00126F67">
        <w:rPr>
          <w:rFonts w:ascii="Times New Roman" w:eastAsia="Times New Roman" w:hAnsi="Times New Roman" w:cs="Times New Roman"/>
          <w:kern w:val="2"/>
          <w:sz w:val="26"/>
          <w:szCs w:val="26"/>
          <w:lang w:eastAsia="zh-CN"/>
        </w:rPr>
        <w:t>Таблица 1</w:t>
      </w:r>
    </w:p>
    <w:tbl>
      <w:tblPr>
        <w:tblW w:w="5000" w:type="pct"/>
        <w:tblInd w:w="-125" w:type="dxa"/>
        <w:tblLayout w:type="fixed"/>
        <w:tblLook w:val="0000" w:firstRow="0" w:lastRow="0" w:firstColumn="0" w:lastColumn="0" w:noHBand="0" w:noVBand="0"/>
      </w:tblPr>
      <w:tblGrid>
        <w:gridCol w:w="694"/>
        <w:gridCol w:w="4353"/>
        <w:gridCol w:w="1494"/>
        <w:gridCol w:w="1537"/>
        <w:gridCol w:w="1550"/>
      </w:tblGrid>
      <w:tr w:rsidR="00126F67" w:rsidRPr="00126F67" w14:paraId="1C081A3A" w14:textId="77777777" w:rsidTr="003C0879">
        <w:tc>
          <w:tcPr>
            <w:tcW w:w="690" w:type="dxa"/>
            <w:tcBorders>
              <w:top w:val="single" w:sz="4" w:space="0" w:color="000000"/>
              <w:left w:val="single" w:sz="4" w:space="0" w:color="000000"/>
              <w:bottom w:val="single" w:sz="4" w:space="0" w:color="000000"/>
            </w:tcBorders>
            <w:shd w:val="clear" w:color="auto" w:fill="auto"/>
          </w:tcPr>
          <w:p w14:paraId="144D41F0"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 </w:t>
            </w:r>
          </w:p>
        </w:tc>
        <w:tc>
          <w:tcPr>
            <w:tcW w:w="4327" w:type="dxa"/>
            <w:tcBorders>
              <w:top w:val="single" w:sz="4" w:space="0" w:color="000000"/>
              <w:left w:val="single" w:sz="4" w:space="0" w:color="000000"/>
              <w:bottom w:val="single" w:sz="4" w:space="0" w:color="000000"/>
            </w:tcBorders>
            <w:shd w:val="clear" w:color="auto" w:fill="auto"/>
          </w:tcPr>
          <w:p w14:paraId="72E741F7"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tcPr>
          <w:p w14:paraId="2CDAA043"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2020 год</w:t>
            </w:r>
          </w:p>
        </w:tc>
        <w:tc>
          <w:tcPr>
            <w:tcW w:w="1528" w:type="dxa"/>
            <w:tcBorders>
              <w:top w:val="single" w:sz="4" w:space="0" w:color="000000"/>
              <w:left w:val="single" w:sz="4" w:space="0" w:color="000000"/>
              <w:bottom w:val="single" w:sz="4" w:space="0" w:color="000000"/>
            </w:tcBorders>
            <w:shd w:val="clear" w:color="auto" w:fill="auto"/>
          </w:tcPr>
          <w:p w14:paraId="5A42E3CF"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2021 год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32A6240" w14:textId="77777777" w:rsidR="00126F67" w:rsidRPr="004D5DB0" w:rsidRDefault="00126F67" w:rsidP="004D5DB0">
            <w:pPr>
              <w:widowControl w:val="0"/>
              <w:suppressAutoHyphens/>
              <w:spacing w:after="0" w:line="240" w:lineRule="auto"/>
              <w:jc w:val="center"/>
              <w:textAlignment w:val="baseline"/>
              <w:rPr>
                <w:rFonts w:ascii="Times New Roman" w:eastAsia="Times New Roman" w:hAnsi="Times New Roman" w:cs="Times New Roman"/>
                <w:bCs/>
                <w:kern w:val="2"/>
                <w:sz w:val="26"/>
                <w:szCs w:val="26"/>
                <w:lang w:eastAsia="zh-CN"/>
              </w:rPr>
            </w:pPr>
            <w:r w:rsidRPr="004D5DB0">
              <w:rPr>
                <w:rFonts w:ascii="Times New Roman" w:eastAsia="Times New Roman" w:hAnsi="Times New Roman" w:cs="Times New Roman"/>
                <w:bCs/>
                <w:kern w:val="2"/>
                <w:sz w:val="26"/>
                <w:szCs w:val="26"/>
                <w:lang w:eastAsia="zh-CN"/>
              </w:rPr>
              <w:t xml:space="preserve">2022 год </w:t>
            </w:r>
          </w:p>
        </w:tc>
      </w:tr>
      <w:tr w:rsidR="00126F67" w:rsidRPr="00126F67" w14:paraId="2A437CA3" w14:textId="77777777" w:rsidTr="003C0879">
        <w:trPr>
          <w:trHeight w:val="907"/>
        </w:trPr>
        <w:tc>
          <w:tcPr>
            <w:tcW w:w="690" w:type="dxa"/>
            <w:tcBorders>
              <w:top w:val="single" w:sz="4" w:space="0" w:color="000000"/>
              <w:left w:val="single" w:sz="4" w:space="0" w:color="000000"/>
              <w:bottom w:val="single" w:sz="4" w:space="0" w:color="000000"/>
            </w:tcBorders>
            <w:shd w:val="clear" w:color="auto" w:fill="auto"/>
          </w:tcPr>
          <w:p w14:paraId="7DE2E8E6" w14:textId="2E493E76"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50DCADA"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Объем налоговых и неналоговых доходов бюджета Нефтеюганского района, тыс. рублей (всего)</w:t>
            </w:r>
          </w:p>
        </w:tc>
        <w:tc>
          <w:tcPr>
            <w:tcW w:w="1485" w:type="dxa"/>
            <w:tcBorders>
              <w:top w:val="single" w:sz="4" w:space="0" w:color="000000"/>
              <w:left w:val="single" w:sz="4" w:space="0" w:color="000000"/>
              <w:bottom w:val="single" w:sz="4" w:space="0" w:color="000000"/>
            </w:tcBorders>
            <w:shd w:val="clear" w:color="auto" w:fill="auto"/>
          </w:tcPr>
          <w:p w14:paraId="7D2BB414"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2 320 106,1</w:t>
            </w:r>
          </w:p>
        </w:tc>
        <w:tc>
          <w:tcPr>
            <w:tcW w:w="1528" w:type="dxa"/>
            <w:tcBorders>
              <w:top w:val="single" w:sz="4" w:space="0" w:color="000000"/>
              <w:left w:val="single" w:sz="4" w:space="0" w:color="000000"/>
              <w:bottom w:val="single" w:sz="4" w:space="0" w:color="000000"/>
            </w:tcBorders>
            <w:shd w:val="clear" w:color="auto" w:fill="auto"/>
          </w:tcPr>
          <w:p w14:paraId="10A86DE3"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2 890 891,3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8C527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2 255 428,8</w:t>
            </w:r>
          </w:p>
        </w:tc>
      </w:tr>
      <w:tr w:rsidR="00126F67" w:rsidRPr="00126F67" w14:paraId="6926B2A3" w14:textId="77777777" w:rsidTr="003C0879">
        <w:tc>
          <w:tcPr>
            <w:tcW w:w="690" w:type="dxa"/>
            <w:tcBorders>
              <w:top w:val="single" w:sz="4" w:space="0" w:color="000000"/>
              <w:left w:val="single" w:sz="4" w:space="0" w:color="000000"/>
              <w:bottom w:val="single" w:sz="4" w:space="0" w:color="000000"/>
            </w:tcBorders>
            <w:shd w:val="clear" w:color="auto" w:fill="auto"/>
          </w:tcPr>
          <w:p w14:paraId="7A114CE8" w14:textId="4AEDFE72"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4C05C5E"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Налоговые расходы, обусловленные льготами, пониженными ставками, установленными решениями Думы Нефтеюганского района, тыс. рублей (всего)</w:t>
            </w:r>
          </w:p>
        </w:tc>
        <w:tc>
          <w:tcPr>
            <w:tcW w:w="1485" w:type="dxa"/>
            <w:tcBorders>
              <w:top w:val="single" w:sz="4" w:space="0" w:color="000000"/>
              <w:left w:val="single" w:sz="4" w:space="0" w:color="000000"/>
              <w:bottom w:val="single" w:sz="4" w:space="0" w:color="000000"/>
            </w:tcBorders>
            <w:shd w:val="clear" w:color="auto" w:fill="auto"/>
          </w:tcPr>
          <w:p w14:paraId="62A42DD4"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977,6 </w:t>
            </w:r>
          </w:p>
        </w:tc>
        <w:tc>
          <w:tcPr>
            <w:tcW w:w="1528" w:type="dxa"/>
            <w:tcBorders>
              <w:top w:val="single" w:sz="4" w:space="0" w:color="000000"/>
              <w:left w:val="single" w:sz="4" w:space="0" w:color="000000"/>
              <w:bottom w:val="single" w:sz="4" w:space="0" w:color="000000"/>
            </w:tcBorders>
            <w:shd w:val="clear" w:color="auto" w:fill="auto"/>
          </w:tcPr>
          <w:p w14:paraId="4F7F1A3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1 035,8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A1EC2D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974,6 </w:t>
            </w:r>
          </w:p>
        </w:tc>
      </w:tr>
      <w:tr w:rsidR="00126F67" w:rsidRPr="00126F67" w14:paraId="5AFEDC3F" w14:textId="77777777" w:rsidTr="003C0879">
        <w:tc>
          <w:tcPr>
            <w:tcW w:w="690" w:type="dxa"/>
            <w:tcBorders>
              <w:top w:val="single" w:sz="4" w:space="0" w:color="000000"/>
              <w:left w:val="single" w:sz="4" w:space="0" w:color="000000"/>
              <w:bottom w:val="single" w:sz="4" w:space="0" w:color="000000"/>
            </w:tcBorders>
            <w:shd w:val="clear" w:color="auto" w:fill="auto"/>
          </w:tcPr>
          <w:p w14:paraId="0C9FF7F3" w14:textId="2747437E"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1.2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6FF7EBDB"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налоговых расходов к предыдущему году, % (всего)</w:t>
            </w:r>
          </w:p>
        </w:tc>
        <w:tc>
          <w:tcPr>
            <w:tcW w:w="1485" w:type="dxa"/>
            <w:tcBorders>
              <w:top w:val="single" w:sz="4" w:space="0" w:color="000000"/>
              <w:left w:val="single" w:sz="4" w:space="0" w:color="000000"/>
              <w:bottom w:val="single" w:sz="4" w:space="0" w:color="000000"/>
            </w:tcBorders>
            <w:shd w:val="clear" w:color="auto" w:fill="auto"/>
          </w:tcPr>
          <w:p w14:paraId="152034C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0F96B39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37502F3"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94,1</w:t>
            </w:r>
          </w:p>
        </w:tc>
      </w:tr>
      <w:tr w:rsidR="00126F67" w:rsidRPr="00126F67" w14:paraId="5D7143A3" w14:textId="77777777" w:rsidTr="003C0879">
        <w:tc>
          <w:tcPr>
            <w:tcW w:w="690" w:type="dxa"/>
            <w:tcBorders>
              <w:top w:val="single" w:sz="4" w:space="0" w:color="000000"/>
              <w:left w:val="single" w:sz="4" w:space="0" w:color="000000"/>
              <w:bottom w:val="single" w:sz="4" w:space="0" w:color="000000"/>
            </w:tcBorders>
            <w:shd w:val="clear" w:color="auto" w:fill="auto"/>
          </w:tcPr>
          <w:p w14:paraId="7E545106" w14:textId="73F4F7B6"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3B541DA" w14:textId="31B70D89"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процентах к объему налоговых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и неналоговых доходов (всего)</w:t>
            </w:r>
          </w:p>
        </w:tc>
        <w:tc>
          <w:tcPr>
            <w:tcW w:w="1485" w:type="dxa"/>
            <w:tcBorders>
              <w:top w:val="single" w:sz="4" w:space="0" w:color="000000"/>
              <w:left w:val="single" w:sz="4" w:space="0" w:color="000000"/>
              <w:bottom w:val="single" w:sz="4" w:space="0" w:color="000000"/>
            </w:tcBorders>
            <w:shd w:val="clear" w:color="auto" w:fill="auto"/>
          </w:tcPr>
          <w:p w14:paraId="5BAC069C"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c>
          <w:tcPr>
            <w:tcW w:w="1528" w:type="dxa"/>
            <w:tcBorders>
              <w:top w:val="single" w:sz="4" w:space="0" w:color="000000"/>
              <w:left w:val="single" w:sz="4" w:space="0" w:color="000000"/>
              <w:bottom w:val="single" w:sz="4" w:space="0" w:color="000000"/>
            </w:tcBorders>
            <w:shd w:val="clear" w:color="auto" w:fill="auto"/>
          </w:tcPr>
          <w:p w14:paraId="7186744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E2786F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0,04</w:t>
            </w:r>
          </w:p>
        </w:tc>
      </w:tr>
      <w:tr w:rsidR="00126F67" w:rsidRPr="00126F67" w14:paraId="5A59B539" w14:textId="77777777" w:rsidTr="003C0879">
        <w:tc>
          <w:tcPr>
            <w:tcW w:w="690" w:type="dxa"/>
            <w:tcBorders>
              <w:top w:val="single" w:sz="4" w:space="0" w:color="000000"/>
              <w:left w:val="single" w:sz="4" w:space="0" w:color="000000"/>
              <w:bottom w:val="single" w:sz="4" w:space="0" w:color="000000"/>
            </w:tcBorders>
            <w:shd w:val="clear" w:color="auto" w:fill="auto"/>
          </w:tcPr>
          <w:p w14:paraId="5D3CADDD" w14:textId="77777777"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4327" w:type="dxa"/>
            <w:tcBorders>
              <w:top w:val="single" w:sz="4" w:space="0" w:color="000000"/>
              <w:left w:val="single" w:sz="4" w:space="0" w:color="000000"/>
              <w:bottom w:val="single" w:sz="4" w:space="0" w:color="000000"/>
            </w:tcBorders>
            <w:shd w:val="clear" w:color="auto" w:fill="auto"/>
          </w:tcPr>
          <w:p w14:paraId="7BE6D577"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В том числе:</w:t>
            </w:r>
          </w:p>
        </w:tc>
        <w:tc>
          <w:tcPr>
            <w:tcW w:w="1485" w:type="dxa"/>
            <w:tcBorders>
              <w:top w:val="single" w:sz="4" w:space="0" w:color="000000"/>
              <w:left w:val="single" w:sz="4" w:space="0" w:color="000000"/>
              <w:bottom w:val="single" w:sz="4" w:space="0" w:color="000000"/>
            </w:tcBorders>
            <w:shd w:val="clear" w:color="auto" w:fill="auto"/>
          </w:tcPr>
          <w:p w14:paraId="619842C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528" w:type="dxa"/>
            <w:tcBorders>
              <w:top w:val="single" w:sz="4" w:space="0" w:color="000000"/>
              <w:left w:val="single" w:sz="4" w:space="0" w:color="000000"/>
              <w:bottom w:val="single" w:sz="4" w:space="0" w:color="000000"/>
            </w:tcBorders>
            <w:shd w:val="clear" w:color="auto" w:fill="auto"/>
          </w:tcPr>
          <w:p w14:paraId="29475CA9"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1BA7CF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r>
      <w:tr w:rsidR="00126F67" w:rsidRPr="00126F67" w14:paraId="33757B31" w14:textId="77777777" w:rsidTr="003C0879">
        <w:tc>
          <w:tcPr>
            <w:tcW w:w="690" w:type="dxa"/>
            <w:tcBorders>
              <w:top w:val="single" w:sz="4" w:space="0" w:color="000000"/>
              <w:left w:val="single" w:sz="4" w:space="0" w:color="000000"/>
              <w:bottom w:val="single" w:sz="4" w:space="0" w:color="000000"/>
            </w:tcBorders>
            <w:shd w:val="clear" w:color="auto" w:fill="auto"/>
          </w:tcPr>
          <w:p w14:paraId="3E8A3834" w14:textId="17CFF123"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79AFD54"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Поступление земельного налога, тыс. </w:t>
            </w:r>
            <w:r w:rsidRPr="00126F67">
              <w:rPr>
                <w:rFonts w:ascii="Times New Roman" w:eastAsia="Times New Roman" w:hAnsi="Times New Roman" w:cs="Times New Roman"/>
                <w:kern w:val="2"/>
                <w:sz w:val="26"/>
                <w:szCs w:val="26"/>
                <w:lang w:eastAsia="zh-CN"/>
              </w:rPr>
              <w:lastRenderedPageBreak/>
              <w:t xml:space="preserve">рублей </w:t>
            </w:r>
          </w:p>
        </w:tc>
        <w:tc>
          <w:tcPr>
            <w:tcW w:w="1485" w:type="dxa"/>
            <w:tcBorders>
              <w:top w:val="single" w:sz="4" w:space="0" w:color="000000"/>
              <w:left w:val="single" w:sz="4" w:space="0" w:color="000000"/>
              <w:bottom w:val="single" w:sz="4" w:space="0" w:color="000000"/>
            </w:tcBorders>
            <w:shd w:val="clear" w:color="auto" w:fill="auto"/>
          </w:tcPr>
          <w:p w14:paraId="6FF5629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lastRenderedPageBreak/>
              <w:t>27 997,6</w:t>
            </w:r>
          </w:p>
        </w:tc>
        <w:tc>
          <w:tcPr>
            <w:tcW w:w="1528" w:type="dxa"/>
            <w:tcBorders>
              <w:top w:val="single" w:sz="4" w:space="0" w:color="000000"/>
              <w:left w:val="single" w:sz="4" w:space="0" w:color="000000"/>
              <w:bottom w:val="single" w:sz="4" w:space="0" w:color="000000"/>
            </w:tcBorders>
            <w:shd w:val="clear" w:color="auto" w:fill="auto"/>
          </w:tcPr>
          <w:p w14:paraId="33D359D3"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29 773,0</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E29C4F3"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35 823,5</w:t>
            </w:r>
          </w:p>
        </w:tc>
      </w:tr>
      <w:bookmarkEnd w:id="2"/>
      <w:tr w:rsidR="00126F67" w:rsidRPr="00126F67" w14:paraId="29CCE982" w14:textId="77777777" w:rsidTr="003C0879">
        <w:tc>
          <w:tcPr>
            <w:tcW w:w="690" w:type="dxa"/>
            <w:tcBorders>
              <w:top w:val="single" w:sz="4" w:space="0" w:color="000000"/>
              <w:left w:val="single" w:sz="4" w:space="0" w:color="000000"/>
              <w:bottom w:val="single" w:sz="4" w:space="0" w:color="000000"/>
            </w:tcBorders>
            <w:shd w:val="clear" w:color="auto" w:fill="auto"/>
          </w:tcPr>
          <w:p w14:paraId="3D03C345" w14:textId="1F629479"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466F7F2" w14:textId="69A9C9FE"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Выпадающие доходы в связи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предоставлением льгот, пониженных ставок в соответствии </w:t>
            </w:r>
            <w:r w:rsidR="00F37550" w:rsidRPr="00C236F3">
              <w:rPr>
                <w:rFonts w:ascii="Times New Roman" w:eastAsia="Times New Roman" w:hAnsi="Times New Roman" w:cs="Times New Roman"/>
                <w:kern w:val="2"/>
                <w:sz w:val="26"/>
                <w:szCs w:val="26"/>
                <w:lang w:eastAsia="zh-CN"/>
              </w:rPr>
              <w:t>р</w:t>
            </w:r>
            <w:r w:rsidRPr="00126F67">
              <w:rPr>
                <w:rFonts w:ascii="Times New Roman" w:eastAsia="Times New Roman" w:hAnsi="Times New Roman" w:cs="Times New Roman"/>
                <w:kern w:val="2"/>
                <w:sz w:val="26"/>
                <w:szCs w:val="26"/>
                <w:lang w:eastAsia="zh-CN"/>
              </w:rPr>
              <w:t>ешением Думы Нефтеюганского района от 21.10.2011</w:t>
            </w:r>
            <w:r w:rsidR="00F37550">
              <w:rPr>
                <w:rFonts w:ascii="Times New Roman" w:eastAsia="Times New Roman" w:hAnsi="Times New Roman" w:cs="Times New Roman"/>
                <w:kern w:val="2"/>
                <w:sz w:val="26"/>
                <w:szCs w:val="26"/>
                <w:lang w:eastAsia="zh-CN"/>
              </w:rPr>
              <w:t xml:space="preserve"> </w:t>
            </w:r>
            <w:r w:rsidRPr="00C236F3">
              <w:rPr>
                <w:rFonts w:ascii="Times New Roman" w:eastAsia="Times New Roman" w:hAnsi="Times New Roman" w:cs="Times New Roman"/>
                <w:kern w:val="2"/>
                <w:sz w:val="26"/>
                <w:szCs w:val="26"/>
                <w:lang w:eastAsia="zh-CN"/>
              </w:rPr>
              <w:t>№</w:t>
            </w:r>
            <w:r w:rsidRPr="00126F67">
              <w:rPr>
                <w:rFonts w:ascii="Times New Roman" w:eastAsia="Times New Roman" w:hAnsi="Times New Roman" w:cs="Times New Roman"/>
                <w:kern w:val="2"/>
                <w:sz w:val="26"/>
                <w:szCs w:val="26"/>
                <w:lang w:eastAsia="zh-CN"/>
              </w:rPr>
              <w:t xml:space="preserve"> 90</w:t>
            </w:r>
            <w:r w:rsidR="004D5DB0">
              <w:rPr>
                <w:rFonts w:ascii="Times New Roman" w:eastAsia="Times New Roman" w:hAnsi="Times New Roman" w:cs="Times New Roman"/>
                <w:kern w:val="2"/>
                <w:sz w:val="26"/>
                <w:szCs w:val="26"/>
                <w:lang w:eastAsia="zh-CN"/>
              </w:rPr>
              <w:t xml:space="preserve"> </w:t>
            </w:r>
            <w:r w:rsidR="004D5DB0">
              <w:rPr>
                <w:rFonts w:ascii="Times New Roman" w:eastAsia="Times New Roman" w:hAnsi="Times New Roman" w:cs="Times New Roman"/>
                <w:kern w:val="2"/>
                <w:sz w:val="26"/>
                <w:szCs w:val="26"/>
                <w:lang w:eastAsia="zh-CN"/>
              </w:rPr>
              <w:br/>
            </w:r>
            <w:r w:rsidR="00F37550">
              <w:rPr>
                <w:rFonts w:ascii="Times New Roman" w:eastAsia="Times New Roman" w:hAnsi="Times New Roman" w:cs="Times New Roman"/>
                <w:kern w:val="2"/>
                <w:sz w:val="26"/>
                <w:szCs w:val="26"/>
                <w:lang w:eastAsia="zh-CN"/>
              </w:rPr>
              <w:t>«</w:t>
            </w:r>
            <w:r w:rsidRPr="00126F67">
              <w:rPr>
                <w:rFonts w:ascii="Times New Roman" w:eastAsia="Times New Roman" w:hAnsi="Times New Roman" w:cs="Times New Roman"/>
                <w:kern w:val="2"/>
                <w:sz w:val="26"/>
                <w:szCs w:val="26"/>
                <w:lang w:eastAsia="zh-CN"/>
              </w:rPr>
              <w:t>Об установлении земельного налога», тыс. рублей</w:t>
            </w:r>
          </w:p>
        </w:tc>
        <w:tc>
          <w:tcPr>
            <w:tcW w:w="1485" w:type="dxa"/>
            <w:tcBorders>
              <w:top w:val="single" w:sz="4" w:space="0" w:color="000000"/>
              <w:left w:val="single" w:sz="4" w:space="0" w:color="000000"/>
              <w:bottom w:val="single" w:sz="4" w:space="0" w:color="000000"/>
            </w:tcBorders>
            <w:shd w:val="clear" w:color="auto" w:fill="auto"/>
          </w:tcPr>
          <w:p w14:paraId="0D42DC8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108,2 </w:t>
            </w:r>
          </w:p>
        </w:tc>
        <w:tc>
          <w:tcPr>
            <w:tcW w:w="1528" w:type="dxa"/>
            <w:tcBorders>
              <w:top w:val="single" w:sz="4" w:space="0" w:color="000000"/>
              <w:left w:val="single" w:sz="4" w:space="0" w:color="000000"/>
              <w:bottom w:val="single" w:sz="4" w:space="0" w:color="000000"/>
            </w:tcBorders>
            <w:shd w:val="clear" w:color="auto" w:fill="auto"/>
          </w:tcPr>
          <w:p w14:paraId="5911EF5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107,2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016E7F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43,3</w:t>
            </w:r>
          </w:p>
        </w:tc>
      </w:tr>
      <w:tr w:rsidR="00126F67" w:rsidRPr="00126F67" w14:paraId="336DB2B0" w14:textId="77777777" w:rsidTr="003C0879">
        <w:tc>
          <w:tcPr>
            <w:tcW w:w="690" w:type="dxa"/>
            <w:tcBorders>
              <w:top w:val="single" w:sz="4" w:space="0" w:color="000000"/>
              <w:left w:val="single" w:sz="4" w:space="0" w:color="000000"/>
              <w:bottom w:val="single" w:sz="4" w:space="0" w:color="000000"/>
            </w:tcBorders>
            <w:shd w:val="clear" w:color="auto" w:fill="auto"/>
          </w:tcPr>
          <w:p w14:paraId="3526FBB7" w14:textId="23E6A7BF"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33936D01"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налоговых расходов к предыдущему году, %</w:t>
            </w:r>
          </w:p>
        </w:tc>
        <w:tc>
          <w:tcPr>
            <w:tcW w:w="1485" w:type="dxa"/>
            <w:tcBorders>
              <w:top w:val="single" w:sz="4" w:space="0" w:color="000000"/>
              <w:left w:val="single" w:sz="4" w:space="0" w:color="000000"/>
              <w:bottom w:val="single" w:sz="4" w:space="0" w:color="000000"/>
            </w:tcBorders>
            <w:shd w:val="clear" w:color="auto" w:fill="auto"/>
          </w:tcPr>
          <w:p w14:paraId="39C98AD1"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03DF4A6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99,1</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35CFB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40,4</w:t>
            </w:r>
          </w:p>
        </w:tc>
      </w:tr>
      <w:tr w:rsidR="00126F67" w:rsidRPr="00126F67" w14:paraId="322E11AE" w14:textId="77777777" w:rsidTr="003C0879">
        <w:tc>
          <w:tcPr>
            <w:tcW w:w="690" w:type="dxa"/>
            <w:tcBorders>
              <w:top w:val="single" w:sz="4" w:space="0" w:color="000000"/>
              <w:left w:val="single" w:sz="4" w:space="0" w:color="000000"/>
              <w:bottom w:val="single" w:sz="4" w:space="0" w:color="000000"/>
            </w:tcBorders>
            <w:shd w:val="clear" w:color="auto" w:fill="auto"/>
          </w:tcPr>
          <w:p w14:paraId="126CC74F" w14:textId="62BE104B"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7226CC1B" w14:textId="568F08B3"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процентах к поступлению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к земельному налогу</w:t>
            </w:r>
          </w:p>
        </w:tc>
        <w:tc>
          <w:tcPr>
            <w:tcW w:w="1485" w:type="dxa"/>
            <w:tcBorders>
              <w:top w:val="single" w:sz="4" w:space="0" w:color="000000"/>
              <w:left w:val="single" w:sz="4" w:space="0" w:color="000000"/>
              <w:bottom w:val="single" w:sz="4" w:space="0" w:color="000000"/>
            </w:tcBorders>
            <w:shd w:val="clear" w:color="auto" w:fill="auto"/>
          </w:tcPr>
          <w:p w14:paraId="557120A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0,4</w:t>
            </w:r>
          </w:p>
        </w:tc>
        <w:tc>
          <w:tcPr>
            <w:tcW w:w="1528" w:type="dxa"/>
            <w:tcBorders>
              <w:top w:val="single" w:sz="4" w:space="0" w:color="000000"/>
              <w:left w:val="single" w:sz="4" w:space="0" w:color="000000"/>
              <w:bottom w:val="single" w:sz="4" w:space="0" w:color="000000"/>
            </w:tcBorders>
            <w:shd w:val="clear" w:color="auto" w:fill="auto"/>
          </w:tcPr>
          <w:p w14:paraId="6FFF1982"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88284D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w:t>
            </w:r>
          </w:p>
        </w:tc>
      </w:tr>
      <w:tr w:rsidR="00126F67" w:rsidRPr="00126F67" w14:paraId="59BA4559" w14:textId="77777777" w:rsidTr="003C0879">
        <w:tc>
          <w:tcPr>
            <w:tcW w:w="690" w:type="dxa"/>
            <w:tcBorders>
              <w:top w:val="single" w:sz="4" w:space="0" w:color="000000"/>
              <w:left w:val="single" w:sz="4" w:space="0" w:color="000000"/>
              <w:bottom w:val="single" w:sz="4" w:space="0" w:color="000000"/>
            </w:tcBorders>
            <w:shd w:val="clear" w:color="auto" w:fill="auto"/>
          </w:tcPr>
          <w:p w14:paraId="2C690C31" w14:textId="3083F925"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55056E52"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Поступление налога на имущество физических лиц, тыс. рублей</w:t>
            </w:r>
          </w:p>
        </w:tc>
        <w:tc>
          <w:tcPr>
            <w:tcW w:w="1485" w:type="dxa"/>
            <w:tcBorders>
              <w:top w:val="single" w:sz="4" w:space="0" w:color="000000"/>
              <w:left w:val="single" w:sz="4" w:space="0" w:color="000000"/>
              <w:bottom w:val="single" w:sz="4" w:space="0" w:color="000000"/>
            </w:tcBorders>
            <w:shd w:val="clear" w:color="auto" w:fill="auto"/>
          </w:tcPr>
          <w:p w14:paraId="4C66144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776,8</w:t>
            </w:r>
          </w:p>
        </w:tc>
        <w:tc>
          <w:tcPr>
            <w:tcW w:w="1528" w:type="dxa"/>
            <w:tcBorders>
              <w:top w:val="single" w:sz="4" w:space="0" w:color="000000"/>
              <w:left w:val="single" w:sz="4" w:space="0" w:color="000000"/>
              <w:bottom w:val="single" w:sz="4" w:space="0" w:color="000000"/>
            </w:tcBorders>
            <w:shd w:val="clear" w:color="auto" w:fill="auto"/>
          </w:tcPr>
          <w:p w14:paraId="0325F059"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1 097,8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1822B0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1 136,2</w:t>
            </w:r>
          </w:p>
        </w:tc>
      </w:tr>
      <w:tr w:rsidR="00126F67" w:rsidRPr="00126F67" w14:paraId="2787F6D0" w14:textId="77777777" w:rsidTr="003C0879">
        <w:tc>
          <w:tcPr>
            <w:tcW w:w="690" w:type="dxa"/>
            <w:tcBorders>
              <w:top w:val="single" w:sz="4" w:space="0" w:color="000000"/>
              <w:left w:val="single" w:sz="4" w:space="0" w:color="000000"/>
              <w:bottom w:val="single" w:sz="4" w:space="0" w:color="000000"/>
            </w:tcBorders>
            <w:shd w:val="clear" w:color="auto" w:fill="auto"/>
          </w:tcPr>
          <w:p w14:paraId="5A035DF1" w14:textId="51F9C97F"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3.1</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4E37D4FF" w14:textId="484DA341"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Выпадающие доходы, обусловленные предоставленными преференциями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w:t>
            </w:r>
            <w:r w:rsidR="00F37550" w:rsidRPr="00C236F3">
              <w:rPr>
                <w:rFonts w:ascii="Times New Roman" w:eastAsia="Times New Roman" w:hAnsi="Times New Roman" w:cs="Times New Roman"/>
                <w:kern w:val="2"/>
                <w:sz w:val="26"/>
                <w:szCs w:val="26"/>
                <w:lang w:eastAsia="zh-CN"/>
              </w:rPr>
              <w:t>р</w:t>
            </w:r>
            <w:r w:rsidRPr="00126F67">
              <w:rPr>
                <w:rFonts w:ascii="Times New Roman" w:eastAsia="Times New Roman" w:hAnsi="Times New Roman" w:cs="Times New Roman"/>
                <w:kern w:val="2"/>
                <w:sz w:val="26"/>
                <w:szCs w:val="26"/>
                <w:lang w:eastAsia="zh-CN"/>
              </w:rPr>
              <w:t>ешение</w:t>
            </w:r>
            <w:r w:rsidR="0042070D">
              <w:rPr>
                <w:rFonts w:ascii="Times New Roman" w:eastAsia="Times New Roman" w:hAnsi="Times New Roman" w:cs="Times New Roman"/>
                <w:kern w:val="2"/>
                <w:sz w:val="26"/>
                <w:szCs w:val="26"/>
                <w:lang w:eastAsia="zh-CN"/>
              </w:rPr>
              <w:t>м</w:t>
            </w:r>
            <w:r w:rsidRPr="00126F67">
              <w:rPr>
                <w:rFonts w:ascii="Times New Roman" w:eastAsia="Times New Roman" w:hAnsi="Times New Roman" w:cs="Times New Roman"/>
                <w:kern w:val="2"/>
                <w:sz w:val="26"/>
                <w:szCs w:val="26"/>
                <w:lang w:eastAsia="zh-CN"/>
              </w:rPr>
              <w:t xml:space="preserve"> Думы Нефтеюганского района от 21.11.2014 № 538 «Об установлении налога на имущество физических лиц на межселенной территории муниципального образования Нефтеюганский район», тыс. рублей</w:t>
            </w:r>
          </w:p>
        </w:tc>
        <w:tc>
          <w:tcPr>
            <w:tcW w:w="1485" w:type="dxa"/>
            <w:tcBorders>
              <w:top w:val="single" w:sz="4" w:space="0" w:color="000000"/>
              <w:left w:val="single" w:sz="4" w:space="0" w:color="000000"/>
              <w:bottom w:val="single" w:sz="4" w:space="0" w:color="000000"/>
            </w:tcBorders>
            <w:shd w:val="clear" w:color="auto" w:fill="auto"/>
          </w:tcPr>
          <w:p w14:paraId="4EF30A6F"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869,4</w:t>
            </w:r>
          </w:p>
        </w:tc>
        <w:tc>
          <w:tcPr>
            <w:tcW w:w="1528" w:type="dxa"/>
            <w:tcBorders>
              <w:top w:val="single" w:sz="4" w:space="0" w:color="000000"/>
              <w:left w:val="single" w:sz="4" w:space="0" w:color="000000"/>
              <w:bottom w:val="single" w:sz="4" w:space="0" w:color="000000"/>
            </w:tcBorders>
            <w:shd w:val="clear" w:color="auto" w:fill="auto"/>
          </w:tcPr>
          <w:p w14:paraId="5CE42F52"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928,6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8F8455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931,3</w:t>
            </w:r>
          </w:p>
        </w:tc>
      </w:tr>
      <w:tr w:rsidR="00126F67" w:rsidRPr="00126F67" w14:paraId="1EEF266F" w14:textId="77777777" w:rsidTr="003C0879">
        <w:tc>
          <w:tcPr>
            <w:tcW w:w="690" w:type="dxa"/>
            <w:tcBorders>
              <w:top w:val="single" w:sz="4" w:space="0" w:color="000000"/>
              <w:left w:val="single" w:sz="4" w:space="0" w:color="000000"/>
              <w:bottom w:val="single" w:sz="4" w:space="0" w:color="000000"/>
            </w:tcBorders>
            <w:shd w:val="clear" w:color="auto" w:fill="auto"/>
          </w:tcPr>
          <w:p w14:paraId="261460DB" w14:textId="5A9FCDAE"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3.2</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76D47C7C"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Темп роста (снижения) суммы предоставленных налоговых расходов к предыдущему году, %</w:t>
            </w:r>
          </w:p>
        </w:tc>
        <w:tc>
          <w:tcPr>
            <w:tcW w:w="1485" w:type="dxa"/>
            <w:tcBorders>
              <w:top w:val="single" w:sz="4" w:space="0" w:color="000000"/>
              <w:left w:val="single" w:sz="4" w:space="0" w:color="000000"/>
              <w:bottom w:val="single" w:sz="4" w:space="0" w:color="000000"/>
            </w:tcBorders>
            <w:shd w:val="clear" w:color="auto" w:fill="auto"/>
          </w:tcPr>
          <w:p w14:paraId="50B89376"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1528" w:type="dxa"/>
            <w:tcBorders>
              <w:top w:val="single" w:sz="4" w:space="0" w:color="000000"/>
              <w:left w:val="single" w:sz="4" w:space="0" w:color="000000"/>
              <w:bottom w:val="single" w:sz="4" w:space="0" w:color="000000"/>
            </w:tcBorders>
            <w:shd w:val="clear" w:color="auto" w:fill="auto"/>
          </w:tcPr>
          <w:p w14:paraId="53FDFDCB"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1FE2C1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100,3</w:t>
            </w:r>
          </w:p>
        </w:tc>
      </w:tr>
      <w:tr w:rsidR="00126F67" w:rsidRPr="00126F67" w14:paraId="2824FF40" w14:textId="77777777" w:rsidTr="003C0879">
        <w:tc>
          <w:tcPr>
            <w:tcW w:w="690" w:type="dxa"/>
            <w:tcBorders>
              <w:top w:val="single" w:sz="4" w:space="0" w:color="000000"/>
              <w:left w:val="single" w:sz="4" w:space="0" w:color="000000"/>
              <w:bottom w:val="single" w:sz="4" w:space="0" w:color="000000"/>
            </w:tcBorders>
            <w:shd w:val="clear" w:color="auto" w:fill="auto"/>
          </w:tcPr>
          <w:p w14:paraId="57A23841" w14:textId="3FA26873" w:rsidR="00126F67" w:rsidRPr="00126F67" w:rsidRDefault="00126F67" w:rsidP="004D5DB0">
            <w:pPr>
              <w:widowControl w:val="0"/>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3.3</w:t>
            </w:r>
            <w:r w:rsidR="00F37550">
              <w:rPr>
                <w:rFonts w:ascii="Times New Roman" w:eastAsia="Times New Roman" w:hAnsi="Times New Roman" w:cs="Times New Roman"/>
                <w:kern w:val="2"/>
                <w:sz w:val="26"/>
                <w:szCs w:val="26"/>
                <w:lang w:eastAsia="zh-CN"/>
              </w:rPr>
              <w:t>.</w:t>
            </w:r>
          </w:p>
        </w:tc>
        <w:tc>
          <w:tcPr>
            <w:tcW w:w="4327" w:type="dxa"/>
            <w:tcBorders>
              <w:top w:val="single" w:sz="4" w:space="0" w:color="000000"/>
              <w:left w:val="single" w:sz="4" w:space="0" w:color="000000"/>
              <w:bottom w:val="single" w:sz="4" w:space="0" w:color="000000"/>
            </w:tcBorders>
            <w:shd w:val="clear" w:color="auto" w:fill="auto"/>
          </w:tcPr>
          <w:p w14:paraId="0554FDD8" w14:textId="77777777" w:rsidR="00126F67" w:rsidRPr="00126F67"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В процентах к поступлению налога на имущество физических лиц</w:t>
            </w:r>
          </w:p>
        </w:tc>
        <w:tc>
          <w:tcPr>
            <w:tcW w:w="1485" w:type="dxa"/>
            <w:tcBorders>
              <w:top w:val="single" w:sz="4" w:space="0" w:color="000000"/>
              <w:left w:val="single" w:sz="4" w:space="0" w:color="000000"/>
              <w:bottom w:val="single" w:sz="4" w:space="0" w:color="000000"/>
            </w:tcBorders>
            <w:shd w:val="clear" w:color="auto" w:fill="auto"/>
          </w:tcPr>
          <w:p w14:paraId="289AEDFC"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111,9</w:t>
            </w:r>
          </w:p>
        </w:tc>
        <w:tc>
          <w:tcPr>
            <w:tcW w:w="1528" w:type="dxa"/>
            <w:tcBorders>
              <w:top w:val="single" w:sz="4" w:space="0" w:color="000000"/>
              <w:left w:val="single" w:sz="4" w:space="0" w:color="000000"/>
              <w:bottom w:val="single" w:sz="4" w:space="0" w:color="000000"/>
            </w:tcBorders>
            <w:shd w:val="clear" w:color="auto" w:fill="auto"/>
          </w:tcPr>
          <w:p w14:paraId="5AA89DF5" w14:textId="77777777" w:rsidR="00126F67" w:rsidRPr="00126F67" w:rsidRDefault="00126F67" w:rsidP="004D5DB0">
            <w:pPr>
              <w:suppressLineNumbers/>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84,6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1C0AFC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82,0</w:t>
            </w:r>
          </w:p>
        </w:tc>
      </w:tr>
    </w:tbl>
    <w:p w14:paraId="2E61016F" w14:textId="6D7D17F9"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За 2021 год общая сумма налоговых расходов составила 1 035,8 тыс. рублей,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что на 106,0% больше по сравнению с 2020 годом. </w:t>
      </w:r>
    </w:p>
    <w:p w14:paraId="5A80C83A" w14:textId="0E95CB79"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За 2022 год общая сумма налоговых расходов уменьшилась, и составила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974,6 тыс. рублей. Снижение общей суммы налоговых расходов произошло в связи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изменением кадастровой стоимости земельного участка, находящегося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в собственности муниципального казенного учреждения «Управление капитального строительства и </w:t>
      </w:r>
      <w:r w:rsidRPr="00C236F3">
        <w:rPr>
          <w:rFonts w:ascii="Times New Roman" w:eastAsia="Times New Roman" w:hAnsi="Times New Roman" w:cs="Times New Roman"/>
          <w:sz w:val="26"/>
          <w:szCs w:val="26"/>
          <w:lang w:eastAsia="ru-RU"/>
        </w:rPr>
        <w:t>жилищно</w:t>
      </w:r>
      <w:r w:rsidR="004D5DB0">
        <w:rPr>
          <w:rFonts w:ascii="Times New Roman" w:eastAsia="Times New Roman" w:hAnsi="Times New Roman" w:cs="Times New Roman"/>
          <w:sz w:val="26"/>
          <w:szCs w:val="26"/>
          <w:lang w:eastAsia="ru-RU"/>
        </w:rPr>
        <w:t>-</w:t>
      </w:r>
      <w:r w:rsidRPr="00C236F3">
        <w:rPr>
          <w:rFonts w:ascii="Times New Roman" w:eastAsia="Times New Roman" w:hAnsi="Times New Roman" w:cs="Times New Roman"/>
          <w:sz w:val="26"/>
          <w:szCs w:val="26"/>
          <w:lang w:eastAsia="ru-RU"/>
        </w:rPr>
        <w:t xml:space="preserve">коммунального </w:t>
      </w:r>
      <w:r w:rsidRPr="00126F67">
        <w:rPr>
          <w:rFonts w:ascii="Times New Roman" w:eastAsia="Times New Roman" w:hAnsi="Times New Roman" w:cs="Times New Roman"/>
          <w:sz w:val="26"/>
          <w:szCs w:val="26"/>
          <w:lang w:eastAsia="ru-RU"/>
        </w:rPr>
        <w:t>комплекса Нефтеюганского</w:t>
      </w:r>
      <w:r w:rsidR="004D5DB0">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района»</w:t>
      </w:r>
      <w:r w:rsidR="004D5DB0">
        <w:rPr>
          <w:rFonts w:ascii="Times New Roman" w:eastAsia="Times New Roman" w:hAnsi="Times New Roman" w:cs="Times New Roman"/>
          <w:sz w:val="26"/>
          <w:szCs w:val="26"/>
          <w:lang w:eastAsia="ru-RU"/>
        </w:rPr>
        <w:t xml:space="preserve">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с 4 474,8 тыс. рублей до 38,1 тыс. рублей. Доля налоговых расходов в объеме налоговых и неналоговых доходах бюджета Нефтеюганского района составила 0,04%. </w:t>
      </w:r>
    </w:p>
    <w:p w14:paraId="198E4F29" w14:textId="77777777" w:rsidR="00126F67" w:rsidRPr="00126F67" w:rsidRDefault="00126F67" w:rsidP="004D5DB0">
      <w:pPr>
        <w:autoSpaceDE w:val="0"/>
        <w:autoSpaceDN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Информация о структуре типов налоговых расходов за период 2020-2022 годов представлена в таблице 2.</w:t>
      </w:r>
    </w:p>
    <w:p w14:paraId="037F9591" w14:textId="77777777" w:rsidR="00126F67" w:rsidRPr="00126F67" w:rsidRDefault="00126F67" w:rsidP="004D5DB0">
      <w:pPr>
        <w:widowControl w:val="0"/>
        <w:suppressAutoHyphens/>
        <w:autoSpaceDE w:val="0"/>
        <w:spacing w:after="0" w:line="240" w:lineRule="auto"/>
        <w:jc w:val="right"/>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Таблица 2</w:t>
      </w:r>
    </w:p>
    <w:tbl>
      <w:tblPr>
        <w:tblW w:w="9872" w:type="dxa"/>
        <w:tblInd w:w="-125" w:type="dxa"/>
        <w:tblLayout w:type="fixed"/>
        <w:tblLook w:val="0000" w:firstRow="0" w:lastRow="0" w:firstColumn="0" w:lastColumn="0" w:noHBand="0" w:noVBand="0"/>
      </w:tblPr>
      <w:tblGrid>
        <w:gridCol w:w="3352"/>
        <w:gridCol w:w="1134"/>
        <w:gridCol w:w="992"/>
        <w:gridCol w:w="1276"/>
        <w:gridCol w:w="850"/>
        <w:gridCol w:w="1276"/>
        <w:gridCol w:w="992"/>
      </w:tblGrid>
      <w:tr w:rsidR="00126F67" w:rsidRPr="00126F67" w14:paraId="14AF4B3C" w14:textId="77777777" w:rsidTr="003C0879">
        <w:tc>
          <w:tcPr>
            <w:tcW w:w="3352" w:type="dxa"/>
            <w:vMerge w:val="restart"/>
            <w:tcBorders>
              <w:top w:val="single" w:sz="4" w:space="0" w:color="000000"/>
              <w:left w:val="single" w:sz="4" w:space="0" w:color="000000"/>
              <w:bottom w:val="single" w:sz="4" w:space="0" w:color="000000"/>
            </w:tcBorders>
            <w:shd w:val="clear" w:color="auto" w:fill="auto"/>
          </w:tcPr>
          <w:p w14:paraId="50997B9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Наименование показателей</w:t>
            </w:r>
          </w:p>
        </w:tc>
        <w:tc>
          <w:tcPr>
            <w:tcW w:w="2126" w:type="dxa"/>
            <w:gridSpan w:val="2"/>
            <w:tcBorders>
              <w:top w:val="single" w:sz="4" w:space="0" w:color="000000"/>
              <w:left w:val="single" w:sz="4" w:space="0" w:color="000000"/>
              <w:bottom w:val="single" w:sz="4" w:space="0" w:color="000000"/>
            </w:tcBorders>
            <w:shd w:val="clear" w:color="auto" w:fill="auto"/>
          </w:tcPr>
          <w:p w14:paraId="2B275E9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2020 год</w:t>
            </w:r>
          </w:p>
        </w:tc>
        <w:tc>
          <w:tcPr>
            <w:tcW w:w="2126" w:type="dxa"/>
            <w:gridSpan w:val="2"/>
            <w:tcBorders>
              <w:top w:val="single" w:sz="4" w:space="0" w:color="000000"/>
              <w:left w:val="single" w:sz="4" w:space="0" w:color="000000"/>
              <w:bottom w:val="single" w:sz="4" w:space="0" w:color="000000"/>
            </w:tcBorders>
            <w:shd w:val="clear" w:color="auto" w:fill="auto"/>
          </w:tcPr>
          <w:p w14:paraId="2064C809"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2021 год</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555ABA70"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2022 год</w:t>
            </w:r>
          </w:p>
        </w:tc>
      </w:tr>
      <w:tr w:rsidR="00126F67" w:rsidRPr="00126F67" w14:paraId="366FB212" w14:textId="77777777" w:rsidTr="003C0879">
        <w:tc>
          <w:tcPr>
            <w:tcW w:w="3352" w:type="dxa"/>
            <w:vMerge/>
            <w:tcBorders>
              <w:top w:val="single" w:sz="4" w:space="0" w:color="000000"/>
              <w:left w:val="single" w:sz="4" w:space="0" w:color="000000"/>
              <w:bottom w:val="single" w:sz="4" w:space="0" w:color="000000"/>
            </w:tcBorders>
            <w:shd w:val="clear" w:color="auto" w:fill="auto"/>
          </w:tcPr>
          <w:p w14:paraId="23E5E988" w14:textId="77777777" w:rsidR="00126F67" w:rsidRPr="004D5DB0" w:rsidRDefault="00126F67" w:rsidP="004D5DB0">
            <w:pPr>
              <w:suppressAutoHyphens/>
              <w:snapToGrid w:val="0"/>
              <w:spacing w:after="0" w:line="240" w:lineRule="auto"/>
              <w:textAlignment w:val="baseline"/>
              <w:rPr>
                <w:rFonts w:ascii="Times New Roman" w:eastAsia="Times New Roman" w:hAnsi="Times New Roman" w:cs="Times New Roman"/>
                <w:kern w:val="2"/>
                <w:sz w:val="26"/>
                <w:szCs w:val="26"/>
                <w:lang w:eastAsia="zh-CN"/>
              </w:rPr>
            </w:pPr>
          </w:p>
        </w:tc>
        <w:tc>
          <w:tcPr>
            <w:tcW w:w="1134" w:type="dxa"/>
            <w:tcBorders>
              <w:top w:val="single" w:sz="4" w:space="0" w:color="000000"/>
              <w:left w:val="single" w:sz="4" w:space="0" w:color="000000"/>
              <w:bottom w:val="single" w:sz="4" w:space="0" w:color="000000"/>
            </w:tcBorders>
            <w:shd w:val="clear" w:color="auto" w:fill="auto"/>
          </w:tcPr>
          <w:p w14:paraId="463CCABE"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992" w:type="dxa"/>
            <w:tcBorders>
              <w:top w:val="single" w:sz="4" w:space="0" w:color="000000"/>
              <w:left w:val="single" w:sz="4" w:space="0" w:color="000000"/>
              <w:bottom w:val="single" w:sz="4" w:space="0" w:color="000000"/>
            </w:tcBorders>
            <w:shd w:val="clear" w:color="auto" w:fill="auto"/>
          </w:tcPr>
          <w:p w14:paraId="253AA7AD"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c>
          <w:tcPr>
            <w:tcW w:w="1276" w:type="dxa"/>
            <w:tcBorders>
              <w:top w:val="single" w:sz="4" w:space="0" w:color="000000"/>
              <w:left w:val="single" w:sz="4" w:space="0" w:color="000000"/>
              <w:bottom w:val="single" w:sz="4" w:space="0" w:color="000000"/>
            </w:tcBorders>
            <w:shd w:val="clear" w:color="auto" w:fill="auto"/>
          </w:tcPr>
          <w:p w14:paraId="563F6AB8"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850" w:type="dxa"/>
            <w:tcBorders>
              <w:top w:val="single" w:sz="4" w:space="0" w:color="000000"/>
              <w:left w:val="single" w:sz="4" w:space="0" w:color="000000"/>
              <w:bottom w:val="single" w:sz="4" w:space="0" w:color="000000"/>
            </w:tcBorders>
            <w:shd w:val="clear" w:color="auto" w:fill="auto"/>
          </w:tcPr>
          <w:p w14:paraId="59EDEAA3"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c>
          <w:tcPr>
            <w:tcW w:w="1276" w:type="dxa"/>
            <w:tcBorders>
              <w:top w:val="single" w:sz="4" w:space="0" w:color="000000"/>
              <w:left w:val="single" w:sz="4" w:space="0" w:color="000000"/>
              <w:bottom w:val="single" w:sz="4" w:space="0" w:color="000000"/>
            </w:tcBorders>
            <w:shd w:val="clear" w:color="auto" w:fill="auto"/>
          </w:tcPr>
          <w:p w14:paraId="174F483C"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тыс. рублей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92D12E" w14:textId="77777777" w:rsidR="00126F67" w:rsidRPr="004D5DB0"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4D5DB0">
              <w:rPr>
                <w:rFonts w:ascii="Times New Roman" w:eastAsia="Times New Roman" w:hAnsi="Times New Roman" w:cs="Times New Roman"/>
                <w:kern w:val="2"/>
                <w:sz w:val="26"/>
                <w:szCs w:val="26"/>
                <w:lang w:eastAsia="zh-CN"/>
              </w:rPr>
              <w:t>%</w:t>
            </w:r>
          </w:p>
        </w:tc>
      </w:tr>
      <w:tr w:rsidR="00126F67" w:rsidRPr="00126F67" w14:paraId="2E024DE3" w14:textId="77777777" w:rsidTr="003C0879">
        <w:tc>
          <w:tcPr>
            <w:tcW w:w="3352" w:type="dxa"/>
            <w:tcBorders>
              <w:top w:val="single" w:sz="4" w:space="0" w:color="000000"/>
              <w:left w:val="single" w:sz="4" w:space="0" w:color="000000"/>
              <w:bottom w:val="single" w:sz="4" w:space="0" w:color="000000"/>
            </w:tcBorders>
            <w:shd w:val="clear" w:color="auto" w:fill="auto"/>
          </w:tcPr>
          <w:p w14:paraId="760F26A4" w14:textId="7456C821"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Предоставленные налоговые расходы</w:t>
            </w:r>
            <w:r w:rsidR="004D5DB0">
              <w:rPr>
                <w:rFonts w:ascii="Times New Roman" w:eastAsia="Times New Roman" w:hAnsi="Times New Roman" w:cs="Times New Roman"/>
                <w:bCs/>
                <w:kern w:val="2"/>
                <w:sz w:val="26"/>
                <w:szCs w:val="26"/>
                <w:lang w:eastAsia="zh-CN"/>
              </w:rPr>
              <w:t xml:space="preserve"> </w:t>
            </w:r>
            <w:r w:rsidRPr="00126F67">
              <w:rPr>
                <w:rFonts w:ascii="Times New Roman" w:eastAsia="Times New Roman" w:hAnsi="Times New Roman" w:cs="Times New Roman"/>
                <w:bCs/>
                <w:kern w:val="2"/>
                <w:sz w:val="26"/>
                <w:szCs w:val="26"/>
                <w:lang w:eastAsia="zh-CN"/>
              </w:rPr>
              <w:t xml:space="preserve">по </w:t>
            </w:r>
            <w:r w:rsidRPr="00126F67">
              <w:rPr>
                <w:rFonts w:ascii="Times New Roman" w:eastAsia="Times New Roman" w:hAnsi="Times New Roman" w:cs="Times New Roman"/>
                <w:bCs/>
                <w:kern w:val="2"/>
                <w:sz w:val="26"/>
                <w:szCs w:val="26"/>
                <w:lang w:eastAsia="zh-CN"/>
              </w:rPr>
              <w:lastRenderedPageBreak/>
              <w:t xml:space="preserve">местным налогам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в соответствии с решениями Думы Нефтеюганского района, всего</w:t>
            </w:r>
          </w:p>
        </w:tc>
        <w:tc>
          <w:tcPr>
            <w:tcW w:w="1134" w:type="dxa"/>
            <w:tcBorders>
              <w:top w:val="single" w:sz="4" w:space="0" w:color="000000"/>
              <w:left w:val="single" w:sz="4" w:space="0" w:color="000000"/>
              <w:bottom w:val="single" w:sz="4" w:space="0" w:color="000000"/>
            </w:tcBorders>
            <w:shd w:val="clear" w:color="auto" w:fill="auto"/>
          </w:tcPr>
          <w:p w14:paraId="3E4A541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lastRenderedPageBreak/>
              <w:t>977,6</w:t>
            </w:r>
          </w:p>
        </w:tc>
        <w:tc>
          <w:tcPr>
            <w:tcW w:w="992" w:type="dxa"/>
            <w:tcBorders>
              <w:top w:val="single" w:sz="4" w:space="0" w:color="000000"/>
              <w:left w:val="single" w:sz="4" w:space="0" w:color="000000"/>
              <w:bottom w:val="single" w:sz="4" w:space="0" w:color="000000"/>
            </w:tcBorders>
            <w:shd w:val="clear" w:color="auto" w:fill="auto"/>
          </w:tcPr>
          <w:p w14:paraId="4487FEF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1276" w:type="dxa"/>
            <w:tcBorders>
              <w:top w:val="single" w:sz="4" w:space="0" w:color="000000"/>
              <w:left w:val="single" w:sz="4" w:space="0" w:color="000000"/>
              <w:bottom w:val="single" w:sz="4" w:space="0" w:color="000000"/>
            </w:tcBorders>
            <w:shd w:val="clear" w:color="auto" w:fill="auto"/>
          </w:tcPr>
          <w:p w14:paraId="304E48EA"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1 035,8</w:t>
            </w:r>
          </w:p>
        </w:tc>
        <w:tc>
          <w:tcPr>
            <w:tcW w:w="850" w:type="dxa"/>
            <w:tcBorders>
              <w:top w:val="single" w:sz="4" w:space="0" w:color="000000"/>
              <w:left w:val="single" w:sz="4" w:space="0" w:color="000000"/>
              <w:bottom w:val="single" w:sz="4" w:space="0" w:color="000000"/>
            </w:tcBorders>
            <w:shd w:val="clear" w:color="auto" w:fill="auto"/>
          </w:tcPr>
          <w:p w14:paraId="46500F66"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1276" w:type="dxa"/>
            <w:tcBorders>
              <w:top w:val="single" w:sz="4" w:space="0" w:color="000000"/>
              <w:left w:val="single" w:sz="4" w:space="0" w:color="000000"/>
              <w:bottom w:val="single" w:sz="4" w:space="0" w:color="000000"/>
            </w:tcBorders>
            <w:shd w:val="clear" w:color="auto" w:fill="auto"/>
          </w:tcPr>
          <w:p w14:paraId="086BA67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974,6</w:t>
            </w:r>
          </w:p>
          <w:p w14:paraId="24DD874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9BB88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r>
      <w:tr w:rsidR="00126F67" w:rsidRPr="00126F67" w14:paraId="1C499FB8" w14:textId="77777777" w:rsidTr="003C0879">
        <w:tc>
          <w:tcPr>
            <w:tcW w:w="3352" w:type="dxa"/>
            <w:tcBorders>
              <w:top w:val="single" w:sz="4" w:space="0" w:color="000000"/>
              <w:left w:val="single" w:sz="4" w:space="0" w:color="000000"/>
              <w:bottom w:val="single" w:sz="4" w:space="0" w:color="000000"/>
            </w:tcBorders>
            <w:shd w:val="clear" w:color="auto" w:fill="auto"/>
          </w:tcPr>
          <w:p w14:paraId="2972BE34" w14:textId="77777777"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в том числе:</w:t>
            </w:r>
          </w:p>
        </w:tc>
        <w:tc>
          <w:tcPr>
            <w:tcW w:w="1134" w:type="dxa"/>
            <w:tcBorders>
              <w:top w:val="single" w:sz="4" w:space="0" w:color="000000"/>
              <w:left w:val="single" w:sz="4" w:space="0" w:color="000000"/>
              <w:bottom w:val="single" w:sz="4" w:space="0" w:color="000000"/>
            </w:tcBorders>
            <w:shd w:val="clear" w:color="auto" w:fill="auto"/>
          </w:tcPr>
          <w:p w14:paraId="31F7A855"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14:paraId="05019DBF"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2A0D6C33"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850" w:type="dxa"/>
            <w:tcBorders>
              <w:top w:val="single" w:sz="4" w:space="0" w:color="000000"/>
              <w:left w:val="single" w:sz="4" w:space="0" w:color="000000"/>
              <w:bottom w:val="single" w:sz="4" w:space="0" w:color="000000"/>
            </w:tcBorders>
            <w:shd w:val="clear" w:color="auto" w:fill="auto"/>
          </w:tcPr>
          <w:p w14:paraId="5FFCA2C3"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79FD028E"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57FB1E"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p>
        </w:tc>
      </w:tr>
      <w:tr w:rsidR="00126F67" w:rsidRPr="00126F67" w14:paraId="15B48698" w14:textId="77777777" w:rsidTr="003C0879">
        <w:tc>
          <w:tcPr>
            <w:tcW w:w="3352" w:type="dxa"/>
            <w:tcBorders>
              <w:top w:val="single" w:sz="4" w:space="0" w:color="000000"/>
              <w:left w:val="single" w:sz="4" w:space="0" w:color="000000"/>
              <w:bottom w:val="single" w:sz="4" w:space="0" w:color="000000"/>
            </w:tcBorders>
            <w:shd w:val="clear" w:color="auto" w:fill="auto"/>
          </w:tcPr>
          <w:p w14:paraId="4F810606"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Технические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23D0E627"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 67,1</w:t>
            </w:r>
          </w:p>
        </w:tc>
        <w:tc>
          <w:tcPr>
            <w:tcW w:w="992" w:type="dxa"/>
            <w:tcBorders>
              <w:top w:val="single" w:sz="4" w:space="0" w:color="000000"/>
              <w:left w:val="single" w:sz="4" w:space="0" w:color="000000"/>
              <w:bottom w:val="single" w:sz="4" w:space="0" w:color="000000"/>
            </w:tcBorders>
            <w:shd w:val="clear" w:color="auto" w:fill="auto"/>
          </w:tcPr>
          <w:p w14:paraId="201A3512"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6,9</w:t>
            </w:r>
          </w:p>
        </w:tc>
        <w:tc>
          <w:tcPr>
            <w:tcW w:w="1276" w:type="dxa"/>
            <w:tcBorders>
              <w:top w:val="single" w:sz="4" w:space="0" w:color="000000"/>
              <w:left w:val="single" w:sz="4" w:space="0" w:color="000000"/>
              <w:bottom w:val="single" w:sz="4" w:space="0" w:color="000000"/>
            </w:tcBorders>
            <w:shd w:val="clear" w:color="auto" w:fill="auto"/>
          </w:tcPr>
          <w:p w14:paraId="2872B14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67,1</w:t>
            </w:r>
          </w:p>
        </w:tc>
        <w:tc>
          <w:tcPr>
            <w:tcW w:w="850" w:type="dxa"/>
            <w:tcBorders>
              <w:top w:val="single" w:sz="4" w:space="0" w:color="000000"/>
              <w:left w:val="single" w:sz="4" w:space="0" w:color="000000"/>
              <w:bottom w:val="single" w:sz="4" w:space="0" w:color="000000"/>
            </w:tcBorders>
            <w:shd w:val="clear" w:color="auto" w:fill="auto"/>
          </w:tcPr>
          <w:p w14:paraId="5307E46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6,5</w:t>
            </w:r>
          </w:p>
        </w:tc>
        <w:tc>
          <w:tcPr>
            <w:tcW w:w="1276" w:type="dxa"/>
            <w:tcBorders>
              <w:top w:val="single" w:sz="4" w:space="0" w:color="000000"/>
              <w:left w:val="single" w:sz="4" w:space="0" w:color="000000"/>
              <w:bottom w:val="single" w:sz="4" w:space="0" w:color="000000"/>
            </w:tcBorders>
            <w:shd w:val="clear" w:color="auto" w:fill="auto"/>
          </w:tcPr>
          <w:p w14:paraId="70D24E08"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88A75"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0,01</w:t>
            </w:r>
          </w:p>
        </w:tc>
      </w:tr>
      <w:tr w:rsidR="00126F67" w:rsidRPr="00126F67" w14:paraId="69B72DB3" w14:textId="77777777" w:rsidTr="003C0879">
        <w:tc>
          <w:tcPr>
            <w:tcW w:w="3352" w:type="dxa"/>
            <w:tcBorders>
              <w:top w:val="single" w:sz="4" w:space="0" w:color="000000"/>
              <w:left w:val="single" w:sz="4" w:space="0" w:color="000000"/>
              <w:bottom w:val="single" w:sz="4" w:space="0" w:color="000000"/>
            </w:tcBorders>
            <w:shd w:val="clear" w:color="auto" w:fill="auto"/>
          </w:tcPr>
          <w:p w14:paraId="499C31C3" w14:textId="3A3222BA" w:rsidR="00126F67" w:rsidRPr="00126F67" w:rsidRDefault="00126F67" w:rsidP="004D5DB0">
            <w:pPr>
              <w:suppressAutoHyphens/>
              <w:spacing w:after="0" w:line="240" w:lineRule="auto"/>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082DD6B1"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6191F766"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37CCFF9D"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850" w:type="dxa"/>
            <w:tcBorders>
              <w:top w:val="single" w:sz="4" w:space="0" w:color="000000"/>
              <w:left w:val="single" w:sz="4" w:space="0" w:color="000000"/>
              <w:bottom w:val="single" w:sz="4" w:space="0" w:color="000000"/>
            </w:tcBorders>
            <w:shd w:val="clear" w:color="auto" w:fill="auto"/>
          </w:tcPr>
          <w:p w14:paraId="4E76F1AB"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4421F979"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6C7451" w14:textId="77777777" w:rsidR="00126F67" w:rsidRPr="00126F67" w:rsidRDefault="00126F67" w:rsidP="004D5DB0">
            <w:pPr>
              <w:suppressAutoHyphens/>
              <w:snapToGrid w:val="0"/>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072912A2" w14:textId="77777777" w:rsidTr="003C0879">
        <w:tc>
          <w:tcPr>
            <w:tcW w:w="3352" w:type="dxa"/>
            <w:tcBorders>
              <w:top w:val="single" w:sz="4" w:space="0" w:color="000000"/>
              <w:left w:val="single" w:sz="4" w:space="0" w:color="000000"/>
              <w:bottom w:val="single" w:sz="4" w:space="0" w:color="000000"/>
            </w:tcBorders>
            <w:shd w:val="clear" w:color="auto" w:fill="auto"/>
          </w:tcPr>
          <w:p w14:paraId="336129E8"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Стимулирующие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3191891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873,4</w:t>
            </w:r>
          </w:p>
        </w:tc>
        <w:tc>
          <w:tcPr>
            <w:tcW w:w="992" w:type="dxa"/>
            <w:tcBorders>
              <w:top w:val="single" w:sz="4" w:space="0" w:color="000000"/>
              <w:left w:val="single" w:sz="4" w:space="0" w:color="000000"/>
              <w:bottom w:val="single" w:sz="4" w:space="0" w:color="000000"/>
            </w:tcBorders>
            <w:shd w:val="clear" w:color="auto" w:fill="auto"/>
          </w:tcPr>
          <w:p w14:paraId="3746039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89,3</w:t>
            </w:r>
          </w:p>
        </w:tc>
        <w:tc>
          <w:tcPr>
            <w:tcW w:w="1276" w:type="dxa"/>
            <w:tcBorders>
              <w:top w:val="single" w:sz="4" w:space="0" w:color="000000"/>
              <w:left w:val="single" w:sz="4" w:space="0" w:color="000000"/>
              <w:bottom w:val="single" w:sz="4" w:space="0" w:color="000000"/>
            </w:tcBorders>
            <w:shd w:val="clear" w:color="auto" w:fill="auto"/>
          </w:tcPr>
          <w:p w14:paraId="14047A7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932,6</w:t>
            </w:r>
          </w:p>
        </w:tc>
        <w:tc>
          <w:tcPr>
            <w:tcW w:w="850" w:type="dxa"/>
            <w:tcBorders>
              <w:top w:val="single" w:sz="4" w:space="0" w:color="000000"/>
              <w:left w:val="single" w:sz="4" w:space="0" w:color="000000"/>
              <w:bottom w:val="single" w:sz="4" w:space="0" w:color="000000"/>
            </w:tcBorders>
            <w:shd w:val="clear" w:color="auto" w:fill="auto"/>
          </w:tcPr>
          <w:p w14:paraId="0ADB136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90,0</w:t>
            </w:r>
          </w:p>
        </w:tc>
        <w:tc>
          <w:tcPr>
            <w:tcW w:w="1276" w:type="dxa"/>
            <w:tcBorders>
              <w:top w:val="single" w:sz="4" w:space="0" w:color="000000"/>
              <w:left w:val="single" w:sz="4" w:space="0" w:color="000000"/>
              <w:bottom w:val="single" w:sz="4" w:space="0" w:color="000000"/>
            </w:tcBorders>
            <w:shd w:val="clear" w:color="auto" w:fill="auto"/>
          </w:tcPr>
          <w:p w14:paraId="1185218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938,4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64053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96,3</w:t>
            </w:r>
          </w:p>
        </w:tc>
      </w:tr>
      <w:tr w:rsidR="00126F67" w:rsidRPr="00126F67" w14:paraId="6CB543AE" w14:textId="77777777" w:rsidTr="003C0879">
        <w:tc>
          <w:tcPr>
            <w:tcW w:w="3352" w:type="dxa"/>
            <w:tcBorders>
              <w:top w:val="single" w:sz="4" w:space="0" w:color="000000"/>
              <w:left w:val="single" w:sz="4" w:space="0" w:color="000000"/>
              <w:bottom w:val="single" w:sz="4" w:space="0" w:color="000000"/>
            </w:tcBorders>
            <w:shd w:val="clear" w:color="auto" w:fill="auto"/>
          </w:tcPr>
          <w:p w14:paraId="4DBC89CC" w14:textId="718298F0"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4FF32B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5D4AA8D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143C500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106,8</w:t>
            </w:r>
          </w:p>
        </w:tc>
        <w:tc>
          <w:tcPr>
            <w:tcW w:w="850" w:type="dxa"/>
            <w:tcBorders>
              <w:top w:val="single" w:sz="4" w:space="0" w:color="000000"/>
              <w:left w:val="single" w:sz="4" w:space="0" w:color="000000"/>
              <w:bottom w:val="single" w:sz="4" w:space="0" w:color="000000"/>
            </w:tcBorders>
            <w:shd w:val="clear" w:color="auto" w:fill="auto"/>
          </w:tcPr>
          <w:p w14:paraId="68D78D36"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30513AF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EFFBA"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41E12035" w14:textId="77777777" w:rsidTr="003C0879">
        <w:tc>
          <w:tcPr>
            <w:tcW w:w="3352" w:type="dxa"/>
            <w:tcBorders>
              <w:top w:val="single" w:sz="4" w:space="0" w:color="000000"/>
              <w:left w:val="single" w:sz="4" w:space="0" w:color="000000"/>
              <w:bottom w:val="single" w:sz="4" w:space="0" w:color="000000"/>
            </w:tcBorders>
            <w:shd w:val="clear" w:color="auto" w:fill="auto"/>
          </w:tcPr>
          <w:p w14:paraId="00F26480"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Социальные налоговые расходы</w:t>
            </w:r>
          </w:p>
        </w:tc>
        <w:tc>
          <w:tcPr>
            <w:tcW w:w="1134" w:type="dxa"/>
            <w:tcBorders>
              <w:top w:val="single" w:sz="4" w:space="0" w:color="000000"/>
              <w:left w:val="single" w:sz="4" w:space="0" w:color="000000"/>
              <w:bottom w:val="single" w:sz="4" w:space="0" w:color="000000"/>
            </w:tcBorders>
            <w:shd w:val="clear" w:color="auto" w:fill="auto"/>
          </w:tcPr>
          <w:p w14:paraId="6E06206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21,7</w:t>
            </w:r>
          </w:p>
        </w:tc>
        <w:tc>
          <w:tcPr>
            <w:tcW w:w="992" w:type="dxa"/>
            <w:tcBorders>
              <w:top w:val="single" w:sz="4" w:space="0" w:color="000000"/>
              <w:left w:val="single" w:sz="4" w:space="0" w:color="000000"/>
              <w:bottom w:val="single" w:sz="4" w:space="0" w:color="000000"/>
            </w:tcBorders>
            <w:shd w:val="clear" w:color="auto" w:fill="auto"/>
          </w:tcPr>
          <w:p w14:paraId="7C15AEB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2,2</w:t>
            </w:r>
          </w:p>
        </w:tc>
        <w:tc>
          <w:tcPr>
            <w:tcW w:w="1276" w:type="dxa"/>
            <w:tcBorders>
              <w:top w:val="single" w:sz="4" w:space="0" w:color="000000"/>
              <w:left w:val="single" w:sz="4" w:space="0" w:color="000000"/>
              <w:bottom w:val="single" w:sz="4" w:space="0" w:color="000000"/>
            </w:tcBorders>
            <w:shd w:val="clear" w:color="auto" w:fill="auto"/>
          </w:tcPr>
          <w:p w14:paraId="66DD6B3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20,7</w:t>
            </w:r>
          </w:p>
        </w:tc>
        <w:tc>
          <w:tcPr>
            <w:tcW w:w="850" w:type="dxa"/>
            <w:tcBorders>
              <w:top w:val="single" w:sz="4" w:space="0" w:color="000000"/>
              <w:left w:val="single" w:sz="4" w:space="0" w:color="000000"/>
              <w:bottom w:val="single" w:sz="4" w:space="0" w:color="000000"/>
            </w:tcBorders>
            <w:shd w:val="clear" w:color="auto" w:fill="auto"/>
          </w:tcPr>
          <w:p w14:paraId="57660B3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w:t>
            </w:r>
          </w:p>
        </w:tc>
        <w:tc>
          <w:tcPr>
            <w:tcW w:w="1276" w:type="dxa"/>
            <w:tcBorders>
              <w:top w:val="single" w:sz="4" w:space="0" w:color="000000"/>
              <w:left w:val="single" w:sz="4" w:space="0" w:color="000000"/>
              <w:bottom w:val="single" w:sz="4" w:space="0" w:color="000000"/>
            </w:tcBorders>
            <w:shd w:val="clear" w:color="auto" w:fill="auto"/>
          </w:tcPr>
          <w:p w14:paraId="00CA3E9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CEE982"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2,1</w:t>
            </w:r>
          </w:p>
        </w:tc>
      </w:tr>
      <w:tr w:rsidR="00126F67" w:rsidRPr="00126F67" w14:paraId="322F4E3E" w14:textId="77777777" w:rsidTr="003C0879">
        <w:tc>
          <w:tcPr>
            <w:tcW w:w="3352" w:type="dxa"/>
            <w:tcBorders>
              <w:top w:val="single" w:sz="4" w:space="0" w:color="000000"/>
              <w:left w:val="single" w:sz="4" w:space="0" w:color="000000"/>
              <w:bottom w:val="single" w:sz="4" w:space="0" w:color="000000"/>
            </w:tcBorders>
            <w:shd w:val="clear" w:color="auto" w:fill="auto"/>
          </w:tcPr>
          <w:p w14:paraId="749D597B" w14:textId="0AAEDDE0" w:rsidR="00126F67" w:rsidRPr="00126F67" w:rsidRDefault="00126F67" w:rsidP="004D5DB0">
            <w:pPr>
              <w:suppressAutoHyphens/>
              <w:spacing w:after="0" w:line="240" w:lineRule="auto"/>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37EC7C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w:t>
            </w:r>
          </w:p>
        </w:tc>
        <w:tc>
          <w:tcPr>
            <w:tcW w:w="992" w:type="dxa"/>
            <w:tcBorders>
              <w:top w:val="single" w:sz="4" w:space="0" w:color="000000"/>
              <w:left w:val="single" w:sz="4" w:space="0" w:color="000000"/>
              <w:bottom w:val="single" w:sz="4" w:space="0" w:color="000000"/>
            </w:tcBorders>
            <w:shd w:val="clear" w:color="auto" w:fill="auto"/>
          </w:tcPr>
          <w:p w14:paraId="41C3267D"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76A8534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95,4</w:t>
            </w:r>
          </w:p>
        </w:tc>
        <w:tc>
          <w:tcPr>
            <w:tcW w:w="850" w:type="dxa"/>
            <w:tcBorders>
              <w:top w:val="single" w:sz="4" w:space="0" w:color="000000"/>
              <w:left w:val="single" w:sz="4" w:space="0" w:color="000000"/>
              <w:bottom w:val="single" w:sz="4" w:space="0" w:color="000000"/>
            </w:tcBorders>
            <w:shd w:val="clear" w:color="auto" w:fill="auto"/>
          </w:tcPr>
          <w:p w14:paraId="32901B7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tcBorders>
            <w:shd w:val="clear" w:color="auto" w:fill="auto"/>
          </w:tcPr>
          <w:p w14:paraId="5D7A9F7C"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100,0</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14:paraId="44455088"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r w:rsidR="00126F67" w:rsidRPr="00126F67" w14:paraId="7DB13DF3" w14:textId="77777777" w:rsidTr="003C0879">
        <w:tc>
          <w:tcPr>
            <w:tcW w:w="3352" w:type="dxa"/>
            <w:tcBorders>
              <w:top w:val="single" w:sz="4" w:space="0" w:color="000000"/>
              <w:left w:val="single" w:sz="4" w:space="0" w:color="000000"/>
              <w:bottom w:val="single" w:sz="4" w:space="0" w:color="000000"/>
            </w:tcBorders>
            <w:shd w:val="clear" w:color="auto" w:fill="auto"/>
          </w:tcPr>
          <w:p w14:paraId="5BD97C62" w14:textId="77777777" w:rsidR="00126F67" w:rsidRPr="00126F67" w:rsidRDefault="00126F67" w:rsidP="004D5DB0">
            <w:pPr>
              <w:suppressAutoHyphens/>
              <w:spacing w:after="0" w:line="240" w:lineRule="auto"/>
              <w:contextualSpacing/>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Прочие налоговые расходы, </w:t>
            </w:r>
            <w:r w:rsidRPr="00126F67">
              <w:rPr>
                <w:rFonts w:ascii="Times New Roman" w:eastAsia="Times New Roman" w:hAnsi="Times New Roman" w:cs="Times New Roman"/>
                <w:bCs/>
                <w:i/>
                <w:iCs/>
                <w:kern w:val="2"/>
                <w:sz w:val="26"/>
                <w:szCs w:val="26"/>
                <w:lang w:eastAsia="zh-CN"/>
              </w:rPr>
              <w:t>не относящиеся к типам налоговых расходов бюджета Нефтеюганского района</w:t>
            </w:r>
            <w:r w:rsidRPr="00126F67">
              <w:rPr>
                <w:rFonts w:ascii="Times New Roman" w:eastAsia="Times New Roman" w:hAnsi="Times New Roman" w:cs="Times New Roman"/>
                <w:bCs/>
                <w:kern w:val="2"/>
                <w:sz w:val="26"/>
                <w:szCs w:val="26"/>
                <w:lang w:eastAsia="zh-CN"/>
              </w:rPr>
              <w:t xml:space="preserve"> (МБУДО «Спортивная школа олимпийского резерва «Спартак» г.Нефтеюганск)</w:t>
            </w:r>
          </w:p>
        </w:tc>
        <w:tc>
          <w:tcPr>
            <w:tcW w:w="1134" w:type="dxa"/>
            <w:tcBorders>
              <w:top w:val="single" w:sz="4" w:space="0" w:color="000000"/>
              <w:left w:val="single" w:sz="4" w:space="0" w:color="000000"/>
              <w:bottom w:val="single" w:sz="4" w:space="0" w:color="000000"/>
            </w:tcBorders>
            <w:shd w:val="clear" w:color="auto" w:fill="auto"/>
          </w:tcPr>
          <w:p w14:paraId="4185AFF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992" w:type="dxa"/>
            <w:tcBorders>
              <w:top w:val="single" w:sz="4" w:space="0" w:color="000000"/>
              <w:left w:val="single" w:sz="4" w:space="0" w:color="000000"/>
              <w:bottom w:val="single" w:sz="4" w:space="0" w:color="000000"/>
            </w:tcBorders>
            <w:shd w:val="clear" w:color="auto" w:fill="auto"/>
          </w:tcPr>
          <w:p w14:paraId="40BC73F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1,6</w:t>
            </w:r>
          </w:p>
        </w:tc>
        <w:tc>
          <w:tcPr>
            <w:tcW w:w="1276" w:type="dxa"/>
            <w:tcBorders>
              <w:top w:val="single" w:sz="4" w:space="0" w:color="000000"/>
              <w:left w:val="single" w:sz="4" w:space="0" w:color="000000"/>
              <w:bottom w:val="single" w:sz="4" w:space="0" w:color="000000"/>
            </w:tcBorders>
            <w:shd w:val="clear" w:color="auto" w:fill="auto"/>
          </w:tcPr>
          <w:p w14:paraId="18B8BCE5"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850" w:type="dxa"/>
            <w:tcBorders>
              <w:top w:val="single" w:sz="4" w:space="0" w:color="000000"/>
              <w:left w:val="single" w:sz="4" w:space="0" w:color="000000"/>
              <w:bottom w:val="single" w:sz="4" w:space="0" w:color="000000"/>
            </w:tcBorders>
            <w:shd w:val="clear" w:color="auto" w:fill="auto"/>
          </w:tcPr>
          <w:p w14:paraId="02335697"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068D9794"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15,4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CCF81"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1,6</w:t>
            </w:r>
          </w:p>
        </w:tc>
      </w:tr>
      <w:tr w:rsidR="00126F67" w:rsidRPr="00126F67" w14:paraId="3A577C25" w14:textId="77777777" w:rsidTr="003C0879">
        <w:tc>
          <w:tcPr>
            <w:tcW w:w="3352" w:type="dxa"/>
            <w:tcBorders>
              <w:top w:val="single" w:sz="4" w:space="0" w:color="000000"/>
              <w:left w:val="single" w:sz="4" w:space="0" w:color="000000"/>
              <w:bottom w:val="single" w:sz="4" w:space="0" w:color="000000"/>
            </w:tcBorders>
            <w:shd w:val="clear" w:color="auto" w:fill="auto"/>
          </w:tcPr>
          <w:p w14:paraId="13A289C5" w14:textId="23ABA392" w:rsidR="00126F67" w:rsidRPr="00126F67" w:rsidRDefault="00126F67" w:rsidP="004D5DB0">
            <w:pPr>
              <w:suppressAutoHyphens/>
              <w:spacing w:after="0" w:line="240" w:lineRule="auto"/>
              <w:jc w:val="both"/>
              <w:textAlignment w:val="baseline"/>
              <w:rPr>
                <w:rFonts w:ascii="Times New Roman" w:eastAsia="Times New Roman" w:hAnsi="Times New Roman" w:cs="Times New Roman"/>
                <w:bCs/>
                <w:kern w:val="2"/>
                <w:sz w:val="26"/>
                <w:szCs w:val="26"/>
                <w:lang w:eastAsia="zh-CN"/>
              </w:rPr>
            </w:pPr>
            <w:r w:rsidRPr="00126F67">
              <w:rPr>
                <w:rFonts w:ascii="Times New Roman" w:eastAsia="Times New Roman" w:hAnsi="Times New Roman" w:cs="Times New Roman"/>
                <w:bCs/>
                <w:kern w:val="2"/>
                <w:sz w:val="26"/>
                <w:szCs w:val="26"/>
                <w:lang w:eastAsia="zh-CN"/>
              </w:rPr>
              <w:t xml:space="preserve">темп роста (снижения) </w:t>
            </w:r>
            <w:r w:rsidR="004D5DB0">
              <w:rPr>
                <w:rFonts w:ascii="Times New Roman" w:eastAsia="Times New Roman" w:hAnsi="Times New Roman" w:cs="Times New Roman"/>
                <w:bCs/>
                <w:kern w:val="2"/>
                <w:sz w:val="26"/>
                <w:szCs w:val="26"/>
                <w:lang w:eastAsia="zh-CN"/>
              </w:rPr>
              <w:br/>
            </w:r>
            <w:r w:rsidRPr="00126F67">
              <w:rPr>
                <w:rFonts w:ascii="Times New Roman" w:eastAsia="Times New Roman" w:hAnsi="Times New Roman" w:cs="Times New Roman"/>
                <w:bCs/>
                <w:kern w:val="2"/>
                <w:sz w:val="26"/>
                <w:szCs w:val="26"/>
                <w:lang w:eastAsia="zh-CN"/>
              </w:rPr>
              <w:t>к предыдущему году, %</w:t>
            </w:r>
          </w:p>
        </w:tc>
        <w:tc>
          <w:tcPr>
            <w:tcW w:w="1134" w:type="dxa"/>
            <w:tcBorders>
              <w:top w:val="single" w:sz="4" w:space="0" w:color="000000"/>
              <w:left w:val="single" w:sz="4" w:space="0" w:color="000000"/>
              <w:bottom w:val="single" w:sz="4" w:space="0" w:color="000000"/>
            </w:tcBorders>
            <w:shd w:val="clear" w:color="auto" w:fill="auto"/>
          </w:tcPr>
          <w:p w14:paraId="5D8C17AB"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992" w:type="dxa"/>
            <w:tcBorders>
              <w:top w:val="single" w:sz="4" w:space="0" w:color="000000"/>
              <w:left w:val="single" w:sz="4" w:space="0" w:color="000000"/>
              <w:bottom w:val="single" w:sz="4" w:space="0" w:color="000000"/>
            </w:tcBorders>
            <w:shd w:val="clear" w:color="auto" w:fill="auto"/>
          </w:tcPr>
          <w:p w14:paraId="6274D17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p>
        </w:tc>
        <w:tc>
          <w:tcPr>
            <w:tcW w:w="1276" w:type="dxa"/>
            <w:tcBorders>
              <w:top w:val="single" w:sz="4" w:space="0" w:color="000000"/>
              <w:left w:val="single" w:sz="4" w:space="0" w:color="000000"/>
              <w:bottom w:val="single" w:sz="4" w:space="0" w:color="000000"/>
            </w:tcBorders>
            <w:shd w:val="clear" w:color="auto" w:fill="auto"/>
          </w:tcPr>
          <w:p w14:paraId="3693991E"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850" w:type="dxa"/>
            <w:tcBorders>
              <w:top w:val="single" w:sz="4" w:space="0" w:color="000000"/>
              <w:left w:val="single" w:sz="4" w:space="0" w:color="000000"/>
              <w:bottom w:val="single" w:sz="4" w:space="0" w:color="000000"/>
            </w:tcBorders>
            <w:shd w:val="clear" w:color="auto" w:fill="auto"/>
          </w:tcPr>
          <w:p w14:paraId="5765EF29"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C94DADF"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D9B30" w14:textId="77777777" w:rsidR="00126F67" w:rsidRPr="00126F67" w:rsidRDefault="00126F67" w:rsidP="004D5DB0">
            <w:pPr>
              <w:suppressAutoHyphens/>
              <w:spacing w:after="0" w:line="240" w:lineRule="auto"/>
              <w:jc w:val="center"/>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х</w:t>
            </w:r>
          </w:p>
        </w:tc>
      </w:tr>
    </w:tbl>
    <w:p w14:paraId="49426D16" w14:textId="77777777" w:rsidR="00126F67" w:rsidRPr="00126F67" w:rsidRDefault="00126F67" w:rsidP="004D5DB0">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14:paraId="35F27C87" w14:textId="646FE21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зависимости от целевой категории налоговые расходы определены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как</w:t>
      </w:r>
      <w:r w:rsidR="00F37550">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технические, социальные и стимулирующие. Наибольший удельный вес (96,3%) налоговых расходов в 2022 году приходится на стимулирующие налоговые расходы, которые представлены снижением налоговой ставки 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отношении объектов налогообложения, кадастровая стоимость каждого из которых превышает 300 миллионов рублей и в отношении земельных участков, отнесенных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со статьей 389 Налогового кодекса Российской Федерации.</w:t>
      </w:r>
    </w:p>
    <w:p w14:paraId="32A026A7" w14:textId="77777777"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Технические налоговые расходы в 2022 году составили 0,01 %, которые представлены налоговой льготой по земельному налогу муниципальным учреждениям, созданным для исполнения полномочий органов местного самоуправления Нефтеюганского района. Целью применения технических налоговых расходов </w:t>
      </w:r>
      <w:r w:rsidRPr="00126F67">
        <w:rPr>
          <w:rFonts w:ascii="Times New Roman" w:eastAsia="Calibri" w:hAnsi="Times New Roman" w:cs="Times New Roman"/>
          <w:sz w:val="26"/>
          <w:szCs w:val="26"/>
        </w:rPr>
        <w:lastRenderedPageBreak/>
        <w:t>является оптимизация встречных бюджетных финансовых потоков и повышение эффективности деятельности органов местного самоуправления Нефтеюганского района.</w:t>
      </w:r>
    </w:p>
    <w:p w14:paraId="44F7A5D1" w14:textId="6E53A55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2,1 % налоговых расходов приходится на социальные налоговые расходы, которые представлены налоговыми льготами по земельному налогу для отдельных категорий физических лиц, а также снижением налоговой ставки в части земельных участков, отнесенных к категории земель «Земли особоохраняемых территорий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и объектов», за исключением земель, ограниченных в обороте в соответствии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со статьей 389 Налогового кодекса Российской Федерации. </w:t>
      </w:r>
    </w:p>
    <w:p w14:paraId="6BA111E6" w14:textId="47CC3531"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1,6 % налоговых расходов отнесены к прочим налоговым расходам, которые представлены налоговой льготой по земельному налогу муниципальным учреждениям, созданным для исполнения полномочий органов местного самоуправления муниципального образования г.Нефтеюганск (</w:t>
      </w:r>
      <w:r w:rsidRPr="00126F67">
        <w:rPr>
          <w:rFonts w:ascii="Times New Roman" w:eastAsia="Times New Roman" w:hAnsi="Times New Roman" w:cs="Times New Roman"/>
          <w:sz w:val="26"/>
          <w:szCs w:val="26"/>
          <w:lang w:eastAsia="ru-RU"/>
        </w:rPr>
        <w:t>муниципальное бюджетное учреждение дополнительного образования «Спортивная школа олимпийского резерва «Спартак» г.Нефтеюганск).</w:t>
      </w:r>
    </w:p>
    <w:p w14:paraId="1D388FA1" w14:textId="77777777" w:rsidR="00126F67" w:rsidRPr="00126F67" w:rsidRDefault="00126F67" w:rsidP="004D5DB0">
      <w:pPr>
        <w:autoSpaceDE w:val="0"/>
        <w:autoSpaceDN w:val="0"/>
        <w:adjustRightInd w:val="0"/>
        <w:spacing w:after="0" w:line="240" w:lineRule="auto"/>
        <w:contextualSpacing/>
        <w:rPr>
          <w:rFonts w:ascii="Times New Roman" w:eastAsia="Times New Roman" w:hAnsi="Times New Roman" w:cs="Times New Roman"/>
          <w:sz w:val="26"/>
          <w:szCs w:val="26"/>
          <w:lang w:eastAsia="ru-RU"/>
        </w:rPr>
      </w:pPr>
    </w:p>
    <w:p w14:paraId="1DEADCB2" w14:textId="77777777" w:rsidR="00126F67" w:rsidRPr="004D5DB0" w:rsidRDefault="00126F67" w:rsidP="004D5DB0">
      <w:pPr>
        <w:numPr>
          <w:ilvl w:val="0"/>
          <w:numId w:val="1"/>
        </w:numPr>
        <w:autoSpaceDE w:val="0"/>
        <w:autoSpaceDN w:val="0"/>
        <w:adjustRightInd w:val="0"/>
        <w:spacing w:after="0" w:line="240" w:lineRule="auto"/>
        <w:contextualSpacing/>
        <w:jc w:val="center"/>
        <w:rPr>
          <w:rFonts w:ascii="Calibri" w:eastAsia="Calibri" w:hAnsi="Calibri" w:cs="Times New Roman"/>
          <w:sz w:val="26"/>
          <w:szCs w:val="26"/>
        </w:rPr>
      </w:pPr>
      <w:bookmarkStart w:id="3" w:name="_Hlk136337586"/>
      <w:r w:rsidRPr="004D5DB0">
        <w:rPr>
          <w:rFonts w:ascii="Times New Roman" w:eastAsia="Times New Roman" w:hAnsi="Times New Roman" w:cs="Times New Roman"/>
          <w:sz w:val="26"/>
          <w:szCs w:val="26"/>
          <w:lang w:eastAsia="ru-RU"/>
        </w:rPr>
        <w:t xml:space="preserve">Эффективность налоговых расходов по земельному налогу </w:t>
      </w:r>
    </w:p>
    <w:p w14:paraId="1EA7EA35" w14:textId="77777777" w:rsidR="00F37550" w:rsidRDefault="00F37550" w:rsidP="004D5DB0">
      <w:pPr>
        <w:widowControl w:val="0"/>
        <w:spacing w:after="0" w:line="240" w:lineRule="auto"/>
        <w:jc w:val="both"/>
        <w:rPr>
          <w:rFonts w:ascii="Times New Roman" w:eastAsia="Calibri" w:hAnsi="Times New Roman" w:cs="Times New Roman"/>
          <w:sz w:val="26"/>
          <w:szCs w:val="26"/>
        </w:rPr>
      </w:pPr>
      <w:bookmarkStart w:id="4" w:name="_Hlk136337679"/>
      <w:bookmarkEnd w:id="3"/>
    </w:p>
    <w:p w14:paraId="56215DE6" w14:textId="070B8A9D" w:rsidR="00126F67" w:rsidRPr="00126F67" w:rsidRDefault="00126F67" w:rsidP="004D5DB0">
      <w:pPr>
        <w:widowControl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соответствии с решением Думы Нефтеюганского района от 21.10.2011 № 90 «Об установлении земельного налога» (далее – </w:t>
      </w:r>
      <w:r w:rsidR="00F37550" w:rsidRPr="00C236F3">
        <w:rPr>
          <w:rFonts w:ascii="Times New Roman" w:eastAsia="Calibri" w:hAnsi="Times New Roman" w:cs="Times New Roman"/>
          <w:sz w:val="26"/>
          <w:szCs w:val="26"/>
        </w:rPr>
        <w:t>р</w:t>
      </w:r>
      <w:r w:rsidRPr="00C236F3">
        <w:rPr>
          <w:rFonts w:ascii="Times New Roman" w:eastAsia="Calibri" w:hAnsi="Times New Roman" w:cs="Times New Roman"/>
          <w:sz w:val="26"/>
          <w:szCs w:val="26"/>
        </w:rPr>
        <w:t xml:space="preserve">ешение Думы </w:t>
      </w:r>
      <w:r w:rsidR="00F37550" w:rsidRPr="00C236F3">
        <w:rPr>
          <w:rFonts w:ascii="Times New Roman" w:eastAsia="Calibri" w:hAnsi="Times New Roman" w:cs="Times New Roman"/>
          <w:sz w:val="26"/>
          <w:szCs w:val="26"/>
        </w:rPr>
        <w:t xml:space="preserve">Нефтеюганского района </w:t>
      </w:r>
      <w:r w:rsidRPr="00C236F3">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90) налоговые расходы предоставлены в виде налоговых льгот для физических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и юридических лиц, а также в виде пониженных налоговых ставок в отношении земельных участков, отнесенных к категории земель «Земли промышленност</w:t>
      </w:r>
      <w:bookmarkEnd w:id="4"/>
      <w:r w:rsidRPr="00126F67">
        <w:rPr>
          <w:rFonts w:ascii="Times New Roman" w:eastAsia="Calibri" w:hAnsi="Times New Roman" w:cs="Times New Roman"/>
          <w:sz w:val="26"/>
          <w:szCs w:val="26"/>
        </w:rPr>
        <w:t xml:space="preserve">и, энергетики, транспорта, связи, радиовещания, телевидения, информатики, земли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соответствии со статьей 389 Налогового кодекса Российской Федерации и «Земли особоохраняемых территорий и объектов», за исключением земель, ограниченных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в обороте в соответствии со статьей 389 Налогового кодекса Российской Федерации.</w:t>
      </w:r>
    </w:p>
    <w:p w14:paraId="591C1419" w14:textId="31226C81"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Из 11 налоговых расходов, включенных в </w:t>
      </w:r>
      <w:r w:rsidR="00C236F3">
        <w:rPr>
          <w:rFonts w:ascii="Times New Roman" w:eastAsia="Times New Roman" w:hAnsi="Times New Roman" w:cs="Times New Roman"/>
          <w:kern w:val="2"/>
          <w:sz w:val="26"/>
          <w:szCs w:val="26"/>
          <w:lang w:eastAsia="zh-CN"/>
        </w:rPr>
        <w:t xml:space="preserve">перечень налоговых расходов </w:t>
      </w:r>
      <w:r w:rsidR="004D5DB0">
        <w:rPr>
          <w:rFonts w:ascii="Times New Roman" w:eastAsia="Times New Roman" w:hAnsi="Times New Roman" w:cs="Times New Roman"/>
          <w:kern w:val="2"/>
          <w:sz w:val="26"/>
          <w:szCs w:val="26"/>
          <w:lang w:eastAsia="zh-CN"/>
        </w:rPr>
        <w:br/>
      </w:r>
      <w:r w:rsidR="00C236F3">
        <w:rPr>
          <w:rFonts w:ascii="Times New Roman" w:eastAsia="Times New Roman" w:hAnsi="Times New Roman" w:cs="Times New Roman"/>
          <w:kern w:val="2"/>
          <w:sz w:val="26"/>
          <w:szCs w:val="26"/>
          <w:lang w:eastAsia="zh-CN"/>
        </w:rPr>
        <w:t>на 1 января 2022 года</w:t>
      </w:r>
      <w:r w:rsidRPr="00126F67">
        <w:rPr>
          <w:rFonts w:ascii="Times New Roman" w:eastAsia="Times New Roman" w:hAnsi="Times New Roman" w:cs="Times New Roman"/>
          <w:kern w:val="2"/>
          <w:sz w:val="26"/>
          <w:szCs w:val="26"/>
          <w:lang w:eastAsia="zh-CN"/>
        </w:rPr>
        <w:t>, 10 налоговых расходов</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(1 технический, 3</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социальных,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5 стимулирующих, 1 прочий) относятся к земельному налогу, из которых четыре налоговых расходов (1 технический, 2 социальных,</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1 стимулирующий) распределены по 4 муниципальным программам.</w:t>
      </w:r>
      <w:r w:rsidR="003F7E5B">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Шесть налоговых расходов (1 социальный,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4 стимулирующих, 1 прочий) относятся к непрограммным.</w:t>
      </w:r>
    </w:p>
    <w:p w14:paraId="253BF13B"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Фактически в 2022 году налоговыми расходами по земельному налогу воспользовались 6 организаций на сумму 43,3 тыс. рублей.</w:t>
      </w:r>
    </w:p>
    <w:p w14:paraId="07A2185D" w14:textId="77777777" w:rsidR="00126F67" w:rsidRPr="00126F67" w:rsidRDefault="00126F67" w:rsidP="004D5DB0">
      <w:pPr>
        <w:spacing w:after="0" w:line="240" w:lineRule="auto"/>
        <w:ind w:firstLine="708"/>
        <w:contextualSpacing/>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kern w:val="2"/>
          <w:sz w:val="26"/>
          <w:szCs w:val="26"/>
          <w:lang w:eastAsia="zh-CN"/>
        </w:rPr>
        <w:t xml:space="preserve">Освобождение от уплаты земельного налога в размере 100% муниципальных учреждений, созданных для исполнения полномочий органов местного самоуправления Нефтеюганского района и города Нефтеюганска. Объём налоговых расходов за 2022 год составил 15,5 тыс. рублей, воспользовались налоговыми расходами 2 налогоплательщика – </w:t>
      </w:r>
      <w:r w:rsidRPr="00126F67">
        <w:rPr>
          <w:rFonts w:ascii="Times New Roman" w:eastAsia="Times New Roman" w:hAnsi="Times New Roman" w:cs="Times New Roman"/>
          <w:sz w:val="26"/>
          <w:szCs w:val="26"/>
          <w:lang w:eastAsia="ru-RU"/>
        </w:rPr>
        <w:t xml:space="preserve">муниципальное казенное учреждение «Управление капитального строительства и жилищно-коммунального комплекса Нефтеюганского района» (далее – МКУ «УКС») и </w:t>
      </w:r>
      <w:bookmarkStart w:id="5" w:name="_Hlk136355081"/>
      <w:r w:rsidRPr="00126F67">
        <w:rPr>
          <w:rFonts w:ascii="Times New Roman" w:eastAsia="Times New Roman" w:hAnsi="Times New Roman" w:cs="Times New Roman"/>
          <w:sz w:val="26"/>
          <w:szCs w:val="26"/>
          <w:lang w:eastAsia="ru-RU"/>
        </w:rPr>
        <w:t>Муниципальное бюджетное учреждение спортивная школа олимпийского резерва «Спартак» г. Нефтеюганск</w:t>
      </w:r>
      <w:bookmarkEnd w:id="5"/>
      <w:r w:rsidRPr="00126F67">
        <w:rPr>
          <w:rFonts w:ascii="Times New Roman" w:eastAsia="Times New Roman" w:hAnsi="Times New Roman" w:cs="Times New Roman"/>
          <w:sz w:val="26"/>
          <w:szCs w:val="26"/>
          <w:lang w:eastAsia="ru-RU"/>
        </w:rPr>
        <w:t xml:space="preserve">. </w:t>
      </w:r>
    </w:p>
    <w:p w14:paraId="708D568A" w14:textId="4B952DE9" w:rsidR="00126F67" w:rsidRPr="00126F67" w:rsidRDefault="00126F67" w:rsidP="004D5DB0">
      <w:pPr>
        <w:spacing w:after="0" w:line="240" w:lineRule="auto"/>
        <w:ind w:firstLine="708"/>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Налоговый расход в сумме 0,1 тыс. рублей МКУ «УКС» соответствует цели муниципальной программы «Развитие жилищно-коммунального комплекса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 xml:space="preserve">и повышение энергетической эффективности в муниципальном образовании </w:t>
      </w:r>
      <w:r w:rsidRPr="00126F67">
        <w:rPr>
          <w:rFonts w:ascii="Times New Roman" w:eastAsia="Times New Roman" w:hAnsi="Times New Roman" w:cs="Times New Roman"/>
          <w:sz w:val="26"/>
          <w:szCs w:val="26"/>
          <w:lang w:eastAsia="ru-RU"/>
        </w:rPr>
        <w:lastRenderedPageBreak/>
        <w:t xml:space="preserve">Нефтеюганский район на 2019-2024 годы и на период до 2030 года», утвержденной постановлением администрации Нефтеюганского района от 31.10.2016 </w:t>
      </w:r>
      <w:r w:rsidR="00F37550">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1804-па-нпа.  В соответствии с постановлением администрации Нефтеюганского района от 02.02.2022 № 106-па</w:t>
      </w:r>
      <w:r w:rsidR="00CB3EAA">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xml:space="preserve">«О прекращении права постоянного (бессрочного) пользования земельным участком» </w:t>
      </w:r>
      <w:r w:rsidRPr="00126F67">
        <w:rPr>
          <w:rFonts w:ascii="Times New Roman" w:eastAsia="Calibri" w:hAnsi="Times New Roman" w:cs="Times New Roman"/>
          <w:sz w:val="26"/>
          <w:szCs w:val="26"/>
        </w:rPr>
        <w:t xml:space="preserve">земельный участок снят с учета с 04.04.2022. Объем налогового расхода рассчитан за три месяца 2022 года фактического использования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и составил 0,1 тыс. рублей.</w:t>
      </w:r>
    </w:p>
    <w:p w14:paraId="793DD328" w14:textId="77777777" w:rsidR="00126F67" w:rsidRPr="00126F67" w:rsidRDefault="00126F67" w:rsidP="004D5DB0">
      <w:pPr>
        <w:spacing w:after="0" w:line="240" w:lineRule="auto"/>
        <w:ind w:firstLine="708"/>
        <w:contextualSpacing/>
        <w:jc w:val="both"/>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Бюджетная эффективность от предоставления налоговой льготы муниципальному учреждению Нефтеюганского района заключается в экономии бюджетных средств, сокращении встречных финансовых потоков при одновременном снижении налоговой нагрузки на учреждение, финансируемое из бюджета Нефтеюганского района.</w:t>
      </w:r>
    </w:p>
    <w:p w14:paraId="53DA9C71" w14:textId="77777777" w:rsidR="00126F67" w:rsidRPr="00126F67" w:rsidRDefault="00126F67" w:rsidP="004D5DB0">
      <w:pPr>
        <w:spacing w:after="0" w:line="240" w:lineRule="auto"/>
        <w:ind w:firstLine="708"/>
        <w:contextualSpacing/>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04B07F16" w14:textId="4981F976" w:rsidR="00126F67" w:rsidRPr="00126F67" w:rsidRDefault="00126F67" w:rsidP="004D5DB0">
      <w:pPr>
        <w:spacing w:after="0" w:line="240" w:lineRule="auto"/>
        <w:ind w:firstLine="708"/>
        <w:jc w:val="both"/>
        <w:rPr>
          <w:rFonts w:ascii="Times New Roman" w:eastAsia="Times New Roman" w:hAnsi="Times New Roman" w:cs="Times New Roman"/>
          <w:b/>
          <w:bCs/>
          <w:sz w:val="26"/>
          <w:szCs w:val="26"/>
          <w:u w:val="single"/>
          <w:lang w:eastAsia="ru-RU"/>
        </w:rPr>
      </w:pPr>
      <w:r w:rsidRPr="00126F67">
        <w:rPr>
          <w:rFonts w:ascii="Times New Roman" w:eastAsia="Times New Roman" w:hAnsi="Times New Roman" w:cs="Times New Roman"/>
          <w:sz w:val="26"/>
          <w:szCs w:val="26"/>
          <w:lang w:eastAsia="ru-RU"/>
        </w:rPr>
        <w:t xml:space="preserve">Налоговый расход в сумме 15,4 тыс. рублей в отношении муниципального бюджетного учреждения спортивная школа олимпийского резерва «Спартак» </w:t>
      </w:r>
      <w:r w:rsidR="00CB3EAA">
        <w:rPr>
          <w:rFonts w:ascii="Times New Roman" w:eastAsia="Times New Roman" w:hAnsi="Times New Roman" w:cs="Times New Roman"/>
          <w:sz w:val="26"/>
          <w:szCs w:val="26"/>
          <w:lang w:eastAsia="ru-RU"/>
        </w:rPr>
        <w:t xml:space="preserve">                            </w:t>
      </w:r>
      <w:r w:rsidRPr="00126F67">
        <w:rPr>
          <w:rFonts w:ascii="Times New Roman" w:eastAsia="Times New Roman" w:hAnsi="Times New Roman" w:cs="Times New Roman"/>
          <w:sz w:val="26"/>
          <w:szCs w:val="26"/>
          <w:lang w:eastAsia="ru-RU"/>
        </w:rPr>
        <w:t xml:space="preserve">г.Нефтеюганск не соответствует ни целям муниципальных программ Нефтеюганского района, ни целям социально-экономической </w:t>
      </w:r>
      <w:r w:rsidRPr="00065F96">
        <w:rPr>
          <w:rFonts w:ascii="Times New Roman" w:eastAsia="Times New Roman" w:hAnsi="Times New Roman" w:cs="Times New Roman"/>
          <w:sz w:val="26"/>
          <w:szCs w:val="26"/>
          <w:lang w:eastAsia="ru-RU"/>
        </w:rPr>
        <w:t>политики</w:t>
      </w:r>
      <w:r w:rsidRPr="00126F67">
        <w:rPr>
          <w:rFonts w:ascii="Times New Roman" w:eastAsia="Times New Roman" w:hAnsi="Times New Roman" w:cs="Times New Roman"/>
          <w:color w:val="00B0F0"/>
          <w:sz w:val="26"/>
          <w:szCs w:val="26"/>
          <w:lang w:eastAsia="ru-RU"/>
        </w:rPr>
        <w:t xml:space="preserve"> </w:t>
      </w:r>
      <w:r w:rsidRPr="00126F67">
        <w:rPr>
          <w:rFonts w:ascii="Times New Roman" w:eastAsia="Times New Roman" w:hAnsi="Times New Roman" w:cs="Times New Roman"/>
          <w:sz w:val="26"/>
          <w:szCs w:val="26"/>
          <w:lang w:eastAsia="ru-RU"/>
        </w:rPr>
        <w:t>Нефтеюганского района (Стратегии социально-экономического развития муниципального образования Нефтеюганский район до 2030 года), в связи с этим предложено отменить налоговый расход в виде освобождения от уплаты земельного налога муниципальные учреждения, созданные для исполнения полномочий органов местного самоуправления муниципального образования города Нефтеюганска.</w:t>
      </w:r>
    </w:p>
    <w:p w14:paraId="02080EEA" w14:textId="350F27F9" w:rsidR="00126F67" w:rsidRPr="00126F67" w:rsidRDefault="00126F67" w:rsidP="004D5DB0">
      <w:pPr>
        <w:spacing w:after="0" w:line="240" w:lineRule="auto"/>
        <w:ind w:firstLine="708"/>
        <w:jc w:val="both"/>
        <w:rPr>
          <w:rFonts w:ascii="Times New Roman" w:eastAsia="Times New Roman" w:hAnsi="Times New Roman" w:cs="Times New Roman"/>
          <w:sz w:val="26"/>
          <w:szCs w:val="26"/>
          <w:lang w:eastAsia="ru-RU"/>
        </w:rPr>
      </w:pPr>
      <w:r w:rsidRPr="00126F67">
        <w:rPr>
          <w:rFonts w:ascii="Times New Roman" w:eastAsia="Times New Roman" w:hAnsi="Times New Roman" w:cs="Times New Roman"/>
          <w:sz w:val="26"/>
          <w:szCs w:val="26"/>
          <w:lang w:eastAsia="ru-RU"/>
        </w:rPr>
        <w:t xml:space="preserve">Освобождением от уплаты земельного налога ветеранов и инвалидов ВОВ, </w:t>
      </w:r>
      <w:r w:rsidR="004D5DB0">
        <w:rPr>
          <w:rFonts w:ascii="Times New Roman" w:eastAsia="Times New Roman" w:hAnsi="Times New Roman" w:cs="Times New Roman"/>
          <w:sz w:val="26"/>
          <w:szCs w:val="26"/>
          <w:lang w:eastAsia="ru-RU"/>
        </w:rPr>
        <w:br/>
      </w:r>
      <w:r w:rsidRPr="00126F67">
        <w:rPr>
          <w:rFonts w:ascii="Times New Roman" w:eastAsia="Times New Roman" w:hAnsi="Times New Roman" w:cs="Times New Roman"/>
          <w:sz w:val="26"/>
          <w:szCs w:val="26"/>
          <w:lang w:eastAsia="ru-RU"/>
        </w:rPr>
        <w:t>в отношении земельных участков, не используемых ими в предпринимательской деятельности, за 2022 год объем налогового расхода составил 0,0 тыс. рублей, ввиду отсутствия получателей данной льготы.</w:t>
      </w:r>
    </w:p>
    <w:p w14:paraId="0A30E906" w14:textId="217D5D9E"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соответствии с отчетом куратора налоговых расходов Нефтеюганского района отдела социально-трудовых отношений администрации Нефтеюганского района, установлено, что налоговые расходы, обусловленные предоставлением налоговых льгот по земельному налогу отнесены к социальным налоговым расходам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соответствует цели муниципальной программы «Социальная поддержка жителей </w:t>
      </w:r>
      <w:r w:rsidRPr="00126F67">
        <w:rPr>
          <w:rFonts w:ascii="Times New Roman" w:eastAsia="Times New Roman" w:hAnsi="Times New Roman" w:cs="Times New Roman"/>
          <w:bCs/>
          <w:kern w:val="2"/>
          <w:sz w:val="26"/>
          <w:szCs w:val="26"/>
          <w:lang w:eastAsia="zh-CN"/>
        </w:rPr>
        <w:t>Нефтеюганского района на 2019-2024 годы и на период до 2030 года</w:t>
      </w:r>
      <w:r w:rsidRPr="00126F67">
        <w:rPr>
          <w:rFonts w:ascii="Times New Roman" w:eastAsia="Times New Roman" w:hAnsi="Times New Roman" w:cs="Times New Roman"/>
          <w:kern w:val="2"/>
          <w:sz w:val="26"/>
          <w:szCs w:val="26"/>
          <w:lang w:eastAsia="zh-CN"/>
        </w:rPr>
        <w:t xml:space="preserve">», утвержденной постановлением администрации Нефтеюганского района от 22.11.2016 № 2075-па-нпа. </w:t>
      </w:r>
    </w:p>
    <w:p w14:paraId="11683FA3" w14:textId="19718B69"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Социальная эффективность от предоставления налоговых льгот ветеранам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инвалидам ВОВ в отношении земельных участков, не используемых ими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предпринимательской деятельности, выражается в качестве дополнительной меры социальной поддержки в виде снижения доли расходов на оплату обязательных платежей, повышение уровня жизни данной категории граждан. </w:t>
      </w:r>
    </w:p>
    <w:p w14:paraId="675DFA03"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1B4D43AF" w14:textId="6AE9DD11"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соответствии с </w:t>
      </w:r>
      <w:r w:rsidR="00CB3EAA" w:rsidRPr="00065F96">
        <w:rPr>
          <w:rFonts w:ascii="Times New Roman" w:eastAsia="Times New Roman" w:hAnsi="Times New Roman" w:cs="Times New Roman"/>
          <w:kern w:val="2"/>
          <w:sz w:val="26"/>
          <w:szCs w:val="26"/>
          <w:lang w:eastAsia="zh-CN"/>
        </w:rPr>
        <w:t>р</w:t>
      </w:r>
      <w:r w:rsidRPr="00065F96">
        <w:rPr>
          <w:rFonts w:ascii="Times New Roman" w:eastAsia="Times New Roman" w:hAnsi="Times New Roman" w:cs="Times New Roman"/>
          <w:kern w:val="2"/>
          <w:sz w:val="26"/>
          <w:szCs w:val="26"/>
          <w:lang w:eastAsia="zh-CN"/>
        </w:rPr>
        <w:t>ешением Думы</w:t>
      </w:r>
      <w:r w:rsidR="00CB3EAA" w:rsidRPr="00065F96">
        <w:rPr>
          <w:rFonts w:ascii="Times New Roman" w:eastAsia="Times New Roman" w:hAnsi="Times New Roman" w:cs="Times New Roman"/>
          <w:kern w:val="2"/>
          <w:sz w:val="26"/>
          <w:szCs w:val="26"/>
          <w:lang w:eastAsia="zh-CN"/>
        </w:rPr>
        <w:t xml:space="preserve"> Нефтеюганского района </w:t>
      </w:r>
      <w:r w:rsidRPr="00126F67">
        <w:rPr>
          <w:rFonts w:ascii="Times New Roman" w:eastAsia="Times New Roman" w:hAnsi="Times New Roman" w:cs="Times New Roman"/>
          <w:kern w:val="2"/>
          <w:sz w:val="26"/>
          <w:szCs w:val="26"/>
          <w:lang w:eastAsia="zh-CN"/>
        </w:rPr>
        <w:t>№ 90</w:t>
      </w:r>
      <w:r w:rsidRPr="00126F67">
        <w:rPr>
          <w:rFonts w:ascii="Calibri" w:eastAsia="Calibri" w:hAnsi="Calibri" w:cs="Times New Roman"/>
          <w:sz w:val="26"/>
          <w:szCs w:val="26"/>
        </w:rPr>
        <w:t xml:space="preserve"> </w:t>
      </w:r>
      <w:r w:rsidR="00CB3EAA">
        <w:rPr>
          <w:rFonts w:ascii="Calibri" w:eastAsia="Calibri" w:hAnsi="Calibri" w:cs="Times New Roman"/>
          <w:sz w:val="26"/>
          <w:szCs w:val="26"/>
        </w:rPr>
        <w:t xml:space="preserve">                 </w:t>
      </w:r>
      <w:r w:rsidRPr="00126F67">
        <w:rPr>
          <w:rFonts w:ascii="Times New Roman" w:eastAsia="Times New Roman" w:hAnsi="Times New Roman" w:cs="Times New Roman"/>
          <w:kern w:val="2"/>
          <w:sz w:val="26"/>
          <w:szCs w:val="26"/>
          <w:lang w:eastAsia="zh-CN"/>
        </w:rPr>
        <w:t xml:space="preserve">организации-инвесторы, реализующие инвестиционные проекты в Нефтеюганском районе, субъекты малого (среднего) предпринимательства, реализующие инвестиционные проекты в Нефтеюганском районе, в соответствии с приоритетными направлениями развития Нефтеюганского района, в размере не менее 20 миллионов рублей, организации, реализующие инвестиционный проект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с соглашением о защите и поощрении капиталовложений имеют право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на освобождение от уплаты земельного налога в части земельных участков, занятых объектом, созданным в результате реализации инвестиционного проекта и в отношении </w:t>
      </w:r>
      <w:r w:rsidRPr="00126F67">
        <w:rPr>
          <w:rFonts w:ascii="Times New Roman" w:eastAsia="Times New Roman" w:hAnsi="Times New Roman" w:cs="Times New Roman"/>
          <w:kern w:val="2"/>
          <w:sz w:val="26"/>
          <w:szCs w:val="26"/>
          <w:lang w:eastAsia="zh-CN"/>
        </w:rPr>
        <w:lastRenderedPageBreak/>
        <w:t xml:space="preserve">земельных участков, в границах которых реализуется инвестиционный проект (абзац 4,5,7 пункта </w:t>
      </w:r>
      <w:r w:rsidRPr="00065F96">
        <w:rPr>
          <w:rFonts w:ascii="Times New Roman" w:eastAsia="Times New Roman" w:hAnsi="Times New Roman" w:cs="Times New Roman"/>
          <w:kern w:val="2"/>
          <w:sz w:val="26"/>
          <w:szCs w:val="26"/>
          <w:lang w:eastAsia="zh-CN"/>
        </w:rPr>
        <w:t xml:space="preserve">8 </w:t>
      </w:r>
      <w:r w:rsidR="00CB3EAA" w:rsidRPr="00065F96">
        <w:rPr>
          <w:rFonts w:ascii="Times New Roman" w:eastAsia="Times New Roman" w:hAnsi="Times New Roman" w:cs="Times New Roman"/>
          <w:kern w:val="2"/>
          <w:sz w:val="26"/>
          <w:szCs w:val="26"/>
          <w:lang w:eastAsia="zh-CN"/>
        </w:rPr>
        <w:t>р</w:t>
      </w:r>
      <w:r w:rsidRPr="00065F96">
        <w:rPr>
          <w:rFonts w:ascii="Times New Roman" w:eastAsia="Times New Roman" w:hAnsi="Times New Roman" w:cs="Times New Roman"/>
          <w:kern w:val="2"/>
          <w:sz w:val="26"/>
          <w:szCs w:val="26"/>
          <w:lang w:eastAsia="zh-CN"/>
        </w:rPr>
        <w:t xml:space="preserve">ешения Думы </w:t>
      </w:r>
      <w:r w:rsidR="00CB3EAA" w:rsidRPr="00065F96">
        <w:rPr>
          <w:rFonts w:ascii="Times New Roman" w:eastAsia="Times New Roman" w:hAnsi="Times New Roman" w:cs="Times New Roman"/>
          <w:kern w:val="2"/>
          <w:sz w:val="26"/>
          <w:szCs w:val="26"/>
          <w:lang w:eastAsia="zh-CN"/>
        </w:rPr>
        <w:t xml:space="preserve">Нефтеюганского района </w:t>
      </w:r>
      <w:r w:rsidRPr="00126F67">
        <w:rPr>
          <w:rFonts w:ascii="Times New Roman" w:eastAsia="Times New Roman" w:hAnsi="Times New Roman" w:cs="Times New Roman"/>
          <w:kern w:val="2"/>
          <w:sz w:val="26"/>
          <w:szCs w:val="26"/>
          <w:lang w:eastAsia="zh-CN"/>
        </w:rPr>
        <w:t>№ 90).</w:t>
      </w:r>
    </w:p>
    <w:p w14:paraId="7E2A52A8" w14:textId="3435E7B4"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Вышеназванные налоговые расходы не востребованы более 5 лет. В целях формирования благоприятного инвестиционного климата и привлечения инвесторов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к реализации крупных инвестиционных проектов в Нефтеюганском районе предлагается сохранить налоговые расходы. </w:t>
      </w:r>
    </w:p>
    <w:p w14:paraId="38B1FF2D" w14:textId="29892CC8"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целях поддержки </w:t>
      </w:r>
      <w:r w:rsidRPr="00126F67">
        <w:rPr>
          <w:rFonts w:ascii="Times New Roman" w:eastAsia="Times New Roman" w:hAnsi="Times New Roman" w:cs="Times New Roman"/>
          <w:sz w:val="26"/>
          <w:szCs w:val="26"/>
          <w:lang w:eastAsia="ru-RU"/>
        </w:rPr>
        <w:t>субъектов малого и среднего предпринимательства предусмотрена льгота по земельному налогу</w:t>
      </w:r>
      <w:r w:rsidRPr="00126F67">
        <w:rPr>
          <w:rFonts w:ascii="Times New Roman" w:eastAsia="Times New Roman" w:hAnsi="Times New Roman" w:cs="Times New Roman"/>
          <w:kern w:val="2"/>
          <w:sz w:val="26"/>
          <w:szCs w:val="26"/>
          <w:lang w:eastAsia="zh-CN"/>
        </w:rPr>
        <w:t xml:space="preserve"> для вновь зарегистрированных субъектов малого (среднего) предпринимательства Нефтеюганского района, в течение двух налоговых периодов с момента государственной регистрации, имеющие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собственности земельный участок, используемый для осуществления деятельности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в соответствии с приоритетными направлениями развития Нефтеюганского района,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за 2022 год объем налогового расхода составил 0,0 тыс. рублей, ввиду отсутствия получателей данной льготы. Налоговый расход отнесен к стимулирующим налоговым расходам и соответствует цели муниципальной программы «</w:t>
      </w:r>
      <w:r w:rsidRPr="00126F67">
        <w:rPr>
          <w:rFonts w:ascii="Times New Roman" w:eastAsia="Calibri" w:hAnsi="Times New Roman" w:cs="Times New Roman"/>
          <w:sz w:val="26"/>
          <w:szCs w:val="26"/>
          <w:lang w:eastAsia="ru-RU"/>
        </w:rPr>
        <w:t xml:space="preserve">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w:t>
      </w:r>
      <w:r w:rsidR="004D5DB0">
        <w:rPr>
          <w:rFonts w:ascii="Times New Roman" w:eastAsia="Calibri" w:hAnsi="Times New Roman" w:cs="Times New Roman"/>
          <w:sz w:val="26"/>
          <w:szCs w:val="26"/>
          <w:lang w:eastAsia="ru-RU"/>
        </w:rPr>
        <w:br/>
      </w:r>
      <w:r w:rsidRPr="00126F67">
        <w:rPr>
          <w:rFonts w:ascii="Times New Roman" w:eastAsia="Calibri" w:hAnsi="Times New Roman" w:cs="Times New Roman"/>
          <w:sz w:val="26"/>
          <w:szCs w:val="26"/>
          <w:lang w:eastAsia="ru-RU"/>
        </w:rPr>
        <w:t>до 2030 года</w:t>
      </w:r>
      <w:r w:rsidRPr="00126F67">
        <w:rPr>
          <w:rFonts w:ascii="Times New Roman" w:eastAsia="Times New Roman" w:hAnsi="Times New Roman" w:cs="Times New Roman"/>
          <w:kern w:val="2"/>
          <w:sz w:val="26"/>
          <w:szCs w:val="26"/>
          <w:lang w:eastAsia="zh-CN"/>
        </w:rPr>
        <w:t>», утвержденной постановлением администрации Нефтеюганского района от 31.10.2016 № 1782-па-нпа.</w:t>
      </w:r>
    </w:p>
    <w:p w14:paraId="1F973CD6" w14:textId="0E87C38F"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В </w:t>
      </w:r>
      <w:r w:rsidRPr="00065F96">
        <w:rPr>
          <w:rFonts w:ascii="Times New Roman" w:eastAsia="Times New Roman" w:hAnsi="Times New Roman" w:cs="Times New Roman"/>
          <w:kern w:val="2"/>
          <w:sz w:val="26"/>
          <w:szCs w:val="26"/>
          <w:lang w:eastAsia="zh-CN"/>
        </w:rPr>
        <w:t xml:space="preserve">муниципальную программу Нефтеюганского района «Развитие гражданского общества Нефтеюганского района на 2019-2024 годы и на период до 2030 года», </w:t>
      </w:r>
      <w:r w:rsidR="00065F96" w:rsidRPr="00065F96">
        <w:rPr>
          <w:rFonts w:ascii="Times New Roman" w:eastAsia="Times New Roman" w:hAnsi="Times New Roman" w:cs="Times New Roman"/>
          <w:kern w:val="2"/>
          <w:sz w:val="26"/>
          <w:szCs w:val="26"/>
          <w:lang w:eastAsia="zh-CN"/>
        </w:rPr>
        <w:t>утвержденной постановлением администрации Нефтеюганского района от 31.10.2016 № 1786-па-нпа, о</w:t>
      </w:r>
      <w:r w:rsidRPr="00065F96">
        <w:rPr>
          <w:rFonts w:ascii="Times New Roman" w:eastAsia="Times New Roman" w:hAnsi="Times New Roman" w:cs="Times New Roman"/>
          <w:kern w:val="2"/>
          <w:sz w:val="26"/>
          <w:szCs w:val="26"/>
          <w:lang w:eastAsia="zh-CN"/>
        </w:rPr>
        <w:t xml:space="preserve">тветственным исполнителем которой является управление по связям с общественностью администрации Нефтеюганского района включена льгота, относящаяся </w:t>
      </w:r>
      <w:r w:rsidRPr="00126F67">
        <w:rPr>
          <w:rFonts w:ascii="Times New Roman" w:eastAsia="Times New Roman" w:hAnsi="Times New Roman" w:cs="Times New Roman"/>
          <w:kern w:val="2"/>
          <w:sz w:val="26"/>
          <w:szCs w:val="26"/>
          <w:lang w:eastAsia="zh-CN"/>
        </w:rPr>
        <w:t xml:space="preserve">к социальной категории налогового расхода - освобождение от уплаты земельного налога социально ориентированных некоммерческих организаций. За 2022 год объем налогового расхода составил 0,0 тыс. рублей, ввиду отсутствия получателей данной льготы. Налоговый расход направлен на поддержку социально ориентированных некоммерческих организаций, соответствует цели муниципальной программы: поддержка социально </w:t>
      </w:r>
      <w:r w:rsidRPr="00126F67">
        <w:rPr>
          <w:rFonts w:ascii="Times New Roman" w:eastAsia="Calibri" w:hAnsi="Times New Roman" w:cs="Times New Roman"/>
          <w:sz w:val="26"/>
          <w:szCs w:val="26"/>
        </w:rPr>
        <w:t xml:space="preserve">ориентированных некоммерческих организаций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в Нефтеюганском районе. </w:t>
      </w:r>
    </w:p>
    <w:p w14:paraId="0805AF45" w14:textId="77777777"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Предлагается налоговый расход сохранить. </w:t>
      </w:r>
    </w:p>
    <w:p w14:paraId="5D218F28" w14:textId="29820D8E"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 налоговому расходу «Пониженная ставка в размере 1,3% в части земельных участков, отнесенных к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за исключением земель, ограниченных в обороте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со статьей 389 Налогового кодекса Российской Федерации с объемом 7,1 тыс. рублей. За 2022 год правом на льготу в виде пониженной процентной ставки воспользовались 3 организации</w:t>
      </w:r>
      <w:r w:rsidRPr="00126F67">
        <w:rPr>
          <w:rFonts w:ascii="Times New Roman" w:eastAsia="Times New Roman" w:hAnsi="Times New Roman" w:cs="Times New Roman"/>
          <w:i/>
          <w:iCs/>
          <w:kern w:val="2"/>
          <w:sz w:val="26"/>
          <w:szCs w:val="26"/>
          <w:lang w:eastAsia="zh-CN"/>
        </w:rPr>
        <w:t>.</w:t>
      </w:r>
      <w:r w:rsidRPr="00126F67">
        <w:rPr>
          <w:rFonts w:ascii="Times New Roman" w:eastAsia="Times New Roman" w:hAnsi="Times New Roman" w:cs="Times New Roman"/>
          <w:kern w:val="2"/>
          <w:sz w:val="26"/>
          <w:szCs w:val="26"/>
          <w:lang w:eastAsia="zh-CN"/>
        </w:rPr>
        <w:t xml:space="preserve">  Осуществляемый налоговый расход соответствует целям Стратегии социально-экономического развития муниципального образования Нефтеюганский район до 2030 года, утвержденной решением Думы Нефтеюганского района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от 31.07.2018 № 257. Коэффициент бюджетной эффективности достигнут. Налоговый расход признан эффективным, льготу в виде пониженной процентной ставки предлагается сохранить. </w:t>
      </w:r>
    </w:p>
    <w:p w14:paraId="6B7DC7FF" w14:textId="50EE2982"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 xml:space="preserve">По налоговому расходу «Пониженная ставка в размере 0,3 % в части земельных участков, отнесенных к категории земель «Земли особоохраняемых территорий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t xml:space="preserve">и объектов», за исключением земель, ограниченных в обороте в соответствии </w:t>
      </w:r>
      <w:r w:rsidR="004D5DB0">
        <w:rPr>
          <w:rFonts w:ascii="Times New Roman" w:eastAsia="Times New Roman" w:hAnsi="Times New Roman" w:cs="Times New Roman"/>
          <w:kern w:val="2"/>
          <w:sz w:val="26"/>
          <w:szCs w:val="26"/>
          <w:lang w:eastAsia="zh-CN"/>
        </w:rPr>
        <w:br/>
      </w:r>
      <w:r w:rsidRPr="00126F67">
        <w:rPr>
          <w:rFonts w:ascii="Times New Roman" w:eastAsia="Times New Roman" w:hAnsi="Times New Roman" w:cs="Times New Roman"/>
          <w:kern w:val="2"/>
          <w:sz w:val="26"/>
          <w:szCs w:val="26"/>
          <w:lang w:eastAsia="zh-CN"/>
        </w:rPr>
        <w:lastRenderedPageBreak/>
        <w:t xml:space="preserve">со статьей 389 Налогового кодекса Российской Федерации правом на применение пониженной налоговой ставки по земельному налогу, предусмотренной абзацем 4 пункта 1 </w:t>
      </w:r>
      <w:r w:rsidR="00CB3EAA" w:rsidRPr="0042070D">
        <w:rPr>
          <w:rFonts w:ascii="Times New Roman" w:eastAsia="Times New Roman" w:hAnsi="Times New Roman" w:cs="Times New Roman"/>
          <w:kern w:val="2"/>
          <w:sz w:val="26"/>
          <w:szCs w:val="26"/>
          <w:lang w:eastAsia="zh-CN"/>
        </w:rPr>
        <w:t>р</w:t>
      </w:r>
      <w:r w:rsidRPr="0042070D">
        <w:rPr>
          <w:rFonts w:ascii="Times New Roman" w:eastAsia="Times New Roman" w:hAnsi="Times New Roman" w:cs="Times New Roman"/>
          <w:kern w:val="2"/>
          <w:sz w:val="26"/>
          <w:szCs w:val="26"/>
          <w:lang w:eastAsia="zh-CN"/>
        </w:rPr>
        <w:t>е</w:t>
      </w:r>
      <w:r w:rsidRPr="00126F67">
        <w:rPr>
          <w:rFonts w:ascii="Times New Roman" w:eastAsia="Times New Roman" w:hAnsi="Times New Roman" w:cs="Times New Roman"/>
          <w:kern w:val="2"/>
          <w:sz w:val="26"/>
          <w:szCs w:val="26"/>
          <w:lang w:eastAsia="zh-CN"/>
        </w:rPr>
        <w:t>шения Думы Нефтеюганского района № 90 воспользовалось 1 учреждение</w:t>
      </w:r>
      <w:r w:rsidRPr="00126F67">
        <w:rPr>
          <w:rFonts w:ascii="Times New Roman" w:eastAsia="Times New Roman" w:hAnsi="Times New Roman" w:cs="Times New Roman"/>
          <w:i/>
          <w:iCs/>
          <w:kern w:val="2"/>
          <w:sz w:val="26"/>
          <w:szCs w:val="26"/>
          <w:lang w:eastAsia="zh-CN"/>
        </w:rPr>
        <w:t>.</w:t>
      </w:r>
      <w:r w:rsidRPr="00126F67">
        <w:rPr>
          <w:rFonts w:ascii="Times New Roman" w:eastAsia="Times New Roman" w:hAnsi="Times New Roman" w:cs="Times New Roman"/>
          <w:kern w:val="2"/>
          <w:sz w:val="26"/>
          <w:szCs w:val="26"/>
          <w:lang w:eastAsia="zh-CN"/>
        </w:rPr>
        <w:t xml:space="preserve"> Объем представленной налоговой преференции за 2022 год по указанной категории составил 20,7 тыс. рублей.  </w:t>
      </w:r>
    </w:p>
    <w:p w14:paraId="536E7301" w14:textId="232EAA76" w:rsidR="00126F67" w:rsidRPr="00126F67" w:rsidRDefault="00126F67" w:rsidP="004D5DB0">
      <w:pPr>
        <w:widowControl w:val="0"/>
        <w:suppressAutoHyphens/>
        <w:spacing w:after="0" w:line="240" w:lineRule="auto"/>
        <w:ind w:firstLine="708"/>
        <w:jc w:val="both"/>
        <w:textAlignment w:val="baseline"/>
        <w:rPr>
          <w:rFonts w:ascii="Times New Roman" w:eastAsia="Times New Roman" w:hAnsi="Times New Roman" w:cs="Times New Roman"/>
          <w:kern w:val="2"/>
          <w:sz w:val="26"/>
          <w:szCs w:val="26"/>
          <w:lang w:eastAsia="zh-CN"/>
        </w:rPr>
      </w:pPr>
      <w:r w:rsidRPr="00126F67">
        <w:rPr>
          <w:rFonts w:ascii="Times New Roman" w:eastAsia="Times New Roman" w:hAnsi="Times New Roman" w:cs="Times New Roman"/>
          <w:kern w:val="2"/>
          <w:sz w:val="26"/>
          <w:szCs w:val="26"/>
          <w:lang w:eastAsia="zh-CN"/>
        </w:rPr>
        <w:t>Куратором налогового расхода установлена социальная эффективность данной налоговой преференции. Налоговый расход соответствует целям Стратегии социально-экономического развития муниципального образования Нефтеюганский район до 2030 года, утвержденной решением Думы Нефтеюганского района</w:t>
      </w:r>
      <w:r w:rsidR="003C225D">
        <w:rPr>
          <w:rFonts w:ascii="Times New Roman" w:eastAsia="Times New Roman" w:hAnsi="Times New Roman" w:cs="Times New Roman"/>
          <w:kern w:val="2"/>
          <w:sz w:val="26"/>
          <w:szCs w:val="26"/>
          <w:lang w:eastAsia="zh-CN"/>
        </w:rPr>
        <w:t xml:space="preserve"> </w:t>
      </w:r>
      <w:r w:rsidRPr="00126F67">
        <w:rPr>
          <w:rFonts w:ascii="Times New Roman" w:eastAsia="Times New Roman" w:hAnsi="Times New Roman" w:cs="Times New Roman"/>
          <w:kern w:val="2"/>
          <w:sz w:val="26"/>
          <w:szCs w:val="26"/>
          <w:lang w:eastAsia="zh-CN"/>
        </w:rPr>
        <w:t xml:space="preserve">от 31.07.2018 № 257. Коэффициент бюджетной эффективности достигнут. Налоговый расход признан эффективным, льготу в виде пониженной процентной ставки предлагается сохранить. </w:t>
      </w:r>
    </w:p>
    <w:p w14:paraId="4F3EC075" w14:textId="77777777" w:rsidR="00126F67" w:rsidRPr="000D7081" w:rsidRDefault="00126F67" w:rsidP="004D5DB0">
      <w:pPr>
        <w:widowControl w:val="0"/>
        <w:suppressAutoHyphens/>
        <w:spacing w:after="0" w:line="240" w:lineRule="auto"/>
        <w:jc w:val="both"/>
        <w:textAlignment w:val="baseline"/>
        <w:rPr>
          <w:rFonts w:ascii="Times New Roman" w:eastAsia="Times New Roman" w:hAnsi="Times New Roman" w:cs="Times New Roman"/>
          <w:kern w:val="2"/>
          <w:sz w:val="26"/>
          <w:szCs w:val="26"/>
          <w:lang w:eastAsia="zh-CN"/>
        </w:rPr>
      </w:pPr>
    </w:p>
    <w:p w14:paraId="356A3334" w14:textId="5D852EA7" w:rsidR="00126F67" w:rsidRPr="000D7081" w:rsidRDefault="00126F67" w:rsidP="004D5DB0">
      <w:pPr>
        <w:numPr>
          <w:ilvl w:val="0"/>
          <w:numId w:val="1"/>
        </w:numPr>
        <w:autoSpaceDE w:val="0"/>
        <w:autoSpaceDN w:val="0"/>
        <w:adjustRightInd w:val="0"/>
        <w:spacing w:after="0" w:line="240" w:lineRule="auto"/>
        <w:contextualSpacing/>
        <w:jc w:val="center"/>
        <w:rPr>
          <w:rFonts w:ascii="Calibri" w:eastAsia="Calibri" w:hAnsi="Calibri" w:cs="Times New Roman"/>
          <w:sz w:val="26"/>
          <w:szCs w:val="26"/>
        </w:rPr>
      </w:pPr>
      <w:r w:rsidRPr="000D7081">
        <w:rPr>
          <w:rFonts w:ascii="Times New Roman" w:eastAsia="Times New Roman" w:hAnsi="Times New Roman" w:cs="Times New Roman"/>
          <w:sz w:val="26"/>
          <w:szCs w:val="26"/>
          <w:lang w:eastAsia="ru-RU"/>
        </w:rPr>
        <w:t xml:space="preserve">Эффективность налоговых расходов по </w:t>
      </w:r>
      <w:r w:rsidRPr="000D7081">
        <w:rPr>
          <w:rFonts w:ascii="Times New Roman" w:eastAsia="Calibri" w:hAnsi="Times New Roman" w:cs="Times New Roman"/>
          <w:sz w:val="26"/>
          <w:szCs w:val="26"/>
          <w:lang w:eastAsia="ru-RU"/>
        </w:rPr>
        <w:t xml:space="preserve">налогу на имущество </w:t>
      </w:r>
      <w:r w:rsidR="000D7081">
        <w:rPr>
          <w:rFonts w:ascii="Times New Roman" w:eastAsia="Calibri" w:hAnsi="Times New Roman" w:cs="Times New Roman"/>
          <w:sz w:val="26"/>
          <w:szCs w:val="26"/>
          <w:lang w:eastAsia="ru-RU"/>
        </w:rPr>
        <w:br/>
      </w:r>
      <w:r w:rsidRPr="000D7081">
        <w:rPr>
          <w:rFonts w:ascii="Times New Roman" w:eastAsia="Calibri" w:hAnsi="Times New Roman" w:cs="Times New Roman"/>
          <w:sz w:val="26"/>
          <w:szCs w:val="26"/>
          <w:lang w:eastAsia="ru-RU"/>
        </w:rPr>
        <w:t>физических лиц</w:t>
      </w:r>
    </w:p>
    <w:p w14:paraId="2B2539D4" w14:textId="77777777" w:rsidR="000D7081" w:rsidRDefault="000D7081"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p>
    <w:p w14:paraId="463B1E8B" w14:textId="595BA065"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В соответствии с решением Думы Нефтеюганского района от 21.11.2014 </w:t>
      </w:r>
      <w:r w:rsidR="00DF23B7">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 xml:space="preserve">№ 538 «Об установлении налога на имущество физических лиц на межселенной территории муниципального образования Нефтеюганский район» налоговые расходы предоставлены в виде пониженных налоговых ставок (0,7%) </w:t>
      </w:r>
      <w:bookmarkStart w:id="6" w:name="_Hlk136341982"/>
      <w:r w:rsidRPr="00126F67">
        <w:rPr>
          <w:rFonts w:ascii="Times New Roman" w:eastAsia="Calibri" w:hAnsi="Times New Roman" w:cs="Times New Roman"/>
          <w:sz w:val="26"/>
          <w:szCs w:val="26"/>
        </w:rPr>
        <w:t xml:space="preserve">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в отношении объектов налогообложения, кадастровая стоимость каждого из которых превышает 300 миллионов рублей</w:t>
      </w:r>
      <w:bookmarkEnd w:id="6"/>
      <w:r w:rsidRPr="00126F67">
        <w:rPr>
          <w:rFonts w:ascii="Times New Roman" w:eastAsia="Calibri" w:hAnsi="Times New Roman" w:cs="Times New Roman"/>
          <w:sz w:val="26"/>
          <w:szCs w:val="26"/>
        </w:rPr>
        <w:t>.</w:t>
      </w:r>
    </w:p>
    <w:p w14:paraId="650F8D5D" w14:textId="56535236" w:rsidR="00126F67" w:rsidRPr="00126F67" w:rsidRDefault="00126F67" w:rsidP="004D5DB0">
      <w:pPr>
        <w:spacing w:after="0" w:line="240" w:lineRule="auto"/>
        <w:ind w:firstLine="708"/>
        <w:jc w:val="both"/>
        <w:rPr>
          <w:rFonts w:ascii="Times New Roman" w:eastAsia="Calibri" w:hAnsi="Times New Roman" w:cs="Times New Roman"/>
          <w:sz w:val="26"/>
          <w:szCs w:val="26"/>
        </w:rPr>
      </w:pPr>
      <w:r w:rsidRPr="00126F67">
        <w:rPr>
          <w:rFonts w:ascii="Times New Roman" w:eastAsia="Times New Roman" w:hAnsi="Times New Roman" w:cs="Times New Roman"/>
          <w:sz w:val="26"/>
          <w:szCs w:val="26"/>
          <w:lang w:eastAsia="ru-RU"/>
        </w:rPr>
        <w:t>Данный налоговый расход представлен в</w:t>
      </w:r>
      <w:r w:rsidRPr="00126F67">
        <w:rPr>
          <w:rFonts w:ascii="Times New Roman" w:eastAsia="Calibri" w:hAnsi="Times New Roman" w:cs="Times New Roman"/>
          <w:sz w:val="26"/>
          <w:szCs w:val="26"/>
        </w:rPr>
        <w:t xml:space="preserve"> целях снижения налоговой нагрузки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на субъекты предпринимательской деятельности, в период </w:t>
      </w:r>
      <w:r w:rsidRPr="00126F67">
        <w:rPr>
          <w:rFonts w:ascii="Times New Roman" w:eastAsia="Times New Roman" w:hAnsi="Times New Roman" w:cs="Times New Roman"/>
          <w:sz w:val="26"/>
          <w:szCs w:val="26"/>
          <w:lang w:eastAsia="ru-RU"/>
        </w:rPr>
        <w:t>распространения новой коронавирусной инфекции.</w:t>
      </w:r>
    </w:p>
    <w:p w14:paraId="20AF24F2" w14:textId="77777777"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Фактически в 2022 году налоговым расходом по налогу на имущество физических лиц воспользовались 9 налогоплательщиков, объем налогового расхода составил 931,3 тыс. рублей.</w:t>
      </w:r>
    </w:p>
    <w:p w14:paraId="7A290A90" w14:textId="5585D4EE"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Налоговый расход признан неэффективным (недостаточно эффективным),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так как коэффициент бюджетной эффективности налогового расхода в связи </w:t>
      </w:r>
      <w:r w:rsidR="004D5DB0">
        <w:rPr>
          <w:rFonts w:ascii="Times New Roman" w:eastAsia="Calibri" w:hAnsi="Times New Roman" w:cs="Times New Roman"/>
          <w:sz w:val="26"/>
          <w:szCs w:val="26"/>
        </w:rPr>
        <w:br/>
      </w:r>
      <w:r w:rsidRPr="00126F67">
        <w:rPr>
          <w:rFonts w:ascii="Times New Roman" w:eastAsia="Calibri" w:hAnsi="Times New Roman" w:cs="Times New Roman"/>
          <w:sz w:val="26"/>
          <w:szCs w:val="26"/>
        </w:rPr>
        <w:t xml:space="preserve">с применением налогоплательщиками пониженных налоговых ставок составил 0,56. Согласно постановлению от </w:t>
      </w:r>
      <w:r w:rsidR="0040558A" w:rsidRPr="00126F67">
        <w:rPr>
          <w:rFonts w:ascii="Times New Roman" w:eastAsia="Calibri" w:hAnsi="Times New Roman" w:cs="Times New Roman"/>
          <w:sz w:val="26"/>
          <w:szCs w:val="26"/>
        </w:rPr>
        <w:t>25.04.20</w:t>
      </w:r>
      <w:r w:rsidR="0040558A">
        <w:rPr>
          <w:rFonts w:ascii="Times New Roman" w:eastAsia="Calibri" w:hAnsi="Times New Roman" w:cs="Times New Roman"/>
          <w:sz w:val="26"/>
          <w:szCs w:val="26"/>
        </w:rPr>
        <w:t>2</w:t>
      </w:r>
      <w:r w:rsidR="0040558A" w:rsidRPr="00126F67">
        <w:rPr>
          <w:rFonts w:ascii="Times New Roman" w:eastAsia="Calibri" w:hAnsi="Times New Roman" w:cs="Times New Roman"/>
          <w:sz w:val="26"/>
          <w:szCs w:val="26"/>
        </w:rPr>
        <w:t xml:space="preserve">3 </w:t>
      </w:r>
      <w:r w:rsidR="0040558A">
        <w:rPr>
          <w:rFonts w:ascii="Times New Roman" w:eastAsia="Calibri" w:hAnsi="Times New Roman" w:cs="Times New Roman"/>
          <w:sz w:val="26"/>
          <w:szCs w:val="26"/>
        </w:rPr>
        <w:t>№</w:t>
      </w:r>
      <w:r w:rsidRPr="00126F67">
        <w:rPr>
          <w:rFonts w:ascii="Times New Roman" w:eastAsia="Calibri" w:hAnsi="Times New Roman" w:cs="Times New Roman"/>
          <w:sz w:val="26"/>
          <w:szCs w:val="26"/>
        </w:rPr>
        <w:t xml:space="preserve"> 569-па налоговый расход следует считать эффективным при значении коэффициента бюджетной эффективности более 1.</w:t>
      </w:r>
    </w:p>
    <w:p w14:paraId="440CC5AB" w14:textId="7007AA12" w:rsidR="00126F67" w:rsidRPr="0042070D"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Предлагается поэтапное увеличение процентной ставки для указанной категории: с 01.01.2024 </w:t>
      </w:r>
      <w:r w:rsidR="0040558A">
        <w:rPr>
          <w:rFonts w:ascii="Times New Roman" w:eastAsia="Calibri" w:hAnsi="Times New Roman" w:cs="Times New Roman"/>
          <w:sz w:val="26"/>
          <w:szCs w:val="26"/>
        </w:rPr>
        <w:t xml:space="preserve">- </w:t>
      </w:r>
      <w:r w:rsidRPr="00126F67">
        <w:rPr>
          <w:rFonts w:ascii="Times New Roman" w:eastAsia="Calibri" w:hAnsi="Times New Roman" w:cs="Times New Roman"/>
          <w:sz w:val="26"/>
          <w:szCs w:val="26"/>
        </w:rPr>
        <w:t>1,5%, с 01.01.2025 – 2%.</w:t>
      </w:r>
    </w:p>
    <w:p w14:paraId="39080232"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b/>
          <w:bCs/>
          <w:sz w:val="26"/>
          <w:szCs w:val="26"/>
        </w:rPr>
      </w:pPr>
    </w:p>
    <w:p w14:paraId="0349002D" w14:textId="77777777" w:rsidR="00126F67" w:rsidRPr="000D7081"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0D7081">
        <w:rPr>
          <w:rFonts w:ascii="Times New Roman" w:eastAsia="Calibri" w:hAnsi="Times New Roman" w:cs="Times New Roman"/>
          <w:sz w:val="26"/>
          <w:szCs w:val="26"/>
        </w:rPr>
        <w:t>ВЫВОДЫ:</w:t>
      </w:r>
    </w:p>
    <w:p w14:paraId="229860D1" w14:textId="7DF144A6" w:rsidR="00126F67" w:rsidRPr="00126F67" w:rsidRDefault="00126F67" w:rsidP="004D5DB0">
      <w:pPr>
        <w:autoSpaceDE w:val="0"/>
        <w:autoSpaceDN w:val="0"/>
        <w:adjustRightInd w:val="0"/>
        <w:spacing w:after="0" w:line="240" w:lineRule="auto"/>
        <w:ind w:firstLine="708"/>
        <w:jc w:val="both"/>
        <w:rPr>
          <w:rFonts w:ascii="Times New Roman" w:eastAsia="Calibri" w:hAnsi="Times New Roman" w:cs="Times New Roman"/>
          <w:sz w:val="26"/>
          <w:szCs w:val="26"/>
        </w:rPr>
      </w:pPr>
      <w:r w:rsidRPr="00126F67">
        <w:rPr>
          <w:rFonts w:ascii="Times New Roman" w:eastAsia="Calibri" w:hAnsi="Times New Roman" w:cs="Times New Roman"/>
          <w:sz w:val="26"/>
          <w:szCs w:val="26"/>
        </w:rPr>
        <w:t xml:space="preserve">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бюджетной и долговой политики Нефтеюганского района предлагается: </w:t>
      </w:r>
    </w:p>
    <w:p w14:paraId="4AC6FAAF" w14:textId="14256C60"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сохранить в полном объеме действие эффективных налоговых расходов;</w:t>
      </w:r>
    </w:p>
    <w:p w14:paraId="4E8BE45D" w14:textId="7ABB4F20"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отменить 1 налоговый расход по земельному налогу в виде освобождения </w:t>
      </w:r>
      <w:r w:rsidR="004D5DB0" w:rsidRPr="004D5DB0">
        <w:rPr>
          <w:rFonts w:ascii="Times New Roman" w:hAnsi="Times New Roman"/>
          <w:sz w:val="26"/>
          <w:szCs w:val="26"/>
        </w:rPr>
        <w:br/>
      </w:r>
      <w:r w:rsidRPr="004D5DB0">
        <w:rPr>
          <w:rFonts w:ascii="Times New Roman" w:hAnsi="Times New Roman"/>
          <w:sz w:val="26"/>
          <w:szCs w:val="26"/>
        </w:rPr>
        <w:t xml:space="preserve">от уплаты земельного налога муниципальные учреждения, созданные для исполнения </w:t>
      </w:r>
      <w:r w:rsidRPr="004D5DB0">
        <w:rPr>
          <w:rFonts w:ascii="Times New Roman" w:hAnsi="Times New Roman"/>
          <w:sz w:val="26"/>
          <w:szCs w:val="26"/>
        </w:rPr>
        <w:lastRenderedPageBreak/>
        <w:t>полномочий органов местного самоуправления муниципального образования города Нефтеюганска;</w:t>
      </w:r>
    </w:p>
    <w:p w14:paraId="67C4A6FD" w14:textId="7ED77DED"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поэтапное увеличение налоговой ставки в отношении объектов налогообложения, включенных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4D5DB0" w:rsidRPr="004D5DB0">
        <w:rPr>
          <w:rFonts w:ascii="Times New Roman" w:hAnsi="Times New Roman"/>
          <w:sz w:val="26"/>
          <w:szCs w:val="26"/>
        </w:rPr>
        <w:br/>
      </w:r>
      <w:r w:rsidRPr="004D5DB0">
        <w:rPr>
          <w:rFonts w:ascii="Times New Roman" w:hAnsi="Times New Roman"/>
          <w:sz w:val="26"/>
          <w:szCs w:val="26"/>
        </w:rPr>
        <w:t>в отношении объектов налогообложения, кадастровая стоимость каждого из которых превышает 300 миллионов рублей, в размере:</w:t>
      </w:r>
    </w:p>
    <w:p w14:paraId="7E4724A1" w14:textId="2C06DE51"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 xml:space="preserve">1,5%, </w:t>
      </w:r>
      <w:bookmarkStart w:id="7" w:name="_Hlk136342183"/>
      <w:r w:rsidRPr="004D5DB0">
        <w:rPr>
          <w:rFonts w:ascii="Times New Roman" w:hAnsi="Times New Roman"/>
          <w:sz w:val="26"/>
          <w:szCs w:val="26"/>
        </w:rPr>
        <w:t>при исчислении налога за налоговый период 2024 года;</w:t>
      </w:r>
    </w:p>
    <w:bookmarkEnd w:id="7"/>
    <w:p w14:paraId="0A5523D6" w14:textId="1E8B8E96" w:rsidR="00126F67" w:rsidRPr="004D5DB0" w:rsidRDefault="00126F67" w:rsidP="004D5DB0">
      <w:pPr>
        <w:pStyle w:val="a3"/>
        <w:numPr>
          <w:ilvl w:val="0"/>
          <w:numId w:val="7"/>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4D5DB0">
        <w:rPr>
          <w:rFonts w:ascii="Times New Roman" w:hAnsi="Times New Roman"/>
          <w:sz w:val="26"/>
          <w:szCs w:val="26"/>
        </w:rPr>
        <w:t>2%, при исчислении налога за налоговый период 2025 года и последующие налоговые периоды.</w:t>
      </w:r>
    </w:p>
    <w:p w14:paraId="7F4C7938"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33D34731"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4B5EE15E"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11F8A054" w14:textId="77777777" w:rsidR="00126F67" w:rsidRPr="00126F67" w:rsidRDefault="00126F67" w:rsidP="004D5DB0">
      <w:pPr>
        <w:autoSpaceDE w:val="0"/>
        <w:autoSpaceDN w:val="0"/>
        <w:adjustRightInd w:val="0"/>
        <w:spacing w:after="0" w:line="240" w:lineRule="auto"/>
        <w:jc w:val="both"/>
        <w:rPr>
          <w:rFonts w:ascii="Times New Roman" w:eastAsia="Calibri" w:hAnsi="Times New Roman" w:cs="Times New Roman"/>
          <w:sz w:val="26"/>
          <w:szCs w:val="26"/>
        </w:rPr>
      </w:pPr>
    </w:p>
    <w:p w14:paraId="2F70C597" w14:textId="77777777" w:rsidR="003B1269" w:rsidRPr="003B1269" w:rsidRDefault="003B1269" w:rsidP="003B1269">
      <w:pPr>
        <w:jc w:val="center"/>
        <w:rPr>
          <w:rFonts w:ascii="Times New Roman" w:hAnsi="Times New Roman" w:cs="Times New Roman"/>
          <w:sz w:val="28"/>
          <w:szCs w:val="28"/>
        </w:rPr>
      </w:pPr>
    </w:p>
    <w:sectPr w:rsidR="003B1269" w:rsidRPr="003B1269" w:rsidSect="004D5D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620F" w14:textId="77777777" w:rsidR="002576CA" w:rsidRDefault="002576CA" w:rsidP="004D5DB0">
      <w:pPr>
        <w:spacing w:after="0" w:line="240" w:lineRule="auto"/>
      </w:pPr>
      <w:r>
        <w:separator/>
      </w:r>
    </w:p>
  </w:endnote>
  <w:endnote w:type="continuationSeparator" w:id="0">
    <w:p w14:paraId="7860CD7B" w14:textId="77777777" w:rsidR="002576CA" w:rsidRDefault="002576CA" w:rsidP="004D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1F47" w14:textId="77777777" w:rsidR="002576CA" w:rsidRDefault="002576CA" w:rsidP="004D5DB0">
      <w:pPr>
        <w:spacing w:after="0" w:line="240" w:lineRule="auto"/>
      </w:pPr>
      <w:r>
        <w:separator/>
      </w:r>
    </w:p>
  </w:footnote>
  <w:footnote w:type="continuationSeparator" w:id="0">
    <w:p w14:paraId="1E3F69C9" w14:textId="77777777" w:rsidR="002576CA" w:rsidRDefault="002576CA" w:rsidP="004D5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4788597"/>
      <w:docPartObj>
        <w:docPartGallery w:val="Page Numbers (Top of Page)"/>
        <w:docPartUnique/>
      </w:docPartObj>
    </w:sdtPr>
    <w:sdtEndPr/>
    <w:sdtContent>
      <w:p w14:paraId="2D58EC82" w14:textId="151B0623" w:rsidR="004D5DB0" w:rsidRPr="004D5DB0" w:rsidRDefault="004D5DB0">
        <w:pPr>
          <w:pStyle w:val="a9"/>
          <w:jc w:val="center"/>
          <w:rPr>
            <w:rFonts w:ascii="Times New Roman" w:hAnsi="Times New Roman" w:cs="Times New Roman"/>
            <w:sz w:val="24"/>
            <w:szCs w:val="24"/>
          </w:rPr>
        </w:pPr>
        <w:r w:rsidRPr="004D5DB0">
          <w:rPr>
            <w:rFonts w:ascii="Times New Roman" w:hAnsi="Times New Roman" w:cs="Times New Roman"/>
            <w:sz w:val="24"/>
            <w:szCs w:val="24"/>
          </w:rPr>
          <w:fldChar w:fldCharType="begin"/>
        </w:r>
        <w:r w:rsidRPr="004D5DB0">
          <w:rPr>
            <w:rFonts w:ascii="Times New Roman" w:hAnsi="Times New Roman" w:cs="Times New Roman"/>
            <w:sz w:val="24"/>
            <w:szCs w:val="24"/>
          </w:rPr>
          <w:instrText>PAGE   \* MERGEFORMAT</w:instrText>
        </w:r>
        <w:r w:rsidRPr="004D5DB0">
          <w:rPr>
            <w:rFonts w:ascii="Times New Roman" w:hAnsi="Times New Roman" w:cs="Times New Roman"/>
            <w:sz w:val="24"/>
            <w:szCs w:val="24"/>
          </w:rPr>
          <w:fldChar w:fldCharType="separate"/>
        </w:r>
        <w:r w:rsidRPr="004D5DB0">
          <w:rPr>
            <w:rFonts w:ascii="Times New Roman" w:hAnsi="Times New Roman" w:cs="Times New Roman"/>
            <w:sz w:val="24"/>
            <w:szCs w:val="24"/>
          </w:rPr>
          <w:t>2</w:t>
        </w:r>
        <w:r w:rsidRPr="004D5DB0">
          <w:rPr>
            <w:rFonts w:ascii="Times New Roman" w:hAnsi="Times New Roman" w:cs="Times New Roman"/>
            <w:sz w:val="24"/>
            <w:szCs w:val="24"/>
          </w:rPr>
          <w:fldChar w:fldCharType="end"/>
        </w:r>
      </w:p>
    </w:sdtContent>
  </w:sdt>
  <w:p w14:paraId="21E6090B" w14:textId="77777777" w:rsidR="004D5DB0" w:rsidRPr="004D5DB0" w:rsidRDefault="004D5DB0">
    <w:pPr>
      <w:pStyle w:val="a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38"/>
    <w:multiLevelType w:val="multilevel"/>
    <w:tmpl w:val="45E4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B279F"/>
    <w:multiLevelType w:val="hybridMultilevel"/>
    <w:tmpl w:val="DEBA2500"/>
    <w:lvl w:ilvl="0" w:tplc="F0FEDC8E">
      <w:start w:val="1"/>
      <w:numFmt w:val="decimal"/>
      <w:lvlText w:val="%1."/>
      <w:lvlJc w:val="left"/>
      <w:pPr>
        <w:ind w:left="1068" w:hanging="360"/>
      </w:pPr>
      <w:rPr>
        <w:rFonts w:ascii="Times New Roman" w:hAnsi="Times New Roman" w:cs="Times New Roman" w:hint="default"/>
        <w:b w:val="0"/>
        <w:bCs/>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0ED0C8C"/>
    <w:multiLevelType w:val="hybridMultilevel"/>
    <w:tmpl w:val="F482A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52A0C3E"/>
    <w:multiLevelType w:val="hybridMultilevel"/>
    <w:tmpl w:val="1A6CF190"/>
    <w:lvl w:ilvl="0" w:tplc="FF2AA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EF30D9"/>
    <w:multiLevelType w:val="hybridMultilevel"/>
    <w:tmpl w:val="EFB20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337293"/>
    <w:multiLevelType w:val="hybridMultilevel"/>
    <w:tmpl w:val="2C7040E2"/>
    <w:lvl w:ilvl="0" w:tplc="A676936E">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A81E15"/>
    <w:multiLevelType w:val="hybridMultilevel"/>
    <w:tmpl w:val="6A04BAEE"/>
    <w:lvl w:ilvl="0" w:tplc="037E57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8D"/>
    <w:rsid w:val="00065F96"/>
    <w:rsid w:val="000D7081"/>
    <w:rsid w:val="00126F67"/>
    <w:rsid w:val="00236AA6"/>
    <w:rsid w:val="002576CA"/>
    <w:rsid w:val="002D623D"/>
    <w:rsid w:val="0036145A"/>
    <w:rsid w:val="003B1269"/>
    <w:rsid w:val="003C225D"/>
    <w:rsid w:val="003F7E5B"/>
    <w:rsid w:val="0040558A"/>
    <w:rsid w:val="004071BC"/>
    <w:rsid w:val="0042070D"/>
    <w:rsid w:val="004D5DB0"/>
    <w:rsid w:val="00541E8D"/>
    <w:rsid w:val="0060713E"/>
    <w:rsid w:val="00640F9E"/>
    <w:rsid w:val="006C16A3"/>
    <w:rsid w:val="006F4F3B"/>
    <w:rsid w:val="0080598F"/>
    <w:rsid w:val="008251B5"/>
    <w:rsid w:val="00C236F3"/>
    <w:rsid w:val="00C562B4"/>
    <w:rsid w:val="00CB3EAA"/>
    <w:rsid w:val="00D54188"/>
    <w:rsid w:val="00DB3187"/>
    <w:rsid w:val="00DF23B7"/>
    <w:rsid w:val="00E0397C"/>
    <w:rsid w:val="00EA1CD3"/>
    <w:rsid w:val="00ED649A"/>
    <w:rsid w:val="00F3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83F"/>
  <w15:chartTrackingRefBased/>
  <w15:docId w15:val="{9C5539B2-208B-429B-8B15-6AAD5F1A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unhideWhenUsed/>
    <w:qFormat/>
    <w:rsid w:val="00D54188"/>
    <w:pPr>
      <w:spacing w:before="240" w:after="60" w:line="276"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26F67"/>
  </w:style>
  <w:style w:type="paragraph" w:styleId="a3">
    <w:name w:val="List Paragraph"/>
    <w:basedOn w:val="a"/>
    <w:uiPriority w:val="34"/>
    <w:qFormat/>
    <w:rsid w:val="00126F67"/>
    <w:pPr>
      <w:ind w:left="720"/>
      <w:contextualSpacing/>
    </w:pPr>
    <w:rPr>
      <w:rFonts w:ascii="Calibri" w:eastAsia="Calibri" w:hAnsi="Calibri" w:cs="Times New Roman"/>
    </w:rPr>
  </w:style>
  <w:style w:type="character" w:customStyle="1" w:styleId="a4">
    <w:name w:val="Символ сноски"/>
    <w:rsid w:val="00126F67"/>
    <w:rPr>
      <w:vertAlign w:val="superscript"/>
    </w:rPr>
  </w:style>
  <w:style w:type="paragraph" w:styleId="a5">
    <w:name w:val="footnote text"/>
    <w:basedOn w:val="a"/>
    <w:link w:val="a6"/>
    <w:rsid w:val="00126F67"/>
    <w:pPr>
      <w:suppressAutoHyphens/>
      <w:spacing w:after="0" w:line="240" w:lineRule="auto"/>
      <w:textAlignment w:val="baseline"/>
    </w:pPr>
    <w:rPr>
      <w:rFonts w:ascii="Times New Roman" w:eastAsia="Times New Roman" w:hAnsi="Times New Roman" w:cs="Times New Roman"/>
      <w:kern w:val="2"/>
      <w:sz w:val="20"/>
      <w:szCs w:val="20"/>
      <w:lang w:val="x-none" w:eastAsia="zh-CN"/>
    </w:rPr>
  </w:style>
  <w:style w:type="character" w:customStyle="1" w:styleId="a6">
    <w:name w:val="Текст сноски Знак"/>
    <w:basedOn w:val="a0"/>
    <w:link w:val="a5"/>
    <w:rsid w:val="00126F67"/>
    <w:rPr>
      <w:rFonts w:ascii="Times New Roman" w:eastAsia="Times New Roman" w:hAnsi="Times New Roman" w:cs="Times New Roman"/>
      <w:kern w:val="2"/>
      <w:sz w:val="20"/>
      <w:szCs w:val="20"/>
      <w:lang w:val="x-none" w:eastAsia="zh-CN"/>
    </w:rPr>
  </w:style>
  <w:style w:type="paragraph" w:styleId="a7">
    <w:name w:val="Balloon Text"/>
    <w:basedOn w:val="a"/>
    <w:link w:val="a8"/>
    <w:uiPriority w:val="99"/>
    <w:semiHidden/>
    <w:unhideWhenUsed/>
    <w:rsid w:val="00126F67"/>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126F67"/>
    <w:rPr>
      <w:rFonts w:ascii="Segoe UI" w:eastAsia="Calibri" w:hAnsi="Segoe UI" w:cs="Segoe UI"/>
      <w:sz w:val="18"/>
      <w:szCs w:val="18"/>
    </w:rPr>
  </w:style>
  <w:style w:type="paragraph" w:styleId="a9">
    <w:name w:val="header"/>
    <w:basedOn w:val="a"/>
    <w:link w:val="aa"/>
    <w:uiPriority w:val="99"/>
    <w:unhideWhenUsed/>
    <w:rsid w:val="004D5D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5DB0"/>
  </w:style>
  <w:style w:type="paragraph" w:styleId="ab">
    <w:name w:val="footer"/>
    <w:basedOn w:val="a"/>
    <w:link w:val="ac"/>
    <w:uiPriority w:val="99"/>
    <w:unhideWhenUsed/>
    <w:rsid w:val="004D5D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5DB0"/>
  </w:style>
  <w:style w:type="character" w:customStyle="1" w:styleId="60">
    <w:name w:val="Заголовок 6 Знак"/>
    <w:basedOn w:val="a0"/>
    <w:link w:val="6"/>
    <w:rsid w:val="00D54188"/>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Мария Петровна</dc:creator>
  <cp:keywords/>
  <dc:description/>
  <cp:lastModifiedBy>Аманалиева Акмоор Айбековна</cp:lastModifiedBy>
  <cp:revision>4</cp:revision>
  <cp:lastPrinted>2023-07-21T04:35:00Z</cp:lastPrinted>
  <dcterms:created xsi:type="dcterms:W3CDTF">2023-08-02T09:25:00Z</dcterms:created>
  <dcterms:modified xsi:type="dcterms:W3CDTF">2023-08-07T09:34:00Z</dcterms:modified>
</cp:coreProperties>
</file>